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C76DC9B">
      <w:pPr>
        <w:ind w:right="-315" w:rightChars="-150"/>
        <w:jc w:val="center"/>
        <w:rPr>
          <w:rFonts w:hint="eastAsia" w:ascii="宋体" w:hAnsi="宋体" w:eastAsia="宋体" w:cs="宋体"/>
          <w:b/>
          <w:bCs/>
          <w:color w:val="auto"/>
          <w:sz w:val="92"/>
          <w:szCs w:val="92"/>
          <w:highlight w:val="none"/>
          <w:u w:val="single"/>
          <w:vertAlign w:val="subscript"/>
        </w:rPr>
      </w:pPr>
    </w:p>
    <w:p w14:paraId="6B503F7B">
      <w:pPr>
        <w:spacing w:line="720" w:lineRule="auto"/>
        <w:jc w:val="center"/>
        <w:rPr>
          <w:rFonts w:hint="eastAsia" w:ascii="宋体" w:hAnsi="宋体" w:eastAsia="宋体" w:cs="宋体"/>
          <w:b/>
          <w:bCs/>
          <w:color w:val="auto"/>
          <w:spacing w:val="-10"/>
          <w:sz w:val="52"/>
          <w:szCs w:val="52"/>
          <w:highlight w:val="none"/>
          <w:lang w:val="en-US" w:eastAsia="zh-CN"/>
        </w:rPr>
      </w:pPr>
      <w:r>
        <w:rPr>
          <w:rFonts w:hint="eastAsia" w:ascii="宋体" w:hAnsi="宋体" w:cs="宋体"/>
          <w:b/>
          <w:bCs/>
          <w:color w:val="auto"/>
          <w:spacing w:val="-10"/>
          <w:sz w:val="52"/>
          <w:szCs w:val="52"/>
          <w:highlight w:val="none"/>
          <w:lang w:val="en-US" w:eastAsia="zh-CN"/>
        </w:rPr>
        <w:t>2026年公园游园设施安全整治项目跟踪审计项目</w:t>
      </w:r>
    </w:p>
    <w:p w14:paraId="5854E797">
      <w:pPr>
        <w:spacing w:line="400" w:lineRule="atLeast"/>
        <w:jc w:val="center"/>
        <w:rPr>
          <w:rFonts w:hint="eastAsia" w:ascii="宋体" w:hAnsi="宋体" w:eastAsia="宋体" w:cs="宋体"/>
          <w:b/>
          <w:bCs/>
          <w:color w:val="auto"/>
          <w:sz w:val="98"/>
          <w:szCs w:val="98"/>
          <w:highlight w:val="none"/>
        </w:rPr>
      </w:pPr>
    </w:p>
    <w:p w14:paraId="559D772C">
      <w:pPr>
        <w:spacing w:line="400" w:lineRule="atLeast"/>
        <w:jc w:val="center"/>
        <w:rPr>
          <w:rFonts w:hint="eastAsia" w:ascii="宋体" w:hAnsi="宋体" w:eastAsia="宋体" w:cs="宋体"/>
          <w:b/>
          <w:bCs/>
          <w:color w:val="auto"/>
          <w:sz w:val="98"/>
          <w:szCs w:val="98"/>
          <w:highlight w:val="none"/>
        </w:rPr>
      </w:pPr>
    </w:p>
    <w:p w14:paraId="34C3FEB2">
      <w:pPr>
        <w:spacing w:line="400" w:lineRule="atLeast"/>
        <w:jc w:val="center"/>
        <w:rPr>
          <w:rFonts w:hint="eastAsia" w:ascii="宋体" w:hAnsi="宋体" w:eastAsia="宋体" w:cs="宋体"/>
          <w:b/>
          <w:bCs/>
          <w:color w:val="auto"/>
          <w:sz w:val="98"/>
          <w:szCs w:val="98"/>
          <w:highlight w:val="none"/>
        </w:rPr>
      </w:pPr>
      <w:r>
        <w:rPr>
          <w:rFonts w:hint="eastAsia" w:ascii="宋体" w:hAnsi="宋体" w:eastAsia="宋体" w:cs="宋体"/>
          <w:b/>
          <w:bCs/>
          <w:color w:val="auto"/>
          <w:sz w:val="98"/>
          <w:szCs w:val="98"/>
          <w:highlight w:val="none"/>
        </w:rPr>
        <w:t>招</w:t>
      </w:r>
      <w:r>
        <w:rPr>
          <w:rFonts w:hint="eastAsia" w:ascii="宋体" w:hAnsi="宋体" w:eastAsia="宋体" w:cs="宋体"/>
          <w:b/>
          <w:bCs/>
          <w:color w:val="auto"/>
          <w:sz w:val="98"/>
          <w:szCs w:val="98"/>
          <w:highlight w:val="none"/>
          <w:lang w:val="en-US" w:eastAsia="zh-CN"/>
        </w:rPr>
        <w:t xml:space="preserve"> </w:t>
      </w:r>
      <w:r>
        <w:rPr>
          <w:rFonts w:hint="eastAsia" w:ascii="宋体" w:hAnsi="宋体" w:eastAsia="宋体" w:cs="宋体"/>
          <w:b/>
          <w:bCs/>
          <w:color w:val="auto"/>
          <w:sz w:val="98"/>
          <w:szCs w:val="98"/>
          <w:highlight w:val="none"/>
        </w:rPr>
        <w:t>标</w:t>
      </w:r>
      <w:r>
        <w:rPr>
          <w:rFonts w:hint="eastAsia" w:ascii="宋体" w:hAnsi="宋体" w:eastAsia="宋体" w:cs="宋体"/>
          <w:b/>
          <w:bCs/>
          <w:color w:val="auto"/>
          <w:sz w:val="98"/>
          <w:szCs w:val="98"/>
          <w:highlight w:val="none"/>
          <w:lang w:val="en-US" w:eastAsia="zh-CN"/>
        </w:rPr>
        <w:t xml:space="preserve"> </w:t>
      </w:r>
      <w:r>
        <w:rPr>
          <w:rFonts w:hint="eastAsia" w:ascii="宋体" w:hAnsi="宋体" w:eastAsia="宋体" w:cs="宋体"/>
          <w:b/>
          <w:bCs/>
          <w:color w:val="auto"/>
          <w:sz w:val="98"/>
          <w:szCs w:val="98"/>
          <w:highlight w:val="none"/>
        </w:rPr>
        <w:t>文</w:t>
      </w:r>
      <w:r>
        <w:rPr>
          <w:rFonts w:hint="eastAsia" w:ascii="宋体" w:hAnsi="宋体" w:eastAsia="宋体" w:cs="宋体"/>
          <w:b/>
          <w:bCs/>
          <w:color w:val="auto"/>
          <w:sz w:val="98"/>
          <w:szCs w:val="98"/>
          <w:highlight w:val="none"/>
          <w:lang w:val="en-US" w:eastAsia="zh-CN"/>
        </w:rPr>
        <w:t xml:space="preserve"> </w:t>
      </w:r>
      <w:r>
        <w:rPr>
          <w:rFonts w:hint="eastAsia" w:ascii="宋体" w:hAnsi="宋体" w:eastAsia="宋体" w:cs="宋体"/>
          <w:b/>
          <w:bCs/>
          <w:color w:val="auto"/>
          <w:sz w:val="98"/>
          <w:szCs w:val="98"/>
          <w:highlight w:val="none"/>
        </w:rPr>
        <w:t>件</w:t>
      </w:r>
    </w:p>
    <w:p w14:paraId="19F15149">
      <w:pPr>
        <w:spacing w:line="480" w:lineRule="exact"/>
        <w:ind w:firstLine="2880" w:firstLineChars="900"/>
        <w:rPr>
          <w:rFonts w:hint="eastAsia" w:ascii="宋体" w:hAnsi="宋体" w:eastAsia="宋体" w:cs="宋体"/>
          <w:color w:val="auto"/>
          <w:sz w:val="32"/>
          <w:highlight w:val="none"/>
          <w:u w:val="none"/>
          <w:lang w:val="en-US" w:eastAsia="zh-CN"/>
        </w:rPr>
      </w:pPr>
    </w:p>
    <w:p w14:paraId="5E1922AA">
      <w:pPr>
        <w:spacing w:line="480" w:lineRule="exact"/>
        <w:jc w:val="center"/>
        <w:rPr>
          <w:rFonts w:hint="eastAsia" w:ascii="宋体" w:hAnsi="宋体" w:eastAsia="宋体" w:cs="宋体"/>
          <w:color w:val="auto"/>
          <w:sz w:val="32"/>
          <w:highlight w:val="none"/>
          <w:u w:val="none"/>
          <w:lang w:val="en-US" w:eastAsia="zh-CN"/>
        </w:rPr>
      </w:pPr>
    </w:p>
    <w:p w14:paraId="6228E25F">
      <w:pPr>
        <w:spacing w:line="480" w:lineRule="exact"/>
        <w:jc w:val="center"/>
        <w:rPr>
          <w:rFonts w:hint="default" w:ascii="宋体" w:hAnsi="宋体" w:eastAsia="宋体" w:cs="宋体"/>
          <w:color w:val="auto"/>
          <w:sz w:val="32"/>
          <w:highlight w:val="none"/>
          <w:u w:val="none"/>
          <w:lang w:val="en-US" w:eastAsia="zh-CN"/>
        </w:rPr>
      </w:pPr>
      <w:r>
        <w:rPr>
          <w:rFonts w:hint="eastAsia" w:ascii="宋体" w:hAnsi="宋体" w:eastAsia="宋体" w:cs="宋体"/>
          <w:color w:val="auto"/>
          <w:sz w:val="32"/>
          <w:highlight w:val="none"/>
          <w:u w:val="none"/>
          <w:lang w:val="en-US" w:eastAsia="zh-CN"/>
        </w:rPr>
        <w:t>项目编号：</w:t>
      </w:r>
      <w:r>
        <w:rPr>
          <w:rFonts w:hint="eastAsia" w:ascii="宋体" w:hAnsi="宋体" w:cs="宋体"/>
          <w:color w:val="auto"/>
          <w:sz w:val="32"/>
          <w:highlight w:val="none"/>
          <w:u w:val="none"/>
          <w:lang w:val="en-US" w:eastAsia="zh-CN"/>
        </w:rPr>
        <w:t>HXJY1110001063115</w:t>
      </w:r>
      <w:r>
        <w:rPr>
          <w:rFonts w:hint="eastAsia" w:ascii="宋体" w:hAnsi="宋体" w:eastAsia="宋体" w:cs="宋体"/>
          <w:color w:val="auto"/>
          <w:sz w:val="32"/>
          <w:highlight w:val="none"/>
          <w:u w:val="none"/>
          <w:lang w:val="en-US" w:eastAsia="zh-CN"/>
        </w:rPr>
        <w:t xml:space="preserve"> </w:t>
      </w:r>
      <w:r>
        <w:rPr>
          <w:rFonts w:hint="eastAsia" w:ascii="宋体" w:hAnsi="宋体" w:cs="宋体"/>
          <w:color w:val="auto"/>
          <w:sz w:val="32"/>
          <w:highlight w:val="none"/>
          <w:u w:val="none"/>
          <w:lang w:val="en-US" w:eastAsia="zh-CN"/>
        </w:rPr>
        <w:t xml:space="preserve"> </w:t>
      </w:r>
    </w:p>
    <w:p w14:paraId="1CCCA184">
      <w:pPr>
        <w:spacing w:line="480" w:lineRule="exact"/>
        <w:ind w:firstLine="643" w:firstLineChars="200"/>
        <w:jc w:val="center"/>
        <w:rPr>
          <w:rFonts w:hint="eastAsia" w:ascii="宋体" w:hAnsi="宋体" w:eastAsia="宋体" w:cs="宋体"/>
          <w:b/>
          <w:bCs/>
          <w:color w:val="auto"/>
          <w:sz w:val="32"/>
          <w:szCs w:val="32"/>
          <w:highlight w:val="none"/>
        </w:rPr>
      </w:pPr>
    </w:p>
    <w:p w14:paraId="2968F6F1">
      <w:pPr>
        <w:spacing w:line="480" w:lineRule="exact"/>
        <w:ind w:firstLine="472" w:firstLineChars="147"/>
        <w:rPr>
          <w:rFonts w:hint="eastAsia" w:ascii="宋体" w:hAnsi="宋体" w:eastAsia="宋体" w:cs="宋体"/>
          <w:b/>
          <w:bCs/>
          <w:color w:val="auto"/>
          <w:sz w:val="32"/>
          <w:szCs w:val="32"/>
          <w:highlight w:val="none"/>
        </w:rPr>
      </w:pPr>
    </w:p>
    <w:p w14:paraId="07CE3B8E">
      <w:pPr>
        <w:spacing w:line="480" w:lineRule="exact"/>
        <w:ind w:firstLine="472" w:firstLineChars="147"/>
        <w:rPr>
          <w:rFonts w:hint="eastAsia" w:ascii="宋体" w:hAnsi="宋体" w:eastAsia="宋体" w:cs="宋体"/>
          <w:b/>
          <w:bCs/>
          <w:color w:val="auto"/>
          <w:sz w:val="32"/>
          <w:szCs w:val="32"/>
          <w:highlight w:val="none"/>
        </w:rPr>
      </w:pPr>
    </w:p>
    <w:p w14:paraId="536C2082">
      <w:pPr>
        <w:spacing w:line="480" w:lineRule="exact"/>
        <w:rPr>
          <w:rFonts w:hint="eastAsia" w:ascii="宋体" w:hAnsi="宋体" w:eastAsia="宋体" w:cs="宋体"/>
          <w:b/>
          <w:bCs/>
          <w:color w:val="auto"/>
          <w:sz w:val="32"/>
          <w:szCs w:val="32"/>
          <w:highlight w:val="none"/>
        </w:rPr>
      </w:pPr>
    </w:p>
    <w:p w14:paraId="0292DE31">
      <w:pPr>
        <w:rPr>
          <w:rFonts w:hint="eastAsia" w:ascii="宋体" w:hAnsi="宋体" w:eastAsia="宋体" w:cs="宋体"/>
          <w:color w:val="auto"/>
          <w:sz w:val="32"/>
          <w:highlight w:val="none"/>
        </w:rPr>
      </w:pPr>
    </w:p>
    <w:p w14:paraId="20B531C3">
      <w:pPr>
        <w:spacing w:line="800" w:lineRule="exact"/>
        <w:jc w:val="center"/>
        <w:rPr>
          <w:rFonts w:hint="eastAsia" w:ascii="宋体" w:hAnsi="宋体" w:eastAsia="宋体" w:cs="宋体"/>
          <w:color w:val="auto"/>
          <w:sz w:val="32"/>
          <w:highlight w:val="none"/>
          <w:lang w:val="en-US" w:eastAsia="zh-CN"/>
        </w:rPr>
      </w:pPr>
    </w:p>
    <w:p w14:paraId="44D60B52">
      <w:pPr>
        <w:spacing w:line="800" w:lineRule="exact"/>
        <w:jc w:val="center"/>
        <w:rPr>
          <w:rFonts w:hint="eastAsia" w:ascii="宋体" w:hAnsi="宋体" w:eastAsia="宋体" w:cs="宋体"/>
          <w:color w:val="auto"/>
          <w:sz w:val="32"/>
          <w:highlight w:val="none"/>
        </w:rPr>
      </w:pPr>
      <w:r>
        <w:rPr>
          <w:rFonts w:hint="eastAsia" w:ascii="宋体" w:hAnsi="宋体" w:eastAsia="宋体" w:cs="宋体"/>
          <w:color w:val="auto"/>
          <w:sz w:val="32"/>
          <w:highlight w:val="none"/>
          <w:lang w:val="en-US" w:eastAsia="zh-CN"/>
        </w:rPr>
        <w:t>招标</w:t>
      </w:r>
      <w:r>
        <w:rPr>
          <w:rFonts w:hint="eastAsia" w:ascii="宋体" w:hAnsi="宋体" w:eastAsia="宋体" w:cs="宋体"/>
          <w:color w:val="auto"/>
          <w:sz w:val="32"/>
          <w:highlight w:val="none"/>
        </w:rPr>
        <w:t>单位：</w:t>
      </w:r>
      <w:r>
        <w:rPr>
          <w:rFonts w:hint="eastAsia" w:ascii="宋体" w:cs="宋体"/>
          <w:color w:val="auto"/>
          <w:sz w:val="32"/>
          <w:highlight w:val="none"/>
          <w:u w:val="single"/>
          <w:lang w:val="en-US" w:eastAsia="zh-CN"/>
        </w:rPr>
        <w:t>滁州市园林景观管理中心</w:t>
      </w:r>
      <w:r>
        <w:rPr>
          <w:rFonts w:hint="eastAsia" w:ascii="宋体" w:hAnsi="宋体" w:eastAsia="宋体" w:cs="宋体"/>
          <w:color w:val="auto"/>
          <w:sz w:val="32"/>
          <w:highlight w:val="none"/>
          <w:u w:val="single"/>
        </w:rPr>
        <w:t>（盖章）</w:t>
      </w:r>
    </w:p>
    <w:p w14:paraId="7964B908">
      <w:pPr>
        <w:spacing w:line="800" w:lineRule="exact"/>
        <w:jc w:val="center"/>
        <w:rPr>
          <w:rFonts w:hint="eastAsia" w:ascii="宋体" w:hAnsi="宋体" w:eastAsia="宋体" w:cs="宋体"/>
          <w:color w:val="auto"/>
          <w:sz w:val="32"/>
          <w:highlight w:val="none"/>
          <w:u w:val="single"/>
        </w:rPr>
      </w:pPr>
      <w:r>
        <w:rPr>
          <w:rFonts w:hint="eastAsia" w:ascii="宋体" w:hAnsi="宋体" w:eastAsia="宋体" w:cs="宋体"/>
          <w:color w:val="auto"/>
          <w:sz w:val="32"/>
          <w:highlight w:val="none"/>
        </w:rPr>
        <w:t>代理机构：</w:t>
      </w:r>
      <w:r>
        <w:rPr>
          <w:rFonts w:hint="eastAsia" w:ascii="宋体" w:hAnsi="宋体" w:eastAsia="宋体" w:cs="宋体"/>
          <w:color w:val="auto"/>
          <w:sz w:val="32"/>
          <w:highlight w:val="none"/>
          <w:u w:val="single"/>
        </w:rPr>
        <w:t>滁州市城投工程咨询管理有限公司（盖章）</w:t>
      </w:r>
    </w:p>
    <w:p w14:paraId="6435FF63">
      <w:pPr>
        <w:spacing w:line="800" w:lineRule="exact"/>
        <w:jc w:val="center"/>
        <w:rPr>
          <w:rFonts w:hint="eastAsia" w:ascii="宋体" w:hAnsi="宋体" w:eastAsia="宋体" w:cs="宋体"/>
          <w:color w:val="auto"/>
          <w:sz w:val="32"/>
          <w:highlight w:val="none"/>
        </w:rPr>
      </w:pPr>
      <w:r>
        <w:rPr>
          <w:rFonts w:hint="eastAsia" w:ascii="宋体" w:hAnsi="宋体" w:eastAsia="宋体" w:cs="宋体"/>
          <w:color w:val="auto"/>
          <w:sz w:val="32"/>
          <w:highlight w:val="none"/>
          <w:u w:val="single"/>
        </w:rPr>
        <w:t>202</w:t>
      </w:r>
      <w:r>
        <w:rPr>
          <w:rFonts w:hint="eastAsia" w:ascii="宋体" w:hAnsi="宋体" w:cs="宋体"/>
          <w:color w:val="auto"/>
          <w:sz w:val="32"/>
          <w:highlight w:val="none"/>
          <w:u w:val="single"/>
          <w:lang w:val="en-US" w:eastAsia="zh-CN"/>
        </w:rPr>
        <w:t>6</w:t>
      </w:r>
      <w:r>
        <w:rPr>
          <w:rFonts w:hint="eastAsia" w:ascii="宋体" w:hAnsi="宋体" w:eastAsia="宋体" w:cs="宋体"/>
          <w:color w:val="auto"/>
          <w:sz w:val="32"/>
          <w:highlight w:val="none"/>
        </w:rPr>
        <w:t>年</w:t>
      </w:r>
      <w:r>
        <w:rPr>
          <w:rFonts w:hint="eastAsia" w:ascii="宋体" w:hAnsi="宋体" w:cs="宋体"/>
          <w:color w:val="auto"/>
          <w:sz w:val="32"/>
          <w:highlight w:val="none"/>
          <w:u w:val="single"/>
          <w:lang w:val="en-US" w:eastAsia="zh-CN"/>
        </w:rPr>
        <w:t xml:space="preserve"> 9 </w:t>
      </w:r>
      <w:r>
        <w:rPr>
          <w:rFonts w:hint="eastAsia" w:ascii="宋体" w:hAnsi="宋体" w:eastAsia="宋体" w:cs="宋体"/>
          <w:color w:val="auto"/>
          <w:sz w:val="32"/>
          <w:highlight w:val="none"/>
        </w:rPr>
        <w:t>月</w:t>
      </w:r>
    </w:p>
    <w:p w14:paraId="35F77A08">
      <w:pPr>
        <w:jc w:val="center"/>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br w:type="page"/>
      </w:r>
      <w:r>
        <w:rPr>
          <w:rFonts w:hint="eastAsia" w:ascii="宋体" w:hAnsi="宋体" w:eastAsia="宋体" w:cs="宋体"/>
          <w:b/>
          <w:bCs/>
          <w:color w:val="auto"/>
          <w:sz w:val="48"/>
          <w:szCs w:val="48"/>
          <w:highlight w:val="none"/>
        </w:rPr>
        <w:t>目  录</w:t>
      </w:r>
    </w:p>
    <w:p w14:paraId="6259B4B0">
      <w:pPr>
        <w:pStyle w:val="31"/>
        <w:tabs>
          <w:tab w:val="right" w:leader="dot" w:pos="9541"/>
          <w:tab w:val="clear" w:pos="8296"/>
        </w:tabs>
        <w:rPr>
          <w:rFonts w:hint="eastAsia" w:ascii="宋体" w:hAnsi="宋体" w:eastAsia="宋体" w:cs="宋体"/>
          <w:b w:val="0"/>
          <w:bCs w:val="0"/>
          <w:color w:val="auto"/>
          <w:sz w:val="24"/>
          <w:szCs w:val="24"/>
          <w:highlight w:val="none"/>
        </w:rPr>
      </w:pPr>
    </w:p>
    <w:p w14:paraId="5F0FFD1A">
      <w:pPr>
        <w:pStyle w:val="31"/>
        <w:tabs>
          <w:tab w:val="right" w:leader="dot" w:pos="9541"/>
          <w:tab w:val="clear" w:pos="8296"/>
        </w:tabs>
        <w:rPr>
          <w:rFonts w:hint="eastAsia" w:ascii="宋体" w:hAnsi="宋体" w:eastAsia="宋体" w:cs="宋体"/>
          <w:color w:val="auto"/>
          <w:highlight w:val="none"/>
        </w:rPr>
      </w:pP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TOC \o "1-2" \h \u </w:instrText>
      </w:r>
      <w:r>
        <w:rPr>
          <w:rFonts w:hint="eastAsia" w:ascii="宋体" w:hAnsi="宋体" w:eastAsia="宋体" w:cs="宋体"/>
          <w:b w:val="0"/>
          <w:bCs w:val="0"/>
          <w:color w:val="auto"/>
          <w:sz w:val="24"/>
          <w:szCs w:val="24"/>
          <w:highlight w:val="none"/>
        </w:rPr>
        <w:fldChar w:fldCharType="separate"/>
      </w:r>
      <w:r>
        <w:rPr>
          <w:rFonts w:hint="eastAsia" w:ascii="宋体" w:hAnsi="宋体" w:eastAsia="宋体" w:cs="宋体"/>
          <w:bCs w:val="0"/>
          <w:color w:val="auto"/>
          <w:szCs w:val="24"/>
          <w:highlight w:val="none"/>
        </w:rPr>
        <w:fldChar w:fldCharType="begin"/>
      </w:r>
      <w:r>
        <w:rPr>
          <w:rFonts w:hint="eastAsia" w:ascii="宋体" w:hAnsi="宋体" w:eastAsia="宋体" w:cs="宋体"/>
          <w:bCs w:val="0"/>
          <w:color w:val="auto"/>
          <w:szCs w:val="24"/>
          <w:highlight w:val="none"/>
        </w:rPr>
        <w:instrText xml:space="preserve"> HYPERLINK \l _Toc16309 </w:instrText>
      </w:r>
      <w:r>
        <w:rPr>
          <w:rFonts w:hint="eastAsia" w:ascii="宋体" w:hAnsi="宋体" w:eastAsia="宋体" w:cs="宋体"/>
          <w:bCs w:val="0"/>
          <w:color w:val="auto"/>
          <w:szCs w:val="24"/>
          <w:highlight w:val="none"/>
        </w:rPr>
        <w:fldChar w:fldCharType="separate"/>
      </w:r>
      <w:r>
        <w:rPr>
          <w:rFonts w:hint="eastAsia" w:ascii="宋体" w:hAnsi="宋体" w:eastAsia="宋体" w:cs="宋体"/>
          <w:color w:val="auto"/>
          <w:highlight w:val="none"/>
        </w:rPr>
        <w:t>A、</w:t>
      </w:r>
      <w:r>
        <w:rPr>
          <w:rFonts w:hint="eastAsia" w:hAnsi="宋体" w:eastAsia="宋体" w:cs="宋体"/>
          <w:color w:val="auto"/>
          <w:highlight w:val="none"/>
          <w:lang w:val="en-US" w:eastAsia="zh-CN"/>
        </w:rPr>
        <w:t>招标公告</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_Toc16309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w:t>
      </w:r>
      <w:r>
        <w:rPr>
          <w:rFonts w:hint="eastAsia" w:ascii="宋体" w:hAnsi="宋体" w:eastAsia="宋体" w:cs="宋体"/>
          <w:color w:val="auto"/>
          <w:highlight w:val="none"/>
        </w:rPr>
        <w:fldChar w:fldCharType="end"/>
      </w:r>
      <w:r>
        <w:rPr>
          <w:rFonts w:hint="eastAsia" w:ascii="宋体" w:hAnsi="宋体" w:eastAsia="宋体" w:cs="宋体"/>
          <w:bCs w:val="0"/>
          <w:color w:val="auto"/>
          <w:szCs w:val="24"/>
          <w:highlight w:val="none"/>
        </w:rPr>
        <w:fldChar w:fldCharType="end"/>
      </w:r>
    </w:p>
    <w:p w14:paraId="4CD5E4E4">
      <w:pPr>
        <w:pStyle w:val="31"/>
        <w:tabs>
          <w:tab w:val="right" w:leader="dot" w:pos="9541"/>
          <w:tab w:val="clear" w:pos="8296"/>
        </w:tabs>
        <w:rPr>
          <w:rFonts w:hint="eastAsia" w:ascii="宋体" w:hAnsi="宋体" w:eastAsia="宋体" w:cs="宋体"/>
          <w:color w:val="auto"/>
          <w:highlight w:val="none"/>
        </w:rPr>
      </w:pPr>
      <w:r>
        <w:rPr>
          <w:rFonts w:hint="eastAsia" w:ascii="宋体" w:hAnsi="宋体" w:eastAsia="宋体" w:cs="宋体"/>
          <w:bCs w:val="0"/>
          <w:color w:val="auto"/>
          <w:szCs w:val="24"/>
          <w:highlight w:val="none"/>
        </w:rPr>
        <w:fldChar w:fldCharType="begin"/>
      </w:r>
      <w:r>
        <w:rPr>
          <w:rFonts w:hint="eastAsia" w:ascii="宋体" w:hAnsi="宋体" w:eastAsia="宋体" w:cs="宋体"/>
          <w:bCs w:val="0"/>
          <w:color w:val="auto"/>
          <w:szCs w:val="24"/>
          <w:highlight w:val="none"/>
        </w:rPr>
        <w:instrText xml:space="preserve"> HYPERLINK \l _Toc2525 </w:instrText>
      </w:r>
      <w:r>
        <w:rPr>
          <w:rFonts w:hint="eastAsia" w:ascii="宋体" w:hAnsi="宋体" w:eastAsia="宋体" w:cs="宋体"/>
          <w:bCs w:val="0"/>
          <w:color w:val="auto"/>
          <w:szCs w:val="24"/>
          <w:highlight w:val="none"/>
        </w:rPr>
        <w:fldChar w:fldCharType="separate"/>
      </w:r>
      <w:r>
        <w:rPr>
          <w:rFonts w:hint="eastAsia" w:ascii="宋体" w:hAnsi="宋体" w:eastAsia="宋体" w:cs="宋体"/>
          <w:color w:val="auto"/>
          <w:highlight w:val="none"/>
        </w:rPr>
        <w:t>第</w:t>
      </w:r>
      <w:r>
        <w:rPr>
          <w:rFonts w:hint="eastAsia" w:ascii="宋体" w:hAnsi="宋体" w:eastAsia="宋体" w:cs="宋体"/>
          <w:color w:val="auto"/>
          <w:highlight w:val="none"/>
          <w:lang w:val="en-US" w:eastAsia="zh-CN"/>
        </w:rPr>
        <w:t>一</w:t>
      </w:r>
      <w:r>
        <w:rPr>
          <w:rFonts w:hint="eastAsia" w:ascii="宋体" w:hAnsi="宋体" w:eastAsia="宋体" w:cs="宋体"/>
          <w:color w:val="auto"/>
          <w:highlight w:val="none"/>
        </w:rPr>
        <w:t>章</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投标</w:t>
      </w:r>
      <w:r>
        <w:rPr>
          <w:rFonts w:hint="eastAsia" w:hAnsi="宋体" w:eastAsia="宋体" w:cs="宋体"/>
          <w:color w:val="auto"/>
          <w:highlight w:val="none"/>
          <w:lang w:val="en-US" w:eastAsia="zh-CN"/>
        </w:rPr>
        <w:t>人</w:t>
      </w:r>
      <w:r>
        <w:rPr>
          <w:rFonts w:hint="eastAsia" w:ascii="宋体" w:hAnsi="宋体" w:eastAsia="宋体" w:cs="宋体"/>
          <w:color w:val="auto"/>
          <w:highlight w:val="none"/>
        </w:rPr>
        <w:t>须知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_Toc2525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4</w:t>
      </w:r>
      <w:r>
        <w:rPr>
          <w:rFonts w:hint="eastAsia" w:ascii="宋体" w:hAnsi="宋体" w:eastAsia="宋体" w:cs="宋体"/>
          <w:color w:val="auto"/>
          <w:highlight w:val="none"/>
        </w:rPr>
        <w:fldChar w:fldCharType="end"/>
      </w:r>
      <w:r>
        <w:rPr>
          <w:rFonts w:hint="eastAsia" w:ascii="宋体" w:hAnsi="宋体" w:eastAsia="宋体" w:cs="宋体"/>
          <w:bCs w:val="0"/>
          <w:color w:val="auto"/>
          <w:szCs w:val="24"/>
          <w:highlight w:val="none"/>
        </w:rPr>
        <w:fldChar w:fldCharType="end"/>
      </w:r>
    </w:p>
    <w:p w14:paraId="37667979">
      <w:pPr>
        <w:pStyle w:val="31"/>
        <w:tabs>
          <w:tab w:val="right" w:leader="dot" w:pos="9541"/>
          <w:tab w:val="clear" w:pos="8296"/>
        </w:tabs>
        <w:rPr>
          <w:rFonts w:hint="eastAsia" w:ascii="宋体" w:hAnsi="宋体" w:eastAsia="宋体" w:cs="宋体"/>
          <w:color w:val="auto"/>
          <w:highlight w:val="none"/>
        </w:rPr>
      </w:pPr>
      <w:r>
        <w:rPr>
          <w:rFonts w:hint="eastAsia" w:ascii="宋体" w:hAnsi="宋体" w:eastAsia="宋体" w:cs="宋体"/>
          <w:bCs w:val="0"/>
          <w:color w:val="auto"/>
          <w:szCs w:val="24"/>
          <w:highlight w:val="none"/>
        </w:rPr>
        <w:fldChar w:fldCharType="begin"/>
      </w:r>
      <w:r>
        <w:rPr>
          <w:rFonts w:hint="eastAsia" w:ascii="宋体" w:hAnsi="宋体" w:eastAsia="宋体" w:cs="宋体"/>
          <w:bCs w:val="0"/>
          <w:color w:val="auto"/>
          <w:szCs w:val="24"/>
          <w:highlight w:val="none"/>
        </w:rPr>
        <w:instrText xml:space="preserve"> HYPERLINK \l _Toc13234 </w:instrText>
      </w:r>
      <w:r>
        <w:rPr>
          <w:rFonts w:hint="eastAsia" w:ascii="宋体" w:hAnsi="宋体" w:eastAsia="宋体" w:cs="宋体"/>
          <w:bCs w:val="0"/>
          <w:color w:val="auto"/>
          <w:szCs w:val="24"/>
          <w:highlight w:val="none"/>
        </w:rPr>
        <w:fldChar w:fldCharType="separate"/>
      </w:r>
      <w:r>
        <w:rPr>
          <w:rFonts w:hint="eastAsia" w:ascii="宋体" w:hAnsi="宋体" w:eastAsia="宋体" w:cs="宋体"/>
          <w:color w:val="auto"/>
          <w:highlight w:val="none"/>
          <w:lang w:val="en-US" w:eastAsia="zh-CN"/>
        </w:rPr>
        <w:t>第二章 评标办法</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_Toc13234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17</w:t>
      </w:r>
      <w:r>
        <w:rPr>
          <w:rFonts w:hint="eastAsia" w:ascii="宋体" w:hAnsi="宋体" w:eastAsia="宋体" w:cs="宋体"/>
          <w:color w:val="auto"/>
          <w:highlight w:val="none"/>
        </w:rPr>
        <w:fldChar w:fldCharType="end"/>
      </w:r>
      <w:r>
        <w:rPr>
          <w:rFonts w:hint="eastAsia" w:ascii="宋体" w:hAnsi="宋体" w:eastAsia="宋体" w:cs="宋体"/>
          <w:bCs w:val="0"/>
          <w:color w:val="auto"/>
          <w:szCs w:val="24"/>
          <w:highlight w:val="none"/>
        </w:rPr>
        <w:fldChar w:fldCharType="end"/>
      </w:r>
    </w:p>
    <w:p w14:paraId="65E06610">
      <w:pPr>
        <w:pStyle w:val="31"/>
        <w:tabs>
          <w:tab w:val="right" w:leader="dot" w:pos="9541"/>
          <w:tab w:val="clear" w:pos="8296"/>
        </w:tabs>
        <w:rPr>
          <w:rFonts w:hint="eastAsia" w:ascii="宋体" w:hAnsi="宋体" w:eastAsia="宋体" w:cs="宋体"/>
          <w:color w:val="auto"/>
          <w:highlight w:val="none"/>
        </w:rPr>
      </w:pPr>
      <w:r>
        <w:rPr>
          <w:rFonts w:hint="eastAsia" w:ascii="宋体" w:hAnsi="宋体" w:eastAsia="宋体" w:cs="宋体"/>
          <w:bCs w:val="0"/>
          <w:color w:val="auto"/>
          <w:szCs w:val="24"/>
          <w:highlight w:val="none"/>
        </w:rPr>
        <w:fldChar w:fldCharType="begin"/>
      </w:r>
      <w:r>
        <w:rPr>
          <w:rFonts w:hint="eastAsia" w:ascii="宋体" w:hAnsi="宋体" w:eastAsia="宋体" w:cs="宋体"/>
          <w:bCs w:val="0"/>
          <w:color w:val="auto"/>
          <w:szCs w:val="24"/>
          <w:highlight w:val="none"/>
        </w:rPr>
        <w:instrText xml:space="preserve"> HYPERLINK \l _Toc3848 </w:instrText>
      </w:r>
      <w:r>
        <w:rPr>
          <w:rFonts w:hint="eastAsia" w:ascii="宋体" w:hAnsi="宋体" w:eastAsia="宋体" w:cs="宋体"/>
          <w:bCs w:val="0"/>
          <w:color w:val="auto"/>
          <w:szCs w:val="24"/>
          <w:highlight w:val="none"/>
        </w:rPr>
        <w:fldChar w:fldCharType="separate"/>
      </w:r>
      <w:r>
        <w:rPr>
          <w:rFonts w:hint="eastAsia" w:ascii="宋体" w:hAnsi="宋体" w:eastAsia="宋体" w:cs="宋体"/>
          <w:color w:val="auto"/>
          <w:szCs w:val="44"/>
          <w:highlight w:val="none"/>
          <w:lang w:val="en-US" w:eastAsia="zh-CN"/>
        </w:rPr>
        <w:t>第三章 合同条款</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_Toc3848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22</w:t>
      </w:r>
      <w:r>
        <w:rPr>
          <w:rFonts w:hint="eastAsia" w:ascii="宋体" w:hAnsi="宋体" w:eastAsia="宋体" w:cs="宋体"/>
          <w:color w:val="auto"/>
          <w:highlight w:val="none"/>
        </w:rPr>
        <w:fldChar w:fldCharType="end"/>
      </w:r>
      <w:r>
        <w:rPr>
          <w:rFonts w:hint="eastAsia" w:ascii="宋体" w:hAnsi="宋体" w:eastAsia="宋体" w:cs="宋体"/>
          <w:bCs w:val="0"/>
          <w:color w:val="auto"/>
          <w:szCs w:val="24"/>
          <w:highlight w:val="none"/>
        </w:rPr>
        <w:fldChar w:fldCharType="end"/>
      </w:r>
    </w:p>
    <w:p w14:paraId="02A250ED">
      <w:pPr>
        <w:pStyle w:val="31"/>
        <w:tabs>
          <w:tab w:val="right" w:leader="dot" w:pos="9541"/>
          <w:tab w:val="clear" w:pos="8296"/>
        </w:tabs>
        <w:rPr>
          <w:rFonts w:hint="eastAsia" w:ascii="宋体" w:hAnsi="宋体" w:eastAsia="宋体" w:cs="宋体"/>
          <w:color w:val="auto"/>
          <w:highlight w:val="none"/>
          <w:lang w:val="en-US" w:eastAsia="zh-CN"/>
        </w:rPr>
      </w:pPr>
      <w:r>
        <w:rPr>
          <w:rFonts w:hint="eastAsia" w:ascii="宋体" w:hAnsi="宋体" w:eastAsia="宋体" w:cs="宋体"/>
          <w:bCs w:val="0"/>
          <w:color w:val="auto"/>
          <w:szCs w:val="24"/>
          <w:highlight w:val="none"/>
        </w:rPr>
        <w:fldChar w:fldCharType="begin"/>
      </w:r>
      <w:r>
        <w:rPr>
          <w:rFonts w:hint="eastAsia" w:ascii="宋体" w:hAnsi="宋体" w:eastAsia="宋体" w:cs="宋体"/>
          <w:bCs w:val="0"/>
          <w:color w:val="auto"/>
          <w:szCs w:val="24"/>
          <w:highlight w:val="none"/>
        </w:rPr>
        <w:instrText xml:space="preserve"> HYPERLINK \l _Toc30675 </w:instrText>
      </w:r>
      <w:r>
        <w:rPr>
          <w:rFonts w:hint="eastAsia" w:ascii="宋体" w:hAnsi="宋体" w:eastAsia="宋体" w:cs="宋体"/>
          <w:bCs w:val="0"/>
          <w:color w:val="auto"/>
          <w:szCs w:val="24"/>
          <w:highlight w:val="none"/>
        </w:rPr>
        <w:fldChar w:fldCharType="separate"/>
      </w:r>
      <w:r>
        <w:rPr>
          <w:rFonts w:hint="eastAsia" w:ascii="宋体" w:hAnsi="宋体" w:eastAsia="宋体" w:cs="宋体"/>
          <w:color w:val="auto"/>
          <w:highlight w:val="none"/>
          <w:lang w:val="en-US" w:eastAsia="zh-CN"/>
        </w:rPr>
        <w:t>第四章 投标文件格式</w:t>
      </w:r>
      <w:r>
        <w:rPr>
          <w:rFonts w:hint="eastAsia" w:ascii="宋体" w:hAnsi="宋体" w:eastAsia="宋体" w:cs="宋体"/>
          <w:color w:val="auto"/>
          <w:highlight w:val="none"/>
        </w:rPr>
        <w:tab/>
      </w:r>
      <w:r>
        <w:rPr>
          <w:rFonts w:hint="eastAsia" w:hAnsi="宋体" w:eastAsia="宋体" w:cs="宋体"/>
          <w:color w:val="auto"/>
          <w:highlight w:val="none"/>
          <w:lang w:val="en-US" w:eastAsia="zh-CN"/>
        </w:rPr>
        <w:t>2</w:t>
      </w:r>
      <w:r>
        <w:rPr>
          <w:rFonts w:hint="eastAsia" w:ascii="宋体" w:hAnsi="宋体" w:eastAsia="宋体" w:cs="宋体"/>
          <w:bCs w:val="0"/>
          <w:color w:val="auto"/>
          <w:szCs w:val="24"/>
          <w:highlight w:val="none"/>
        </w:rPr>
        <w:fldChar w:fldCharType="end"/>
      </w:r>
      <w:r>
        <w:rPr>
          <w:rFonts w:hint="eastAsia" w:hAnsi="宋体" w:eastAsia="宋体" w:cs="宋体"/>
          <w:bCs w:val="0"/>
          <w:color w:val="auto"/>
          <w:szCs w:val="24"/>
          <w:highlight w:val="none"/>
          <w:lang w:val="en-US" w:eastAsia="zh-CN"/>
        </w:rPr>
        <w:t>9</w:t>
      </w:r>
    </w:p>
    <w:p w14:paraId="703F52F3">
      <w:pPr>
        <w:pStyle w:val="31"/>
        <w:tabs>
          <w:tab w:val="right" w:leader="dot" w:pos="9541"/>
          <w:tab w:val="clear" w:pos="8296"/>
        </w:tabs>
        <w:rPr>
          <w:rFonts w:hint="eastAsia" w:ascii="宋体" w:hAnsi="宋体" w:eastAsia="宋体" w:cs="宋体"/>
          <w:color w:val="auto"/>
          <w:highlight w:val="none"/>
          <w:lang w:val="en-US" w:eastAsia="zh-CN"/>
        </w:rPr>
      </w:pPr>
      <w:r>
        <w:rPr>
          <w:rFonts w:hint="eastAsia" w:ascii="宋体" w:hAnsi="宋体" w:eastAsia="宋体" w:cs="宋体"/>
          <w:bCs w:val="0"/>
          <w:color w:val="auto"/>
          <w:szCs w:val="24"/>
          <w:highlight w:val="none"/>
        </w:rPr>
        <w:fldChar w:fldCharType="begin"/>
      </w:r>
      <w:r>
        <w:rPr>
          <w:rFonts w:hint="eastAsia" w:ascii="宋体" w:hAnsi="宋体" w:eastAsia="宋体" w:cs="宋体"/>
          <w:bCs w:val="0"/>
          <w:color w:val="auto"/>
          <w:szCs w:val="24"/>
          <w:highlight w:val="none"/>
        </w:rPr>
        <w:instrText xml:space="preserve"> HYPERLINK \l _Toc31498 </w:instrText>
      </w:r>
      <w:r>
        <w:rPr>
          <w:rFonts w:hint="eastAsia" w:ascii="宋体" w:hAnsi="宋体" w:eastAsia="宋体" w:cs="宋体"/>
          <w:bCs w:val="0"/>
          <w:color w:val="auto"/>
          <w:szCs w:val="24"/>
          <w:highlight w:val="none"/>
        </w:rPr>
        <w:fldChar w:fldCharType="separate"/>
      </w:r>
      <w:r>
        <w:rPr>
          <w:rFonts w:hint="eastAsia" w:ascii="宋体" w:hAnsi="宋体" w:eastAsia="宋体" w:cs="宋体"/>
          <w:color w:val="auto"/>
          <w:highlight w:val="none"/>
          <w:lang w:val="en-US" w:eastAsia="zh-CN"/>
        </w:rPr>
        <w:t>第五章 招标单位、招标代理机构对本招标文件的确认</w:t>
      </w:r>
      <w:r>
        <w:rPr>
          <w:rFonts w:hint="eastAsia" w:ascii="宋体" w:hAnsi="宋体" w:eastAsia="宋体" w:cs="宋体"/>
          <w:color w:val="auto"/>
          <w:highlight w:val="none"/>
        </w:rPr>
        <w:tab/>
      </w:r>
      <w:r>
        <w:rPr>
          <w:rFonts w:hint="eastAsia" w:hAnsi="宋体" w:eastAsia="宋体" w:cs="宋体"/>
          <w:color w:val="auto"/>
          <w:highlight w:val="none"/>
          <w:lang w:val="en-US" w:eastAsia="zh-CN"/>
        </w:rPr>
        <w:t>3</w:t>
      </w:r>
      <w:r>
        <w:rPr>
          <w:rFonts w:hint="eastAsia" w:ascii="宋体" w:hAnsi="宋体" w:eastAsia="宋体" w:cs="宋体"/>
          <w:bCs w:val="0"/>
          <w:color w:val="auto"/>
          <w:szCs w:val="24"/>
          <w:highlight w:val="none"/>
        </w:rPr>
        <w:fldChar w:fldCharType="end"/>
      </w:r>
      <w:r>
        <w:rPr>
          <w:rFonts w:hint="eastAsia" w:hAnsi="宋体" w:eastAsia="宋体" w:cs="宋体"/>
          <w:bCs w:val="0"/>
          <w:color w:val="auto"/>
          <w:szCs w:val="24"/>
          <w:highlight w:val="none"/>
          <w:lang w:val="en-US" w:eastAsia="zh-CN"/>
        </w:rPr>
        <w:t>4</w:t>
      </w:r>
    </w:p>
    <w:p w14:paraId="2E1D2DC7">
      <w:pPr>
        <w:pStyle w:val="2"/>
        <w:spacing w:before="0" w:after="0" w:line="480" w:lineRule="auto"/>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Cs w:val="0"/>
          <w:color w:val="auto"/>
          <w:szCs w:val="24"/>
          <w:highlight w:val="none"/>
        </w:rPr>
        <w:fldChar w:fldCharType="end"/>
      </w:r>
      <w:r>
        <w:rPr>
          <w:rFonts w:hint="eastAsia" w:ascii="宋体" w:hAnsi="宋体" w:eastAsia="宋体" w:cs="宋体"/>
          <w:b w:val="0"/>
          <w:bCs w:val="0"/>
          <w:color w:val="auto"/>
          <w:sz w:val="24"/>
          <w:szCs w:val="24"/>
          <w:highlight w:val="none"/>
          <w:lang w:val="en-US" w:eastAsia="zh-CN"/>
        </w:rPr>
        <w:t xml:space="preserve"> </w:t>
      </w:r>
    </w:p>
    <w:p w14:paraId="7DC563D7">
      <w:pPr>
        <w:rPr>
          <w:rFonts w:hint="eastAsia" w:ascii="宋体" w:hAnsi="宋体" w:eastAsia="宋体" w:cs="宋体"/>
          <w:color w:val="auto"/>
          <w:highlight w:val="none"/>
        </w:rPr>
        <w:sectPr>
          <w:footerReference r:id="rId5" w:type="first"/>
          <w:headerReference r:id="rId3" w:type="default"/>
          <w:footerReference r:id="rId4" w:type="default"/>
          <w:pgSz w:w="11906" w:h="16838"/>
          <w:pgMar w:top="1134" w:right="1106" w:bottom="1134" w:left="1259" w:header="680" w:footer="680" w:gutter="0"/>
          <w:pgNumType w:start="1"/>
          <w:cols w:space="0" w:num="1"/>
          <w:docGrid w:type="lines" w:linePitch="318" w:charSpace="0"/>
        </w:sectPr>
      </w:pPr>
      <w:r>
        <w:rPr>
          <w:rFonts w:hint="eastAsia" w:ascii="宋体" w:hAnsi="宋体" w:eastAsia="宋体" w:cs="宋体"/>
          <w:b w:val="0"/>
          <w:bCs w:val="0"/>
          <w:color w:val="auto"/>
          <w:sz w:val="24"/>
          <w:szCs w:val="24"/>
          <w:highlight w:val="none"/>
        </w:rPr>
        <w:tab/>
      </w:r>
    </w:p>
    <w:p w14:paraId="3D41C168">
      <w:pPr>
        <w:pStyle w:val="2"/>
        <w:keepNext/>
        <w:keepLines/>
        <w:pageBreakBefore w:val="0"/>
        <w:widowControl w:val="0"/>
        <w:numPr>
          <w:ilvl w:val="0"/>
          <w:numId w:val="1"/>
        </w:numPr>
        <w:kinsoku/>
        <w:wordWrap/>
        <w:overflowPunct/>
        <w:topLinePunct w:val="0"/>
        <w:bidi w:val="0"/>
        <w:snapToGrid/>
        <w:spacing w:before="0" w:after="0" w:line="500" w:lineRule="exact"/>
        <w:textAlignment w:val="auto"/>
        <w:rPr>
          <w:rFonts w:hint="eastAsia" w:ascii="宋体" w:hAnsi="宋体" w:eastAsia="宋体" w:cs="宋体"/>
          <w:color w:val="auto"/>
          <w:highlight w:val="none"/>
          <w:lang w:val="en-US" w:eastAsia="zh-CN"/>
        </w:rPr>
      </w:pPr>
      <w:bookmarkStart w:id="0" w:name="_Toc16309"/>
      <w:r>
        <w:rPr>
          <w:rFonts w:hint="eastAsia" w:ascii="宋体" w:hAnsi="宋体" w:eastAsia="宋体" w:cs="宋体"/>
          <w:color w:val="auto"/>
          <w:highlight w:val="none"/>
          <w:lang w:val="en-US" w:eastAsia="zh-CN"/>
        </w:rPr>
        <w:t>招标公告</w:t>
      </w:r>
    </w:p>
    <w:p w14:paraId="6AFAA93A">
      <w:pPr>
        <w:pStyle w:val="2"/>
        <w:keepNext/>
        <w:keepLines/>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500" w:lineRule="exact"/>
        <w:jc w:val="center"/>
        <w:textAlignment w:val="auto"/>
        <w:rPr>
          <w:rFonts w:hint="eastAsia" w:ascii="宋体" w:hAnsi="宋体" w:eastAsia="宋体" w:cs="宋体"/>
          <w:b/>
          <w:bCs/>
          <w:color w:val="auto"/>
          <w:sz w:val="21"/>
          <w:szCs w:val="21"/>
          <w:highlight w:val="none"/>
        </w:rPr>
      </w:pPr>
      <w:bookmarkStart w:id="1" w:name="_Toc14627"/>
      <w:bookmarkStart w:id="2" w:name="_Toc21262"/>
      <w:r>
        <w:rPr>
          <w:rFonts w:hint="eastAsia" w:ascii="华文中宋" w:hAnsi="华文中宋" w:eastAsia="华文中宋" w:cs="Times New Roman"/>
          <w:color w:val="auto"/>
          <w:highlight w:val="none"/>
          <w:lang w:val="en-US" w:eastAsia="zh-CN"/>
        </w:rPr>
        <w:t>2026年公园游园设施安全整治项目跟踪审计项目</w:t>
      </w:r>
      <w:r>
        <w:rPr>
          <w:rFonts w:hint="eastAsia" w:ascii="华文中宋" w:hAnsi="华文中宋" w:eastAsia="华文中宋" w:cs="Times New Roman"/>
          <w:color w:val="auto"/>
          <w:highlight w:val="none"/>
          <w:lang w:eastAsia="zh-CN"/>
        </w:rPr>
        <w:t>招标公告</w:t>
      </w:r>
      <w:bookmarkEnd w:id="1"/>
      <w:bookmarkEnd w:id="2"/>
      <w:bookmarkStart w:id="3" w:name="_Toc11704"/>
      <w:bookmarkStart w:id="4" w:name="_Toc35393790"/>
      <w:bookmarkStart w:id="5" w:name="_Toc23993"/>
      <w:bookmarkStart w:id="6" w:name="_Toc31215"/>
      <w:bookmarkStart w:id="7" w:name="_Toc28359079"/>
      <w:bookmarkStart w:id="8" w:name="_Toc28359002"/>
      <w:bookmarkStart w:id="9" w:name="_Toc35393621"/>
      <w:bookmarkStart w:id="10" w:name="_Hlk24379207"/>
    </w:p>
    <w:p w14:paraId="0105351F">
      <w:pPr>
        <w:keepNext/>
        <w:keepLines/>
        <w:pageBreakBefore w:val="0"/>
        <w:widowControl w:val="0"/>
        <w:kinsoku/>
        <w:wordWrap/>
        <w:overflowPunct/>
        <w:topLinePunct w:val="0"/>
        <w:autoSpaceDE/>
        <w:autoSpaceDN/>
        <w:bidi w:val="0"/>
        <w:adjustRightInd/>
        <w:snapToGrid/>
        <w:spacing w:before="100" w:after="100" w:line="440" w:lineRule="exact"/>
        <w:ind w:firstLine="422" w:firstLineChars="200"/>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一、项目基本情况</w:t>
      </w:r>
      <w:bookmarkEnd w:id="3"/>
      <w:bookmarkEnd w:id="4"/>
      <w:bookmarkEnd w:id="5"/>
      <w:bookmarkEnd w:id="6"/>
      <w:bookmarkEnd w:id="7"/>
      <w:bookmarkEnd w:id="8"/>
      <w:bookmarkEnd w:id="9"/>
    </w:p>
    <w:bookmarkEnd w:id="10"/>
    <w:p w14:paraId="660E968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420" w:firstLineChars="200"/>
        <w:jc w:val="left"/>
        <w:textAlignment w:val="auto"/>
        <w:rPr>
          <w:rFonts w:hint="eastAsia" w:ascii="宋体" w:hAnsi="宋体" w:eastAsia="宋体" w:cs="宋体"/>
          <w:i w:val="0"/>
          <w:iCs w:val="0"/>
          <w:caps w:val="0"/>
          <w:color w:val="auto"/>
          <w:spacing w:val="0"/>
          <w:kern w:val="0"/>
          <w:sz w:val="21"/>
          <w:szCs w:val="21"/>
          <w:highlight w:val="none"/>
          <w:shd w:val="clear" w:fill="FFFFFF"/>
          <w:lang w:val="en-US" w:eastAsia="zh-CN" w:bidi="ar"/>
        </w:rPr>
      </w:pPr>
      <w:bookmarkStart w:id="11" w:name="_Toc28359080"/>
      <w:bookmarkStart w:id="12" w:name="_Toc28359003"/>
      <w:bookmarkStart w:id="13" w:name="_Toc35393791"/>
      <w:bookmarkStart w:id="14" w:name="_Toc4879"/>
      <w:bookmarkStart w:id="15" w:name="_Toc28004"/>
      <w:bookmarkStart w:id="16" w:name="_Toc35393622"/>
      <w:r>
        <w:rPr>
          <w:rFonts w:hint="eastAsia" w:ascii="宋体" w:hAnsi="宋体" w:eastAsia="宋体" w:cs="宋体"/>
          <w:i w:val="0"/>
          <w:iCs w:val="0"/>
          <w:caps w:val="0"/>
          <w:color w:val="auto"/>
          <w:spacing w:val="0"/>
          <w:kern w:val="0"/>
          <w:sz w:val="21"/>
          <w:szCs w:val="21"/>
          <w:highlight w:val="none"/>
          <w:shd w:val="clear" w:fill="FFFFFF"/>
          <w:lang w:val="en-US" w:eastAsia="zh-CN" w:bidi="ar"/>
        </w:rPr>
        <w:t>项目编号：</w:t>
      </w:r>
      <w:r>
        <w:rPr>
          <w:rFonts w:hint="eastAsia" w:ascii="宋体" w:hAnsi="宋体" w:cs="宋体"/>
          <w:i w:val="0"/>
          <w:iCs w:val="0"/>
          <w:caps w:val="0"/>
          <w:color w:val="auto"/>
          <w:spacing w:val="0"/>
          <w:kern w:val="0"/>
          <w:sz w:val="21"/>
          <w:szCs w:val="21"/>
          <w:highlight w:val="none"/>
          <w:shd w:val="clear" w:fill="FFFFFF"/>
          <w:lang w:val="en-US" w:eastAsia="zh-CN" w:bidi="ar"/>
        </w:rPr>
        <w:t>HXJY1110001063115</w:t>
      </w:r>
      <w:r>
        <w:rPr>
          <w:rFonts w:hint="eastAsia" w:ascii="宋体" w:hAnsi="宋体" w:eastAsia="宋体" w:cs="宋体"/>
          <w:i w:val="0"/>
          <w:iCs w:val="0"/>
          <w:caps w:val="0"/>
          <w:color w:val="auto"/>
          <w:spacing w:val="0"/>
          <w:kern w:val="0"/>
          <w:sz w:val="21"/>
          <w:szCs w:val="21"/>
          <w:highlight w:val="none"/>
          <w:shd w:val="clear" w:fill="FFFFFF"/>
          <w:lang w:val="en-US" w:eastAsia="zh-CN" w:bidi="ar"/>
        </w:rPr>
        <w:t xml:space="preserve"> </w:t>
      </w:r>
      <w:r>
        <w:rPr>
          <w:rFonts w:hint="eastAsia" w:ascii="宋体" w:hAnsi="宋体" w:cs="宋体"/>
          <w:i w:val="0"/>
          <w:iCs w:val="0"/>
          <w:caps w:val="0"/>
          <w:color w:val="auto"/>
          <w:spacing w:val="0"/>
          <w:kern w:val="0"/>
          <w:sz w:val="21"/>
          <w:szCs w:val="21"/>
          <w:highlight w:val="none"/>
          <w:shd w:val="clear" w:fill="FFFFFF"/>
          <w:lang w:val="en-US" w:eastAsia="zh-CN" w:bidi="ar"/>
        </w:rPr>
        <w:t xml:space="preserve"> </w:t>
      </w:r>
    </w:p>
    <w:p w14:paraId="1E27E1D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420" w:firstLineChars="200"/>
        <w:jc w:val="left"/>
        <w:textAlignment w:val="auto"/>
        <w:rPr>
          <w:rFonts w:hint="eastAsia" w:ascii="宋体" w:hAnsi="宋体" w:eastAsia="宋体" w:cs="宋体"/>
          <w:i w:val="0"/>
          <w:iCs w:val="0"/>
          <w:caps w:val="0"/>
          <w:color w:val="auto"/>
          <w:spacing w:val="0"/>
          <w:kern w:val="0"/>
          <w:sz w:val="21"/>
          <w:szCs w:val="21"/>
          <w:highlight w:val="none"/>
          <w:shd w:val="clear" w:fill="FFFFFF"/>
          <w:lang w:val="en-US" w:eastAsia="zh-CN" w:bidi="ar"/>
        </w:rPr>
      </w:pPr>
      <w:r>
        <w:rPr>
          <w:rFonts w:hint="eastAsia" w:ascii="宋体" w:hAnsi="宋体" w:eastAsia="宋体" w:cs="宋体"/>
          <w:i w:val="0"/>
          <w:iCs w:val="0"/>
          <w:caps w:val="0"/>
          <w:color w:val="auto"/>
          <w:spacing w:val="0"/>
          <w:kern w:val="0"/>
          <w:sz w:val="21"/>
          <w:szCs w:val="21"/>
          <w:highlight w:val="none"/>
          <w:shd w:val="clear" w:fill="FFFFFF"/>
          <w:lang w:val="en-US" w:eastAsia="zh-CN" w:bidi="ar"/>
        </w:rPr>
        <w:t>项目名称：</w:t>
      </w:r>
      <w:r>
        <w:rPr>
          <w:rFonts w:hint="eastAsia" w:ascii="宋体" w:hAnsi="宋体" w:cs="宋体"/>
          <w:i w:val="0"/>
          <w:iCs w:val="0"/>
          <w:caps w:val="0"/>
          <w:color w:val="auto"/>
          <w:spacing w:val="0"/>
          <w:kern w:val="0"/>
          <w:sz w:val="21"/>
          <w:szCs w:val="21"/>
          <w:highlight w:val="none"/>
          <w:shd w:val="clear" w:fill="FFFFFF"/>
          <w:lang w:val="en-US" w:eastAsia="zh-CN" w:bidi="ar"/>
        </w:rPr>
        <w:t>2026年公园游园设施安全整治项目跟踪审计项目</w:t>
      </w:r>
    </w:p>
    <w:p w14:paraId="1991BF2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420" w:firstLineChars="200"/>
        <w:jc w:val="left"/>
        <w:textAlignment w:val="auto"/>
        <w:rPr>
          <w:rFonts w:hint="default" w:ascii="宋体" w:hAnsi="宋体" w:eastAsia="宋体" w:cs="宋体"/>
          <w:i w:val="0"/>
          <w:iCs w:val="0"/>
          <w:caps w:val="0"/>
          <w:color w:val="auto"/>
          <w:spacing w:val="0"/>
          <w:kern w:val="0"/>
          <w:sz w:val="21"/>
          <w:szCs w:val="21"/>
          <w:highlight w:val="none"/>
          <w:shd w:val="clear" w:fill="FFFFFF"/>
          <w:lang w:val="en-US" w:eastAsia="zh-CN" w:bidi="ar"/>
        </w:rPr>
      </w:pPr>
      <w:r>
        <w:rPr>
          <w:rFonts w:hint="eastAsia" w:ascii="宋体" w:hAnsi="宋体" w:eastAsia="宋体" w:cs="宋体"/>
          <w:i w:val="0"/>
          <w:iCs w:val="0"/>
          <w:caps w:val="0"/>
          <w:color w:val="auto"/>
          <w:spacing w:val="0"/>
          <w:kern w:val="0"/>
          <w:sz w:val="21"/>
          <w:szCs w:val="21"/>
          <w:highlight w:val="none"/>
          <w:shd w:val="clear" w:fill="FFFFFF"/>
          <w:lang w:val="en-US" w:eastAsia="zh-CN" w:bidi="ar"/>
        </w:rPr>
        <w:t>预算金额：</w:t>
      </w:r>
      <w:r>
        <w:rPr>
          <w:rFonts w:hint="eastAsia" w:ascii="宋体" w:hAnsi="宋体" w:cs="宋体"/>
          <w:i w:val="0"/>
          <w:iCs w:val="0"/>
          <w:caps w:val="0"/>
          <w:color w:val="auto"/>
          <w:spacing w:val="0"/>
          <w:kern w:val="0"/>
          <w:sz w:val="21"/>
          <w:szCs w:val="21"/>
          <w:highlight w:val="none"/>
          <w:shd w:val="clear" w:fill="FFFFFF"/>
          <w:lang w:val="en-US" w:eastAsia="zh-CN" w:bidi="ar"/>
        </w:rPr>
        <w:t>约0.3万元。</w:t>
      </w:r>
    </w:p>
    <w:p w14:paraId="5705B9E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420" w:firstLineChars="200"/>
        <w:jc w:val="left"/>
        <w:textAlignment w:val="auto"/>
        <w:rPr>
          <w:rFonts w:hint="eastAsia" w:ascii="宋体" w:hAnsi="宋体" w:eastAsia="宋体" w:cs="宋体"/>
          <w:i w:val="0"/>
          <w:iCs w:val="0"/>
          <w:caps w:val="0"/>
          <w:color w:val="auto"/>
          <w:spacing w:val="0"/>
          <w:kern w:val="0"/>
          <w:sz w:val="21"/>
          <w:szCs w:val="21"/>
          <w:highlight w:val="none"/>
          <w:shd w:val="clear" w:fill="FFFFFF"/>
          <w:lang w:val="en-US" w:eastAsia="zh-CN" w:bidi="ar"/>
        </w:rPr>
      </w:pPr>
      <w:r>
        <w:rPr>
          <w:rFonts w:hint="eastAsia" w:ascii="宋体" w:hAnsi="宋体" w:eastAsia="宋体" w:cs="宋体"/>
          <w:i w:val="0"/>
          <w:iCs w:val="0"/>
          <w:caps w:val="0"/>
          <w:color w:val="auto"/>
          <w:spacing w:val="0"/>
          <w:kern w:val="0"/>
          <w:sz w:val="21"/>
          <w:szCs w:val="21"/>
          <w:highlight w:val="none"/>
          <w:shd w:val="clear" w:fill="FFFFFF"/>
          <w:lang w:val="en-US" w:eastAsia="zh-CN" w:bidi="ar"/>
        </w:rPr>
        <w:t>最高限价：本项目的最高限价为基本费率3‰；审核成果费率4%（审核成果费率为不可竞争费率，固定不变），</w:t>
      </w:r>
      <w:r>
        <w:rPr>
          <w:rFonts w:hint="eastAsia" w:ascii="宋体" w:hAnsi="宋体" w:cs="宋体"/>
          <w:i w:val="0"/>
          <w:iCs w:val="0"/>
          <w:caps w:val="0"/>
          <w:color w:val="auto"/>
          <w:spacing w:val="0"/>
          <w:kern w:val="0"/>
          <w:sz w:val="21"/>
          <w:szCs w:val="21"/>
          <w:highlight w:val="none"/>
          <w:shd w:val="clear" w:fill="FFFFFF"/>
          <w:lang w:val="en-US" w:eastAsia="zh-CN" w:bidi="ar"/>
        </w:rPr>
        <w:t>基本费率由投标人自主报价，不得高于上述基本费率最高限价且不可以填报0或负数，否则按无效标处理。（投标报价费率要求精确到小数点后两位。）</w:t>
      </w:r>
      <w:r>
        <w:rPr>
          <w:rFonts w:hint="eastAsia" w:ascii="宋体" w:hAnsi="宋体" w:eastAsia="宋体" w:cs="宋体"/>
          <w:i w:val="0"/>
          <w:iCs w:val="0"/>
          <w:caps w:val="0"/>
          <w:color w:val="auto"/>
          <w:spacing w:val="0"/>
          <w:kern w:val="0"/>
          <w:sz w:val="21"/>
          <w:szCs w:val="21"/>
          <w:highlight w:val="none"/>
          <w:shd w:val="clear" w:fill="FFFFFF"/>
          <w:lang w:val="en-US" w:eastAsia="zh-CN" w:bidi="ar"/>
        </w:rPr>
        <w:t>。</w:t>
      </w:r>
    </w:p>
    <w:p w14:paraId="45CFA02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420" w:firstLineChars="200"/>
        <w:jc w:val="left"/>
        <w:textAlignment w:val="auto"/>
        <w:rPr>
          <w:rFonts w:hint="eastAsia" w:ascii="宋体" w:hAnsi="宋体" w:eastAsia="宋体" w:cs="宋体"/>
          <w:i w:val="0"/>
          <w:iCs w:val="0"/>
          <w:caps w:val="0"/>
          <w:color w:val="auto"/>
          <w:spacing w:val="0"/>
          <w:kern w:val="0"/>
          <w:sz w:val="21"/>
          <w:szCs w:val="21"/>
          <w:highlight w:val="none"/>
          <w:shd w:val="clear" w:fill="FFFFFF"/>
          <w:lang w:val="en-US" w:eastAsia="zh-CN" w:bidi="ar"/>
        </w:rPr>
      </w:pPr>
      <w:r>
        <w:rPr>
          <w:rFonts w:hint="eastAsia" w:ascii="宋体" w:hAnsi="宋体" w:eastAsia="宋体" w:cs="宋体"/>
          <w:i w:val="0"/>
          <w:iCs w:val="0"/>
          <w:caps w:val="0"/>
          <w:color w:val="auto"/>
          <w:spacing w:val="0"/>
          <w:kern w:val="0"/>
          <w:sz w:val="21"/>
          <w:szCs w:val="21"/>
          <w:highlight w:val="none"/>
          <w:shd w:val="clear" w:fill="FFFFFF"/>
          <w:lang w:val="en-US" w:eastAsia="zh-CN" w:bidi="ar"/>
        </w:rPr>
        <w:t>采购需求：清流河公园一期会峰路桥北侧水体驳岸倾斜坍塌整治、南湖公园四期丰泰门至一院约600米园路积水问题整治、内城河公园三中东门对面亭子地基下沉柱体腐烂等问题整治、北湖公园拱极门东北侧北湖北岸大理石护栏倾斜塌落及墙砖脱落维修恢复等各项涉及安全隐患急需维修的内容，跟踪审计服务费约</w:t>
      </w:r>
      <w:r>
        <w:rPr>
          <w:rFonts w:hint="eastAsia" w:ascii="宋体" w:hAnsi="宋体" w:cs="宋体"/>
          <w:i w:val="0"/>
          <w:iCs w:val="0"/>
          <w:caps w:val="0"/>
          <w:color w:val="auto"/>
          <w:spacing w:val="0"/>
          <w:kern w:val="0"/>
          <w:sz w:val="21"/>
          <w:szCs w:val="21"/>
          <w:highlight w:val="none"/>
          <w:shd w:val="clear" w:fill="FFFFFF"/>
          <w:lang w:val="en-US" w:eastAsia="zh-CN" w:bidi="ar"/>
        </w:rPr>
        <w:t>0.3</w:t>
      </w:r>
      <w:r>
        <w:rPr>
          <w:rFonts w:hint="eastAsia" w:ascii="宋体" w:hAnsi="宋体" w:eastAsia="宋体" w:cs="宋体"/>
          <w:i w:val="0"/>
          <w:iCs w:val="0"/>
          <w:caps w:val="0"/>
          <w:color w:val="auto"/>
          <w:spacing w:val="0"/>
          <w:kern w:val="0"/>
          <w:sz w:val="21"/>
          <w:szCs w:val="21"/>
          <w:highlight w:val="none"/>
          <w:shd w:val="clear" w:fill="FFFFFF"/>
          <w:lang w:val="en-US" w:eastAsia="zh-CN" w:bidi="ar"/>
        </w:rPr>
        <w:t>万元。本次招标需求为上述工程的跟踪（结算）审计服务。</w:t>
      </w:r>
    </w:p>
    <w:p w14:paraId="1042DD8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420" w:firstLineChars="200"/>
        <w:jc w:val="left"/>
        <w:textAlignment w:val="auto"/>
        <w:rPr>
          <w:rFonts w:hint="default" w:ascii="宋体" w:hAnsi="宋体" w:eastAsia="宋体" w:cs="宋体"/>
          <w:i w:val="0"/>
          <w:iCs w:val="0"/>
          <w:caps w:val="0"/>
          <w:color w:val="auto"/>
          <w:spacing w:val="0"/>
          <w:kern w:val="0"/>
          <w:sz w:val="21"/>
          <w:szCs w:val="21"/>
          <w:highlight w:val="none"/>
          <w:shd w:val="clear" w:fill="FFFFFF"/>
          <w:lang w:val="en-US" w:eastAsia="zh-CN" w:bidi="ar"/>
        </w:rPr>
      </w:pPr>
      <w:r>
        <w:rPr>
          <w:rFonts w:hint="eastAsia" w:ascii="宋体" w:hAnsi="宋体" w:eastAsia="宋体" w:cs="宋体"/>
          <w:i w:val="0"/>
          <w:iCs w:val="0"/>
          <w:caps w:val="0"/>
          <w:color w:val="auto"/>
          <w:spacing w:val="0"/>
          <w:kern w:val="0"/>
          <w:sz w:val="21"/>
          <w:szCs w:val="21"/>
          <w:highlight w:val="none"/>
          <w:shd w:val="clear" w:fill="FFFFFF"/>
          <w:lang w:val="en-US" w:eastAsia="zh-CN" w:bidi="ar"/>
        </w:rPr>
        <w:t>标段（包别）划分：1个标段。</w:t>
      </w:r>
    </w:p>
    <w:p w14:paraId="20F129E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420" w:firstLineChars="200"/>
        <w:jc w:val="left"/>
        <w:textAlignment w:val="auto"/>
        <w:rPr>
          <w:rFonts w:hint="eastAsia" w:ascii="宋体" w:hAnsi="宋体" w:eastAsia="宋体" w:cs="宋体"/>
          <w:i w:val="0"/>
          <w:iCs w:val="0"/>
          <w:caps w:val="0"/>
          <w:color w:val="auto"/>
          <w:spacing w:val="0"/>
          <w:kern w:val="0"/>
          <w:sz w:val="21"/>
          <w:szCs w:val="21"/>
          <w:highlight w:val="none"/>
          <w:shd w:val="clear" w:fill="FFFFFF"/>
          <w:lang w:val="en-US" w:eastAsia="zh-CN" w:bidi="ar"/>
        </w:rPr>
      </w:pPr>
      <w:r>
        <w:rPr>
          <w:rFonts w:hint="eastAsia" w:ascii="宋体" w:hAnsi="宋体" w:eastAsia="宋体" w:cs="宋体"/>
          <w:i w:val="0"/>
          <w:iCs w:val="0"/>
          <w:caps w:val="0"/>
          <w:color w:val="auto"/>
          <w:spacing w:val="0"/>
          <w:kern w:val="0"/>
          <w:sz w:val="21"/>
          <w:szCs w:val="21"/>
          <w:highlight w:val="none"/>
          <w:shd w:val="clear" w:fill="FFFFFF"/>
          <w:lang w:val="en-US" w:eastAsia="zh-CN" w:bidi="ar"/>
        </w:rPr>
        <w:t>本项目不接受联合体。</w:t>
      </w:r>
    </w:p>
    <w:p w14:paraId="101A37AB">
      <w:pPr>
        <w:keepNext/>
        <w:keepLines/>
        <w:pageBreakBefore w:val="0"/>
        <w:widowControl w:val="0"/>
        <w:kinsoku/>
        <w:wordWrap/>
        <w:overflowPunct/>
        <w:topLinePunct w:val="0"/>
        <w:autoSpaceDE/>
        <w:autoSpaceDN/>
        <w:bidi w:val="0"/>
        <w:adjustRightInd/>
        <w:snapToGrid/>
        <w:spacing w:before="100" w:after="100" w:line="440" w:lineRule="exact"/>
        <w:ind w:firstLine="422" w:firstLineChars="200"/>
        <w:textAlignment w:val="auto"/>
        <w:outlineLvl w:val="9"/>
        <w:rPr>
          <w:rFonts w:hint="eastAsia" w:ascii="宋体" w:hAnsi="宋体" w:eastAsia="宋体" w:cs="宋体"/>
          <w:b/>
          <w:bCs/>
          <w:color w:val="auto"/>
          <w:sz w:val="21"/>
          <w:szCs w:val="21"/>
          <w:highlight w:val="none"/>
        </w:rPr>
      </w:pPr>
      <w:bookmarkStart w:id="17" w:name="_Toc30013"/>
      <w:r>
        <w:rPr>
          <w:rFonts w:hint="eastAsia" w:ascii="宋体" w:hAnsi="宋体" w:eastAsia="宋体" w:cs="宋体"/>
          <w:b/>
          <w:bCs/>
          <w:color w:val="auto"/>
          <w:sz w:val="21"/>
          <w:szCs w:val="21"/>
          <w:highlight w:val="none"/>
        </w:rPr>
        <w:t>二、申请人的资格要求</w:t>
      </w:r>
      <w:bookmarkEnd w:id="11"/>
      <w:bookmarkEnd w:id="12"/>
      <w:bookmarkEnd w:id="13"/>
      <w:bookmarkEnd w:id="14"/>
      <w:bookmarkEnd w:id="15"/>
      <w:bookmarkEnd w:id="16"/>
      <w:bookmarkEnd w:id="17"/>
    </w:p>
    <w:p w14:paraId="75DA90A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420" w:firstLineChars="200"/>
        <w:jc w:val="left"/>
        <w:textAlignment w:val="auto"/>
        <w:rPr>
          <w:rFonts w:hint="eastAsia" w:ascii="宋体" w:hAnsi="宋体" w:eastAsia="宋体" w:cs="宋体"/>
          <w:i w:val="0"/>
          <w:iCs w:val="0"/>
          <w:caps w:val="0"/>
          <w:color w:val="auto"/>
          <w:spacing w:val="0"/>
          <w:kern w:val="0"/>
          <w:sz w:val="21"/>
          <w:szCs w:val="21"/>
          <w:highlight w:val="none"/>
          <w:shd w:val="clear" w:fill="FFFFFF"/>
          <w:lang w:val="en-US" w:eastAsia="zh-CN" w:bidi="ar"/>
        </w:rPr>
      </w:pPr>
      <w:bookmarkStart w:id="18" w:name="_Toc35393623"/>
      <w:bookmarkStart w:id="19" w:name="_Toc28172"/>
      <w:bookmarkStart w:id="20" w:name="_Toc2689"/>
      <w:bookmarkStart w:id="21" w:name="_Toc28359081"/>
      <w:bookmarkStart w:id="22" w:name="_Toc35393792"/>
      <w:bookmarkStart w:id="23" w:name="_Toc28359004"/>
      <w:bookmarkStart w:id="24" w:name="_Toc7189"/>
      <w:r>
        <w:rPr>
          <w:rFonts w:hint="eastAsia" w:ascii="宋体" w:hAnsi="宋体" w:eastAsia="宋体" w:cs="宋体"/>
          <w:i w:val="0"/>
          <w:iCs w:val="0"/>
          <w:caps w:val="0"/>
          <w:color w:val="auto"/>
          <w:spacing w:val="0"/>
          <w:kern w:val="0"/>
          <w:sz w:val="21"/>
          <w:szCs w:val="21"/>
          <w:highlight w:val="none"/>
          <w:shd w:val="clear" w:fill="FFFFFF"/>
          <w:lang w:val="en-US" w:eastAsia="zh-CN" w:bidi="ar"/>
        </w:rPr>
        <w:t>1.投标人要求：具备独立承担民事责任能力，具有有效的营业执照或事业单位法人证书；</w:t>
      </w:r>
    </w:p>
    <w:p w14:paraId="1517496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420" w:firstLineChars="200"/>
        <w:jc w:val="left"/>
        <w:textAlignment w:val="auto"/>
        <w:rPr>
          <w:rFonts w:hint="eastAsia" w:ascii="宋体" w:hAnsi="宋体" w:eastAsia="宋体" w:cs="宋体"/>
          <w:i w:val="0"/>
          <w:iCs w:val="0"/>
          <w:caps w:val="0"/>
          <w:color w:val="auto"/>
          <w:spacing w:val="0"/>
          <w:kern w:val="0"/>
          <w:sz w:val="21"/>
          <w:szCs w:val="21"/>
          <w:highlight w:val="none"/>
          <w:shd w:val="clear" w:fill="FFFFFF"/>
          <w:lang w:val="en-US" w:eastAsia="zh-CN" w:bidi="ar"/>
        </w:rPr>
      </w:pPr>
      <w:r>
        <w:rPr>
          <w:rFonts w:hint="eastAsia" w:ascii="宋体" w:hAnsi="宋体" w:eastAsia="宋体" w:cs="宋体"/>
          <w:i w:val="0"/>
          <w:iCs w:val="0"/>
          <w:caps w:val="0"/>
          <w:color w:val="auto"/>
          <w:spacing w:val="0"/>
          <w:kern w:val="0"/>
          <w:sz w:val="21"/>
          <w:szCs w:val="21"/>
          <w:highlight w:val="none"/>
          <w:shd w:val="clear" w:fill="FFFFFF"/>
          <w:lang w:val="en-US" w:eastAsia="zh-CN" w:bidi="ar"/>
        </w:rPr>
        <w:t>2.项目负责人要求：必须具有建设部颁发的中华人民共和国注册造价工程师（或一级造价师）注册执业证书，专业为</w:t>
      </w:r>
      <w:r>
        <w:rPr>
          <w:rFonts w:hint="eastAsia" w:ascii="宋体" w:hAnsi="宋体" w:cs="宋体"/>
          <w:i w:val="0"/>
          <w:iCs w:val="0"/>
          <w:caps w:val="0"/>
          <w:color w:val="auto"/>
          <w:spacing w:val="0"/>
          <w:kern w:val="0"/>
          <w:sz w:val="21"/>
          <w:szCs w:val="21"/>
          <w:highlight w:val="none"/>
          <w:shd w:val="clear" w:fill="FFFFFF"/>
          <w:lang w:val="en-US" w:eastAsia="zh-CN" w:bidi="ar"/>
        </w:rPr>
        <w:t>土木建筑工程</w:t>
      </w:r>
      <w:r>
        <w:rPr>
          <w:rFonts w:hint="eastAsia" w:ascii="宋体" w:hAnsi="宋体" w:eastAsia="宋体" w:cs="宋体"/>
          <w:i w:val="0"/>
          <w:iCs w:val="0"/>
          <w:caps w:val="0"/>
          <w:color w:val="auto"/>
          <w:spacing w:val="0"/>
          <w:kern w:val="0"/>
          <w:sz w:val="21"/>
          <w:szCs w:val="21"/>
          <w:highlight w:val="none"/>
          <w:shd w:val="clear" w:fill="FFFFFF"/>
          <w:lang w:val="en-US" w:eastAsia="zh-CN" w:bidi="ar"/>
        </w:rPr>
        <w:t>；</w:t>
      </w:r>
    </w:p>
    <w:p w14:paraId="6CCB93A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420" w:firstLineChars="200"/>
        <w:jc w:val="left"/>
        <w:textAlignment w:val="auto"/>
        <w:rPr>
          <w:rFonts w:hint="eastAsia" w:ascii="宋体" w:hAnsi="宋体" w:eastAsia="宋体" w:cs="宋体"/>
          <w:i w:val="0"/>
          <w:iCs w:val="0"/>
          <w:caps w:val="0"/>
          <w:color w:val="auto"/>
          <w:spacing w:val="0"/>
          <w:kern w:val="0"/>
          <w:sz w:val="21"/>
          <w:szCs w:val="21"/>
          <w:highlight w:val="none"/>
          <w:shd w:val="clear" w:fill="FFFFFF"/>
          <w:lang w:val="en-US" w:eastAsia="zh-CN" w:bidi="ar"/>
        </w:rPr>
      </w:pPr>
      <w:r>
        <w:rPr>
          <w:rFonts w:hint="eastAsia" w:ascii="宋体" w:hAnsi="宋体" w:cs="宋体"/>
          <w:i w:val="0"/>
          <w:iCs w:val="0"/>
          <w:caps w:val="0"/>
          <w:color w:val="auto"/>
          <w:spacing w:val="0"/>
          <w:kern w:val="0"/>
          <w:sz w:val="21"/>
          <w:szCs w:val="21"/>
          <w:highlight w:val="none"/>
          <w:shd w:val="clear" w:fill="FFFFFF"/>
          <w:lang w:val="en-US" w:eastAsia="zh-CN" w:bidi="ar"/>
        </w:rPr>
        <w:t>3</w:t>
      </w:r>
      <w:r>
        <w:rPr>
          <w:rFonts w:hint="eastAsia" w:ascii="宋体" w:hAnsi="宋体" w:eastAsia="宋体" w:cs="宋体"/>
          <w:i w:val="0"/>
          <w:iCs w:val="0"/>
          <w:caps w:val="0"/>
          <w:color w:val="auto"/>
          <w:spacing w:val="0"/>
          <w:kern w:val="0"/>
          <w:sz w:val="21"/>
          <w:szCs w:val="21"/>
          <w:highlight w:val="none"/>
          <w:shd w:val="clear" w:fill="FFFFFF"/>
          <w:lang w:val="en-US" w:eastAsia="zh-CN" w:bidi="ar"/>
        </w:rPr>
        <w:t>.项目组其他成员（不含项目负责人）要求：二级（或以上）注册造价师至少1名。</w:t>
      </w:r>
    </w:p>
    <w:p w14:paraId="2AEC28B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422" w:firstLineChars="200"/>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三、获取</w:t>
      </w:r>
      <w:bookmarkEnd w:id="18"/>
      <w:bookmarkEnd w:id="19"/>
      <w:bookmarkEnd w:id="20"/>
      <w:bookmarkEnd w:id="21"/>
      <w:bookmarkEnd w:id="22"/>
      <w:bookmarkEnd w:id="23"/>
      <w:bookmarkEnd w:id="24"/>
      <w:r>
        <w:rPr>
          <w:rFonts w:hint="eastAsia" w:ascii="宋体" w:hAnsi="宋体" w:eastAsia="宋体" w:cs="宋体"/>
          <w:b/>
          <w:bCs/>
          <w:color w:val="auto"/>
          <w:sz w:val="21"/>
          <w:szCs w:val="21"/>
          <w:highlight w:val="none"/>
          <w:lang w:eastAsia="zh-CN"/>
        </w:rPr>
        <w:t>招标文件</w:t>
      </w:r>
    </w:p>
    <w:p w14:paraId="32031D6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420" w:firstLineChars="200"/>
        <w:jc w:val="left"/>
        <w:textAlignment w:val="auto"/>
        <w:rPr>
          <w:rFonts w:hint="eastAsia" w:ascii="宋体" w:hAnsi="宋体" w:eastAsia="宋体" w:cs="宋体"/>
          <w:i w:val="0"/>
          <w:iCs w:val="0"/>
          <w:caps w:val="0"/>
          <w:color w:val="auto"/>
          <w:spacing w:val="0"/>
          <w:kern w:val="0"/>
          <w:sz w:val="21"/>
          <w:szCs w:val="21"/>
          <w:highlight w:val="none"/>
          <w:shd w:val="clear" w:fill="FFFFFF"/>
          <w:lang w:val="en-US" w:eastAsia="zh-CN" w:bidi="ar"/>
        </w:rPr>
      </w:pPr>
      <w:r>
        <w:rPr>
          <w:rFonts w:hint="eastAsia" w:ascii="宋体" w:hAnsi="宋体" w:eastAsia="宋体" w:cs="宋体"/>
          <w:i w:val="0"/>
          <w:iCs w:val="0"/>
          <w:caps w:val="0"/>
          <w:color w:val="auto"/>
          <w:spacing w:val="0"/>
          <w:kern w:val="0"/>
          <w:sz w:val="21"/>
          <w:szCs w:val="21"/>
          <w:highlight w:val="none"/>
          <w:shd w:val="clear" w:fill="FFFFFF"/>
          <w:lang w:val="en-US" w:eastAsia="zh-CN" w:bidi="ar"/>
        </w:rPr>
        <w:t>时间：</w:t>
      </w:r>
      <w:r>
        <w:rPr>
          <w:rFonts w:hint="eastAsia" w:ascii="宋体" w:hAnsi="宋体" w:cs="宋体"/>
          <w:i w:val="0"/>
          <w:iCs w:val="0"/>
          <w:caps w:val="0"/>
          <w:color w:val="auto"/>
          <w:spacing w:val="0"/>
          <w:kern w:val="0"/>
          <w:sz w:val="21"/>
          <w:szCs w:val="21"/>
          <w:highlight w:val="none"/>
          <w:shd w:val="clear" w:fill="FFFFFF"/>
          <w:lang w:val="en-US" w:eastAsia="zh-CN" w:bidi="ar"/>
        </w:rPr>
        <w:t>2026年9月10日</w:t>
      </w:r>
      <w:r>
        <w:rPr>
          <w:rFonts w:hint="eastAsia" w:ascii="宋体" w:hAnsi="宋体" w:eastAsia="宋体" w:cs="宋体"/>
          <w:i w:val="0"/>
          <w:iCs w:val="0"/>
          <w:caps w:val="0"/>
          <w:color w:val="auto"/>
          <w:spacing w:val="0"/>
          <w:kern w:val="0"/>
          <w:sz w:val="21"/>
          <w:szCs w:val="21"/>
          <w:highlight w:val="none"/>
          <w:shd w:val="clear" w:fill="FFFFFF"/>
          <w:lang w:val="en-US" w:eastAsia="zh-CN" w:bidi="ar"/>
        </w:rPr>
        <w:t>至</w:t>
      </w:r>
      <w:r>
        <w:rPr>
          <w:rFonts w:hint="eastAsia" w:ascii="宋体" w:hAnsi="宋体" w:cs="宋体"/>
          <w:i w:val="0"/>
          <w:iCs w:val="0"/>
          <w:caps w:val="0"/>
          <w:color w:val="auto"/>
          <w:spacing w:val="0"/>
          <w:kern w:val="0"/>
          <w:sz w:val="21"/>
          <w:szCs w:val="21"/>
          <w:highlight w:val="none"/>
          <w:shd w:val="clear" w:fill="FFFFFF"/>
          <w:lang w:val="en-US" w:eastAsia="zh-CN" w:bidi="ar"/>
        </w:rPr>
        <w:t>2026年9月15日15时3</w:t>
      </w:r>
      <w:r>
        <w:rPr>
          <w:rFonts w:hint="eastAsia" w:ascii="宋体" w:hAnsi="宋体" w:eastAsia="宋体" w:cs="宋体"/>
          <w:i w:val="0"/>
          <w:iCs w:val="0"/>
          <w:caps w:val="0"/>
          <w:color w:val="auto"/>
          <w:spacing w:val="0"/>
          <w:kern w:val="0"/>
          <w:sz w:val="21"/>
          <w:szCs w:val="21"/>
          <w:highlight w:val="none"/>
          <w:shd w:val="clear" w:fill="FFFFFF"/>
          <w:lang w:val="en-US" w:eastAsia="zh-CN" w:bidi="ar"/>
        </w:rPr>
        <w:t>0分。</w:t>
      </w:r>
    </w:p>
    <w:p w14:paraId="57BDCE7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0" w:beforeAutospacing="0" w:after="0" w:afterAutospacing="0" w:line="440" w:lineRule="exact"/>
        <w:ind w:left="0" w:right="0" w:firstLine="420" w:firstLineChars="200"/>
        <w:jc w:val="left"/>
        <w:textAlignment w:val="auto"/>
        <w:rPr>
          <w:rFonts w:hint="eastAsia" w:ascii="宋体" w:hAnsi="宋体" w:eastAsia="宋体" w:cs="宋体"/>
          <w:i w:val="0"/>
          <w:iCs w:val="0"/>
          <w:caps w:val="0"/>
          <w:color w:val="auto"/>
          <w:spacing w:val="0"/>
          <w:kern w:val="0"/>
          <w:sz w:val="21"/>
          <w:szCs w:val="21"/>
          <w:highlight w:val="none"/>
          <w:shd w:val="clear" w:fill="FFFFFF"/>
          <w:lang w:val="en-US" w:eastAsia="zh-CN" w:bidi="ar"/>
        </w:rPr>
      </w:pPr>
      <w:r>
        <w:rPr>
          <w:rFonts w:hint="eastAsia" w:ascii="宋体" w:hAnsi="宋体" w:eastAsia="宋体" w:cs="宋体"/>
          <w:i w:val="0"/>
          <w:iCs w:val="0"/>
          <w:caps w:val="0"/>
          <w:color w:val="auto"/>
          <w:spacing w:val="0"/>
          <w:kern w:val="0"/>
          <w:sz w:val="21"/>
          <w:szCs w:val="21"/>
          <w:highlight w:val="none"/>
          <w:shd w:val="clear" w:fill="FFFFFF"/>
          <w:lang w:val="en-US" w:eastAsia="zh-CN" w:bidi="ar"/>
        </w:rPr>
        <w:t>地点：请于公告发布之日起从滁州市城投工程咨询管理有限公司（https://www.czctgczx.com/）网站下载。</w:t>
      </w:r>
      <w:r>
        <w:rPr>
          <w:rFonts w:hint="eastAsia" w:ascii="宋体" w:hAnsi="宋体" w:eastAsia="宋体" w:cs="宋体"/>
          <w:i w:val="0"/>
          <w:iCs w:val="0"/>
          <w:caps w:val="0"/>
          <w:color w:val="auto"/>
          <w:spacing w:val="0"/>
          <w:kern w:val="0"/>
          <w:sz w:val="21"/>
          <w:szCs w:val="21"/>
          <w:highlight w:val="none"/>
          <w:shd w:val="clear" w:color="auto" w:fill="FFFFFF"/>
          <w:lang w:val="en-US" w:eastAsia="zh-CN" w:bidi="ar"/>
        </w:rPr>
        <w:t>投标人自行承担因未按要求获取招标文件导致无法上传电子投标文件的风险。</w:t>
      </w:r>
    </w:p>
    <w:p w14:paraId="205D54F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0" w:beforeAutospacing="0" w:after="0" w:afterAutospacing="0" w:line="440" w:lineRule="exact"/>
        <w:ind w:left="0" w:right="0" w:firstLine="420" w:firstLineChars="200"/>
        <w:jc w:val="left"/>
        <w:textAlignment w:val="auto"/>
        <w:rPr>
          <w:rFonts w:hint="eastAsia" w:ascii="宋体" w:hAnsi="宋体" w:eastAsia="宋体" w:cs="宋体"/>
          <w:i w:val="0"/>
          <w:iCs w:val="0"/>
          <w:caps w:val="0"/>
          <w:color w:val="auto"/>
          <w:spacing w:val="0"/>
          <w:sz w:val="21"/>
          <w:szCs w:val="21"/>
          <w:highlight w:val="none"/>
        </w:rPr>
      </w:pPr>
      <w:bookmarkStart w:id="25" w:name="_Toc28359005"/>
      <w:bookmarkStart w:id="26" w:name="_Toc28359082"/>
      <w:bookmarkStart w:id="27" w:name="_Toc6135"/>
      <w:bookmarkStart w:id="28" w:name="_Toc19139"/>
      <w:bookmarkStart w:id="29" w:name="_Toc23486"/>
      <w:bookmarkStart w:id="30" w:name="_Toc35393793"/>
      <w:bookmarkStart w:id="31" w:name="_Toc35393624"/>
      <w:r>
        <w:rPr>
          <w:rFonts w:hint="eastAsia" w:ascii="宋体" w:hAnsi="宋体" w:eastAsia="宋体" w:cs="宋体"/>
          <w:i w:val="0"/>
          <w:iCs w:val="0"/>
          <w:caps w:val="0"/>
          <w:color w:val="auto"/>
          <w:spacing w:val="0"/>
          <w:kern w:val="0"/>
          <w:sz w:val="21"/>
          <w:szCs w:val="21"/>
          <w:highlight w:val="none"/>
          <w:shd w:val="clear" w:color="auto" w:fill="FFFFFF"/>
          <w:lang w:val="en-US" w:eastAsia="zh-CN" w:bidi="ar"/>
        </w:rPr>
        <w:t>方式：（1）投标人须登录新点电子交易平台【滁州专区】查询、获取采购文件。首次登录办理入库手续，办理入库不收取任何费用。新点电子招投标统一认证平台使用相关问题（如系统登录、信息登记、录入及提交、数字证书关联等）请拨打服务电话：</w:t>
      </w:r>
      <w:r>
        <w:rPr>
          <w:rFonts w:hint="eastAsia" w:ascii="宋体" w:hAnsi="宋体" w:cs="宋体"/>
          <w:i w:val="0"/>
          <w:iCs w:val="0"/>
          <w:caps w:val="0"/>
          <w:color w:val="auto"/>
          <w:spacing w:val="0"/>
          <w:kern w:val="0"/>
          <w:sz w:val="21"/>
          <w:szCs w:val="21"/>
          <w:highlight w:val="none"/>
          <w:shd w:val="clear" w:color="auto" w:fill="FFFFFF"/>
          <w:lang w:val="en-US" w:eastAsia="zh-CN" w:bidi="ar"/>
        </w:rPr>
        <w:t>0512-58151515</w:t>
      </w:r>
      <w:r>
        <w:rPr>
          <w:rFonts w:hint="eastAsia" w:ascii="宋体" w:hAnsi="宋体" w:eastAsia="宋体" w:cs="宋体"/>
          <w:i w:val="0"/>
          <w:iCs w:val="0"/>
          <w:caps w:val="0"/>
          <w:color w:val="auto"/>
          <w:spacing w:val="0"/>
          <w:kern w:val="0"/>
          <w:sz w:val="21"/>
          <w:szCs w:val="21"/>
          <w:highlight w:val="none"/>
          <w:shd w:val="clear" w:color="auto" w:fill="FFFFFF"/>
          <w:lang w:val="en-US" w:eastAsia="zh-CN" w:bidi="ar"/>
        </w:rPr>
        <w:t>（工作日）。  </w:t>
      </w:r>
    </w:p>
    <w:p w14:paraId="3BBAFA2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0" w:beforeAutospacing="0" w:after="0" w:afterAutospacing="0" w:line="440" w:lineRule="exact"/>
        <w:ind w:left="0" w:right="0" w:firstLine="420" w:firstLineChars="200"/>
        <w:jc w:val="left"/>
        <w:textAlignment w:val="auto"/>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1"/>
          <w:szCs w:val="21"/>
          <w:highlight w:val="none"/>
          <w:shd w:val="clear" w:color="auto" w:fill="FFFFFF"/>
          <w:lang w:val="en-US" w:eastAsia="zh-CN" w:bidi="ar"/>
        </w:rPr>
        <w:t>（2）投标人登录新点电子交易平台【滁州专区】获取招标文件及其它资料（含澄清和补充说明等）。如在招标文件获取过程中遇到系统问题，请拨打技术支持服务热线</w:t>
      </w:r>
      <w:r>
        <w:rPr>
          <w:rFonts w:hint="eastAsia" w:ascii="宋体" w:hAnsi="宋体" w:cs="宋体"/>
          <w:i w:val="0"/>
          <w:iCs w:val="0"/>
          <w:caps w:val="0"/>
          <w:color w:val="auto"/>
          <w:spacing w:val="0"/>
          <w:kern w:val="0"/>
          <w:sz w:val="21"/>
          <w:szCs w:val="21"/>
          <w:highlight w:val="none"/>
          <w:shd w:val="clear" w:color="auto" w:fill="FFFFFF"/>
          <w:lang w:val="en-US" w:eastAsia="zh-CN" w:bidi="ar"/>
        </w:rPr>
        <w:t>0512-58151515</w:t>
      </w:r>
      <w:r>
        <w:rPr>
          <w:rFonts w:hint="eastAsia" w:ascii="宋体" w:hAnsi="宋体" w:eastAsia="宋体" w:cs="宋体"/>
          <w:i w:val="0"/>
          <w:iCs w:val="0"/>
          <w:caps w:val="0"/>
          <w:color w:val="auto"/>
          <w:spacing w:val="0"/>
          <w:kern w:val="0"/>
          <w:sz w:val="21"/>
          <w:szCs w:val="21"/>
          <w:highlight w:val="none"/>
          <w:shd w:val="clear" w:color="auto" w:fill="FFFFFF"/>
          <w:lang w:val="en-US" w:eastAsia="zh-CN" w:bidi="ar"/>
        </w:rPr>
        <w:t>或者网站首页在线客服。</w:t>
      </w:r>
    </w:p>
    <w:p w14:paraId="179D1E6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40" w:lineRule="exact"/>
        <w:ind w:left="0" w:right="0" w:firstLine="420" w:firstLineChars="200"/>
        <w:jc w:val="left"/>
        <w:textAlignment w:val="auto"/>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1"/>
          <w:szCs w:val="21"/>
          <w:highlight w:val="none"/>
          <w:shd w:val="clear" w:color="auto" w:fill="FFFFFF"/>
          <w:lang w:val="en-US" w:eastAsia="zh-CN" w:bidi="ar"/>
        </w:rPr>
        <w:t>2、招标文件及相关资料售价：人民币0元/套（含清单控制价、图纸及澄清答疑文件）</w:t>
      </w:r>
      <w:r>
        <w:rPr>
          <w:rFonts w:hint="eastAsia" w:ascii="宋体" w:hAnsi="宋体" w:eastAsia="宋体" w:cs="宋体"/>
          <w:i w:val="0"/>
          <w:iCs w:val="0"/>
          <w:caps w:val="0"/>
          <w:color w:val="auto"/>
          <w:spacing w:val="0"/>
          <w:kern w:val="0"/>
          <w:sz w:val="21"/>
          <w:szCs w:val="21"/>
          <w:highlight w:val="none"/>
          <w:shd w:val="clear" w:fill="FFFFFF"/>
          <w:lang w:val="en-US" w:eastAsia="zh-CN" w:bidi="ar"/>
        </w:rPr>
        <w:t>。</w:t>
      </w:r>
    </w:p>
    <w:p w14:paraId="09247A6F">
      <w:pPr>
        <w:keepNext/>
        <w:keepLines/>
        <w:pageBreakBefore w:val="0"/>
        <w:widowControl w:val="0"/>
        <w:kinsoku/>
        <w:wordWrap/>
        <w:overflowPunct/>
        <w:topLinePunct w:val="0"/>
        <w:autoSpaceDE/>
        <w:autoSpaceDN/>
        <w:bidi w:val="0"/>
        <w:adjustRightInd/>
        <w:snapToGrid/>
        <w:spacing w:before="100" w:after="100" w:line="440" w:lineRule="exact"/>
        <w:ind w:firstLine="422" w:firstLineChars="200"/>
        <w:textAlignment w:val="auto"/>
        <w:outlineLvl w:val="9"/>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四、提交投标文件</w:t>
      </w:r>
      <w:bookmarkEnd w:id="25"/>
      <w:bookmarkEnd w:id="26"/>
      <w:r>
        <w:rPr>
          <w:rFonts w:hint="eastAsia" w:ascii="宋体" w:hAnsi="宋体" w:eastAsia="宋体" w:cs="宋体"/>
          <w:b/>
          <w:bCs/>
          <w:color w:val="auto"/>
          <w:sz w:val="21"/>
          <w:szCs w:val="21"/>
          <w:highlight w:val="none"/>
          <w:lang w:eastAsia="zh-CN"/>
        </w:rPr>
        <w:t>截止时间、开标时间和地点</w:t>
      </w:r>
      <w:bookmarkEnd w:id="27"/>
      <w:bookmarkEnd w:id="28"/>
      <w:bookmarkEnd w:id="29"/>
      <w:bookmarkEnd w:id="30"/>
      <w:bookmarkEnd w:id="31"/>
    </w:p>
    <w:p w14:paraId="78DDBB2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420" w:firstLineChars="200"/>
        <w:jc w:val="left"/>
        <w:textAlignment w:val="auto"/>
        <w:rPr>
          <w:rFonts w:hint="eastAsia" w:ascii="宋体" w:hAnsi="宋体" w:eastAsia="宋体" w:cs="宋体"/>
          <w:i w:val="0"/>
          <w:iCs w:val="0"/>
          <w:caps w:val="0"/>
          <w:color w:val="auto"/>
          <w:spacing w:val="0"/>
          <w:kern w:val="0"/>
          <w:sz w:val="21"/>
          <w:szCs w:val="21"/>
          <w:highlight w:val="none"/>
          <w:shd w:val="clear" w:fill="FFFFFF"/>
          <w:lang w:val="en-US" w:eastAsia="zh-CN" w:bidi="ar"/>
        </w:rPr>
      </w:pPr>
      <w:bookmarkStart w:id="32" w:name="_Toc28359007"/>
      <w:bookmarkStart w:id="33" w:name="_Toc35393794"/>
      <w:bookmarkStart w:id="34" w:name="_Toc35393625"/>
      <w:bookmarkStart w:id="35" w:name="_Toc5602"/>
      <w:bookmarkStart w:id="36" w:name="_Toc19623"/>
      <w:bookmarkStart w:id="37" w:name="_Toc1913"/>
      <w:bookmarkStart w:id="38" w:name="_Toc28359084"/>
      <w:r>
        <w:rPr>
          <w:rFonts w:hint="eastAsia" w:ascii="宋体" w:hAnsi="宋体" w:eastAsia="宋体" w:cs="宋体"/>
          <w:i w:val="0"/>
          <w:iCs w:val="0"/>
          <w:caps w:val="0"/>
          <w:color w:val="auto"/>
          <w:spacing w:val="0"/>
          <w:kern w:val="0"/>
          <w:sz w:val="21"/>
          <w:szCs w:val="21"/>
          <w:highlight w:val="none"/>
          <w:shd w:val="clear" w:fill="FFFFFF"/>
          <w:lang w:val="en-US" w:eastAsia="zh-CN" w:bidi="ar"/>
        </w:rPr>
        <w:t>1、投标文件递交的截止时间为</w:t>
      </w:r>
      <w:r>
        <w:rPr>
          <w:rFonts w:hint="eastAsia" w:ascii="宋体" w:hAnsi="宋体" w:cs="宋体"/>
          <w:i w:val="0"/>
          <w:iCs w:val="0"/>
          <w:caps w:val="0"/>
          <w:color w:val="auto"/>
          <w:spacing w:val="0"/>
          <w:kern w:val="0"/>
          <w:sz w:val="21"/>
          <w:szCs w:val="21"/>
          <w:highlight w:val="none"/>
          <w:shd w:val="clear" w:fill="FFFFFF"/>
          <w:lang w:val="en-US" w:eastAsia="zh-CN" w:bidi="ar"/>
        </w:rPr>
        <w:t>2026年9月15日15时</w:t>
      </w:r>
      <w:r>
        <w:rPr>
          <w:rFonts w:hint="eastAsia" w:ascii="宋体" w:hAnsi="宋体" w:eastAsia="宋体" w:cs="宋体"/>
          <w:i w:val="0"/>
          <w:iCs w:val="0"/>
          <w:caps w:val="0"/>
          <w:color w:val="auto"/>
          <w:spacing w:val="0"/>
          <w:kern w:val="0"/>
          <w:sz w:val="21"/>
          <w:szCs w:val="21"/>
          <w:highlight w:val="none"/>
          <w:shd w:val="clear" w:fill="FFFFFF"/>
          <w:lang w:val="en-US" w:eastAsia="zh-CN" w:bidi="ar"/>
        </w:rPr>
        <w:t>30分；</w:t>
      </w:r>
    </w:p>
    <w:p w14:paraId="5E1653D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420" w:firstLineChars="200"/>
        <w:jc w:val="left"/>
        <w:textAlignment w:val="auto"/>
        <w:rPr>
          <w:rFonts w:hint="eastAsia" w:ascii="宋体" w:hAnsi="宋体" w:eastAsia="宋体" w:cs="宋体"/>
          <w:i w:val="0"/>
          <w:iCs w:val="0"/>
          <w:caps w:val="0"/>
          <w:color w:val="auto"/>
          <w:spacing w:val="0"/>
          <w:kern w:val="0"/>
          <w:sz w:val="21"/>
          <w:szCs w:val="21"/>
          <w:highlight w:val="none"/>
          <w:shd w:val="clear" w:fill="FFFFFF"/>
          <w:lang w:val="en-US" w:eastAsia="zh-CN" w:bidi="ar"/>
        </w:rPr>
      </w:pPr>
      <w:r>
        <w:rPr>
          <w:rFonts w:hint="eastAsia" w:ascii="宋体" w:hAnsi="宋体" w:eastAsia="宋体" w:cs="宋体"/>
          <w:i w:val="0"/>
          <w:iCs w:val="0"/>
          <w:caps w:val="0"/>
          <w:color w:val="auto"/>
          <w:spacing w:val="0"/>
          <w:kern w:val="0"/>
          <w:sz w:val="21"/>
          <w:szCs w:val="21"/>
          <w:highlight w:val="none"/>
          <w:shd w:val="clear" w:fill="FFFFFF"/>
          <w:lang w:val="en-US" w:eastAsia="zh-CN" w:bidi="ar"/>
        </w:rPr>
        <w:t>2、网上开标，投标人登录滁州市城投工程咨询有限公司不见面开标系统参与网上开标（网址：http://js.etrading.cn/EpointBidOpening/bidopeninghallaction/hall/login）。</w:t>
      </w:r>
    </w:p>
    <w:p w14:paraId="11B4255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420" w:firstLineChars="200"/>
        <w:jc w:val="left"/>
        <w:textAlignment w:val="auto"/>
        <w:rPr>
          <w:rFonts w:hint="default" w:ascii="宋体" w:hAnsi="宋体" w:eastAsia="宋体" w:cs="宋体"/>
          <w:i w:val="0"/>
          <w:iCs w:val="0"/>
          <w:caps w:val="0"/>
          <w:color w:val="auto"/>
          <w:spacing w:val="0"/>
          <w:kern w:val="0"/>
          <w:sz w:val="21"/>
          <w:szCs w:val="21"/>
          <w:highlight w:val="none"/>
          <w:shd w:val="clear" w:fill="FFFFFF"/>
          <w:lang w:val="en-US" w:eastAsia="zh-CN" w:bidi="ar"/>
        </w:rPr>
      </w:pPr>
      <w:r>
        <w:rPr>
          <w:rFonts w:hint="eastAsia" w:ascii="宋体" w:hAnsi="宋体" w:eastAsia="宋体" w:cs="宋体"/>
          <w:i w:val="0"/>
          <w:iCs w:val="0"/>
          <w:caps w:val="0"/>
          <w:color w:val="auto"/>
          <w:spacing w:val="0"/>
          <w:kern w:val="0"/>
          <w:sz w:val="21"/>
          <w:szCs w:val="21"/>
          <w:highlight w:val="none"/>
          <w:shd w:val="clear" w:fill="FFFFFF"/>
          <w:lang w:val="en-US" w:eastAsia="zh-CN" w:bidi="ar"/>
        </w:rPr>
        <w:t>3、投标人应在投标截止时间之前，登陆新点电子交易平台【滁州专区】上传投标文件。</w:t>
      </w:r>
    </w:p>
    <w:p w14:paraId="68E7038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420" w:firstLineChars="200"/>
        <w:jc w:val="left"/>
        <w:textAlignment w:val="auto"/>
        <w:rPr>
          <w:rFonts w:hint="default" w:ascii="宋体" w:hAnsi="宋体" w:eastAsia="宋体" w:cs="宋体"/>
          <w:i w:val="0"/>
          <w:iCs w:val="0"/>
          <w:caps w:val="0"/>
          <w:color w:val="auto"/>
          <w:spacing w:val="0"/>
          <w:kern w:val="0"/>
          <w:sz w:val="21"/>
          <w:szCs w:val="21"/>
          <w:highlight w:val="none"/>
          <w:shd w:val="clear" w:fill="FFFFFF"/>
          <w:lang w:val="en-US" w:eastAsia="zh-CN" w:bidi="ar"/>
        </w:rPr>
      </w:pPr>
      <w:r>
        <w:rPr>
          <w:rFonts w:hint="eastAsia" w:ascii="宋体" w:hAnsi="宋体" w:eastAsia="宋体" w:cs="宋体"/>
          <w:i w:val="0"/>
          <w:iCs w:val="0"/>
          <w:caps w:val="0"/>
          <w:color w:val="auto"/>
          <w:spacing w:val="0"/>
          <w:kern w:val="0"/>
          <w:sz w:val="21"/>
          <w:szCs w:val="21"/>
          <w:highlight w:val="none"/>
          <w:shd w:val="clear" w:fill="FFFFFF"/>
          <w:lang w:val="en-US" w:eastAsia="zh-CN" w:bidi="ar"/>
        </w:rPr>
        <w:t>4、投标人逾期上传投标文件的，电子系统不予受理。</w:t>
      </w:r>
    </w:p>
    <w:p w14:paraId="39276E8D">
      <w:pPr>
        <w:keepNext/>
        <w:keepLines/>
        <w:pageBreakBefore w:val="0"/>
        <w:widowControl w:val="0"/>
        <w:kinsoku/>
        <w:wordWrap/>
        <w:overflowPunct/>
        <w:topLinePunct w:val="0"/>
        <w:autoSpaceDE/>
        <w:autoSpaceDN/>
        <w:bidi w:val="0"/>
        <w:adjustRightInd/>
        <w:snapToGrid/>
        <w:spacing w:before="100" w:after="100" w:line="440" w:lineRule="exact"/>
        <w:ind w:firstLine="422" w:firstLineChars="200"/>
        <w:textAlignment w:val="auto"/>
        <w:outlineLvl w:val="9"/>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五、公告</w:t>
      </w:r>
      <w:bookmarkEnd w:id="32"/>
      <w:bookmarkEnd w:id="33"/>
      <w:bookmarkEnd w:id="34"/>
      <w:bookmarkEnd w:id="35"/>
      <w:bookmarkEnd w:id="36"/>
      <w:bookmarkEnd w:id="37"/>
      <w:bookmarkEnd w:id="38"/>
      <w:r>
        <w:rPr>
          <w:rFonts w:hint="eastAsia" w:ascii="宋体" w:hAnsi="宋体" w:eastAsia="宋体" w:cs="宋体"/>
          <w:b/>
          <w:bCs/>
          <w:color w:val="auto"/>
          <w:sz w:val="21"/>
          <w:szCs w:val="21"/>
          <w:highlight w:val="none"/>
          <w:lang w:val="en-US" w:eastAsia="zh-CN"/>
        </w:rPr>
        <w:t>发布期限及媒体</w:t>
      </w:r>
    </w:p>
    <w:p w14:paraId="70ADAEF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420" w:firstLineChars="200"/>
        <w:jc w:val="left"/>
        <w:textAlignment w:val="auto"/>
        <w:rPr>
          <w:rFonts w:hint="eastAsia" w:ascii="宋体" w:hAnsi="宋体" w:eastAsia="宋体" w:cs="宋体"/>
          <w:i w:val="0"/>
          <w:iCs w:val="0"/>
          <w:caps w:val="0"/>
          <w:color w:val="auto"/>
          <w:spacing w:val="0"/>
          <w:kern w:val="0"/>
          <w:sz w:val="21"/>
          <w:szCs w:val="21"/>
          <w:highlight w:val="none"/>
          <w:shd w:val="clear" w:fill="FFFFFF"/>
          <w:lang w:val="en-US" w:eastAsia="zh-CN" w:bidi="ar"/>
        </w:rPr>
      </w:pPr>
      <w:r>
        <w:rPr>
          <w:rFonts w:hint="eastAsia" w:ascii="宋体" w:hAnsi="宋体" w:eastAsia="宋体" w:cs="宋体"/>
          <w:i w:val="0"/>
          <w:iCs w:val="0"/>
          <w:caps w:val="0"/>
          <w:color w:val="auto"/>
          <w:spacing w:val="0"/>
          <w:kern w:val="0"/>
          <w:sz w:val="21"/>
          <w:szCs w:val="21"/>
          <w:highlight w:val="none"/>
          <w:shd w:val="clear" w:fill="FFFFFF"/>
          <w:lang w:val="en-US" w:eastAsia="zh-CN" w:bidi="ar"/>
        </w:rPr>
        <w:t>自本公告发布之日起至投标截止时间止。</w:t>
      </w:r>
    </w:p>
    <w:p w14:paraId="55C898E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420" w:firstLineChars="200"/>
        <w:jc w:val="left"/>
        <w:textAlignment w:val="auto"/>
        <w:rPr>
          <w:rFonts w:hint="eastAsia" w:ascii="宋体" w:hAnsi="宋体" w:eastAsia="宋体" w:cs="宋体"/>
          <w:i w:val="0"/>
          <w:iCs w:val="0"/>
          <w:caps w:val="0"/>
          <w:color w:val="auto"/>
          <w:spacing w:val="0"/>
          <w:kern w:val="0"/>
          <w:sz w:val="21"/>
          <w:szCs w:val="21"/>
          <w:highlight w:val="none"/>
          <w:shd w:val="clear" w:fill="FFFFFF"/>
          <w:lang w:val="en-US" w:eastAsia="zh-CN" w:bidi="ar"/>
        </w:rPr>
      </w:pPr>
      <w:r>
        <w:rPr>
          <w:rFonts w:hint="eastAsia" w:ascii="宋体" w:hAnsi="宋体" w:eastAsia="宋体" w:cs="宋体"/>
          <w:i w:val="0"/>
          <w:iCs w:val="0"/>
          <w:caps w:val="0"/>
          <w:color w:val="auto"/>
          <w:spacing w:val="0"/>
          <w:kern w:val="0"/>
          <w:sz w:val="21"/>
          <w:szCs w:val="21"/>
          <w:highlight w:val="none"/>
          <w:shd w:val="clear" w:fill="FFFFFF"/>
          <w:lang w:val="en-US" w:eastAsia="zh-CN" w:bidi="ar"/>
        </w:rPr>
        <w:t>本次招标公告同时在中国招标公共服务平台（http://www.cebpubservice.com/）、安徽省招标投标信息网（www.ahtba.org.cn）、滁州市城投工程咨询管理有限公司（https://www.czctgczx.com/）、滁州市重点工程建设管理处（http://zdc.chuzhou.gov.cn/）网站上发布。</w:t>
      </w:r>
    </w:p>
    <w:p w14:paraId="25B232D4">
      <w:pPr>
        <w:keepNext/>
        <w:keepLines/>
        <w:pageBreakBefore w:val="0"/>
        <w:widowControl w:val="0"/>
        <w:kinsoku/>
        <w:wordWrap/>
        <w:overflowPunct/>
        <w:topLinePunct w:val="0"/>
        <w:autoSpaceDE/>
        <w:autoSpaceDN/>
        <w:bidi w:val="0"/>
        <w:adjustRightInd/>
        <w:snapToGrid/>
        <w:spacing w:before="100" w:after="100" w:line="440" w:lineRule="exact"/>
        <w:ind w:firstLine="422" w:firstLineChars="200"/>
        <w:textAlignment w:val="auto"/>
        <w:outlineLvl w:val="9"/>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六、投标保证金金额及缴纳账户</w:t>
      </w:r>
    </w:p>
    <w:p w14:paraId="1B54B94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420" w:firstLineChars="200"/>
        <w:jc w:val="left"/>
        <w:textAlignment w:val="auto"/>
        <w:rPr>
          <w:rFonts w:hint="eastAsia" w:ascii="宋体" w:hAnsi="宋体" w:eastAsia="宋体" w:cs="宋体"/>
          <w:i w:val="0"/>
          <w:iCs w:val="0"/>
          <w:caps w:val="0"/>
          <w:color w:val="auto"/>
          <w:spacing w:val="0"/>
          <w:kern w:val="0"/>
          <w:sz w:val="21"/>
          <w:szCs w:val="21"/>
          <w:highlight w:val="none"/>
          <w:shd w:val="clear" w:fill="FFFFFF"/>
          <w:lang w:val="en-US" w:eastAsia="zh-CN" w:bidi="ar"/>
        </w:rPr>
      </w:pPr>
      <w:r>
        <w:rPr>
          <w:rFonts w:hint="eastAsia" w:ascii="宋体" w:hAnsi="宋体" w:eastAsia="宋体" w:cs="宋体"/>
          <w:i w:val="0"/>
          <w:iCs w:val="0"/>
          <w:caps w:val="0"/>
          <w:color w:val="auto"/>
          <w:spacing w:val="0"/>
          <w:kern w:val="0"/>
          <w:sz w:val="21"/>
          <w:szCs w:val="21"/>
          <w:highlight w:val="none"/>
          <w:shd w:val="clear" w:fill="FFFFFF"/>
          <w:lang w:val="en-US" w:eastAsia="zh-CN" w:bidi="ar"/>
        </w:rPr>
        <w:t>是否要求投标人提交投标保证金：不要求。</w:t>
      </w:r>
    </w:p>
    <w:p w14:paraId="464AC674">
      <w:pPr>
        <w:keepNext/>
        <w:keepLines/>
        <w:pageBreakBefore w:val="0"/>
        <w:widowControl w:val="0"/>
        <w:kinsoku/>
        <w:wordWrap/>
        <w:overflowPunct/>
        <w:topLinePunct w:val="0"/>
        <w:autoSpaceDE/>
        <w:autoSpaceDN/>
        <w:bidi w:val="0"/>
        <w:adjustRightInd/>
        <w:snapToGrid/>
        <w:spacing w:before="100" w:after="100" w:line="440" w:lineRule="exact"/>
        <w:ind w:firstLine="422" w:firstLineChars="200"/>
        <w:textAlignment w:val="auto"/>
        <w:outlineLvl w:val="9"/>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七</w:t>
      </w:r>
      <w:r>
        <w:rPr>
          <w:rFonts w:hint="eastAsia" w:ascii="宋体" w:hAnsi="宋体" w:eastAsia="宋体" w:cs="宋体"/>
          <w:b/>
          <w:bCs/>
          <w:color w:val="auto"/>
          <w:sz w:val="21"/>
          <w:szCs w:val="21"/>
          <w:highlight w:val="none"/>
          <w:lang w:eastAsia="zh-CN"/>
        </w:rPr>
        <w:t>、重要提醒</w:t>
      </w:r>
    </w:p>
    <w:p w14:paraId="73ADC5F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40" w:lineRule="exact"/>
        <w:ind w:left="0" w:right="0" w:firstLine="420" w:firstLineChars="200"/>
        <w:jc w:val="left"/>
        <w:textAlignment w:val="auto"/>
        <w:rPr>
          <w:rFonts w:hint="eastAsia" w:ascii="宋体" w:hAnsi="宋体" w:eastAsia="宋体" w:cs="宋体"/>
          <w:i w:val="0"/>
          <w:iCs w:val="0"/>
          <w:caps w:val="0"/>
          <w:color w:val="auto"/>
          <w:spacing w:val="0"/>
          <w:kern w:val="0"/>
          <w:sz w:val="21"/>
          <w:szCs w:val="21"/>
          <w:highlight w:val="none"/>
          <w:shd w:val="clear" w:fill="FFFFFF"/>
          <w:lang w:val="en-US" w:eastAsia="zh-CN" w:bidi="ar"/>
        </w:rPr>
      </w:pPr>
      <w:r>
        <w:rPr>
          <w:rFonts w:hint="eastAsia" w:ascii="宋体" w:hAnsi="宋体" w:eastAsia="宋体" w:cs="宋体"/>
          <w:i w:val="0"/>
          <w:iCs w:val="0"/>
          <w:caps w:val="0"/>
          <w:color w:val="auto"/>
          <w:spacing w:val="0"/>
          <w:kern w:val="0"/>
          <w:sz w:val="21"/>
          <w:szCs w:val="21"/>
          <w:highlight w:val="none"/>
          <w:shd w:val="clear" w:fill="FFFFFF"/>
          <w:lang w:val="en-US" w:eastAsia="zh-CN" w:bidi="ar"/>
        </w:rPr>
        <w:t>1.本项目采用电子招投标方式，请投标人在“新点电子交易平台”办事指南下载“新点电子交易平台专用投标文件制作软件”，仔细阅读招标文件要求和相关操作手册，以免影响投标文件编制，因投标人未及时关注相关信息对投标造成的不利后果由其自行承担。投标软件制作工具下载：https://download.bqpoint.com/download/downloaddetail.html?SourceFrom=Ztb&amp;ZtbSoftXiaQuCode=0128&amp;ZtbSoftType=tballinclusive。</w:t>
      </w:r>
    </w:p>
    <w:p w14:paraId="438E66D2">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40" w:lineRule="exact"/>
        <w:ind w:left="0" w:right="0" w:firstLine="420" w:firstLineChars="200"/>
        <w:jc w:val="left"/>
        <w:textAlignment w:val="auto"/>
        <w:rPr>
          <w:rFonts w:hint="eastAsia" w:ascii="宋体" w:hAnsi="宋体" w:eastAsia="宋体" w:cs="宋体"/>
          <w:i w:val="0"/>
          <w:iCs w:val="0"/>
          <w:caps w:val="0"/>
          <w:color w:val="auto"/>
          <w:spacing w:val="0"/>
          <w:kern w:val="0"/>
          <w:sz w:val="21"/>
          <w:szCs w:val="21"/>
          <w:highlight w:val="none"/>
          <w:shd w:val="clear" w:fill="FFFFFF"/>
          <w:lang w:val="en-US" w:eastAsia="zh-CN" w:bidi="ar"/>
        </w:rPr>
      </w:pPr>
      <w:r>
        <w:rPr>
          <w:rFonts w:hint="eastAsia" w:ascii="宋体" w:hAnsi="宋体" w:eastAsia="宋体" w:cs="宋体"/>
          <w:i w:val="0"/>
          <w:iCs w:val="0"/>
          <w:caps w:val="0"/>
          <w:color w:val="auto"/>
          <w:spacing w:val="0"/>
          <w:kern w:val="0"/>
          <w:sz w:val="21"/>
          <w:szCs w:val="21"/>
          <w:highlight w:val="none"/>
          <w:shd w:val="clear" w:fill="FFFFFF"/>
          <w:lang w:val="en-US" w:eastAsia="zh-CN" w:bidi="ar"/>
        </w:rPr>
        <w:t>2.请于公告发布之日起从滁州市城投工程咨询管理有限公司官网（https://www.czctgczx.com/）下载本项目招标文件，或从滁州市城投工程咨询管理有限公司官网（https://www.czctgczx.com/），点击项目招标公告下方【我要投标】，登录新点电子交易平台后在【滁州专区】（https://www.etrading.cn/BREpointSSO/login/oauth2login?regioncode=DQ_ChuZhou）下载本项目招标文件。</w:t>
      </w:r>
    </w:p>
    <w:p w14:paraId="02598D4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420" w:firstLineChars="200"/>
        <w:jc w:val="left"/>
        <w:textAlignment w:val="auto"/>
        <w:rPr>
          <w:rFonts w:hint="eastAsia" w:ascii="宋体" w:hAnsi="宋体" w:eastAsia="宋体" w:cs="宋体"/>
          <w:i w:val="0"/>
          <w:iCs w:val="0"/>
          <w:caps w:val="0"/>
          <w:color w:val="auto"/>
          <w:spacing w:val="0"/>
          <w:kern w:val="0"/>
          <w:sz w:val="21"/>
          <w:szCs w:val="21"/>
          <w:highlight w:val="none"/>
          <w:shd w:val="clear" w:fill="FFFFFF"/>
          <w:lang w:val="en-US" w:eastAsia="zh-CN" w:bidi="ar"/>
        </w:rPr>
      </w:pPr>
      <w:r>
        <w:rPr>
          <w:rFonts w:hint="eastAsia" w:ascii="宋体" w:hAnsi="宋体" w:eastAsia="宋体" w:cs="宋体"/>
          <w:i w:val="0"/>
          <w:iCs w:val="0"/>
          <w:caps w:val="0"/>
          <w:color w:val="auto"/>
          <w:spacing w:val="0"/>
          <w:kern w:val="0"/>
          <w:sz w:val="21"/>
          <w:szCs w:val="21"/>
          <w:highlight w:val="none"/>
          <w:shd w:val="clear" w:fill="FFFFFF"/>
          <w:lang w:val="en-US" w:eastAsia="zh-CN" w:bidi="ar"/>
        </w:rPr>
        <w:t>3.投标人参与投标的，须登录新点电子交易平台【滁州专区】查询、获取招标文件。首次登录办理入库手续，办理入库不收取任何费用。新点电子招投标统一认证平台使用相关问题（如系统登录、信息登记、录入及提交、数字证书关联等）请拨打服务电话：</w:t>
      </w:r>
      <w:r>
        <w:rPr>
          <w:rFonts w:hint="eastAsia" w:ascii="宋体" w:hAnsi="宋体" w:cs="宋体"/>
          <w:i w:val="0"/>
          <w:iCs w:val="0"/>
          <w:caps w:val="0"/>
          <w:color w:val="auto"/>
          <w:spacing w:val="0"/>
          <w:kern w:val="0"/>
          <w:sz w:val="21"/>
          <w:szCs w:val="21"/>
          <w:highlight w:val="none"/>
          <w:shd w:val="clear" w:fill="FFFFFF"/>
          <w:lang w:val="en-US" w:eastAsia="zh-CN" w:bidi="ar"/>
        </w:rPr>
        <w:t>0512-58151515</w:t>
      </w:r>
      <w:r>
        <w:rPr>
          <w:rFonts w:hint="eastAsia" w:ascii="宋体" w:hAnsi="宋体" w:eastAsia="宋体" w:cs="宋体"/>
          <w:i w:val="0"/>
          <w:iCs w:val="0"/>
          <w:caps w:val="0"/>
          <w:color w:val="auto"/>
          <w:spacing w:val="0"/>
          <w:kern w:val="0"/>
          <w:sz w:val="21"/>
          <w:szCs w:val="21"/>
          <w:highlight w:val="none"/>
          <w:shd w:val="clear" w:fill="FFFFFF"/>
          <w:lang w:val="en-US" w:eastAsia="zh-CN" w:bidi="ar"/>
        </w:rPr>
        <w:t>（工作日）。</w:t>
      </w:r>
    </w:p>
    <w:p w14:paraId="2C7C5FF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420" w:firstLineChars="200"/>
        <w:jc w:val="left"/>
        <w:textAlignment w:val="auto"/>
        <w:rPr>
          <w:rFonts w:hint="eastAsia" w:ascii="宋体" w:hAnsi="宋体" w:eastAsia="宋体" w:cs="宋体"/>
          <w:i w:val="0"/>
          <w:iCs w:val="0"/>
          <w:caps w:val="0"/>
          <w:color w:val="auto"/>
          <w:spacing w:val="0"/>
          <w:kern w:val="0"/>
          <w:sz w:val="21"/>
          <w:szCs w:val="21"/>
          <w:highlight w:val="none"/>
          <w:shd w:val="clear" w:fill="FFFFFF"/>
          <w:lang w:val="en-US" w:eastAsia="zh-CN" w:bidi="ar"/>
        </w:rPr>
      </w:pPr>
      <w:r>
        <w:rPr>
          <w:rFonts w:hint="eastAsia" w:ascii="宋体" w:hAnsi="宋体" w:eastAsia="宋体" w:cs="宋体"/>
          <w:i w:val="0"/>
          <w:iCs w:val="0"/>
          <w:caps w:val="0"/>
          <w:color w:val="auto"/>
          <w:spacing w:val="0"/>
          <w:kern w:val="0"/>
          <w:sz w:val="21"/>
          <w:szCs w:val="21"/>
          <w:highlight w:val="none"/>
          <w:shd w:val="clear" w:fill="FFFFFF"/>
          <w:lang w:val="en-US" w:eastAsia="zh-CN" w:bidi="ar"/>
        </w:rPr>
        <w:t>4.投标人登录新点电子交易平台【滁州专区】获取招标文件及其它资料（含澄清和补充说明等）。如在招标文件获取过程中遇到系统问题，请拨打技术支持服务热线</w:t>
      </w:r>
      <w:r>
        <w:rPr>
          <w:rFonts w:hint="eastAsia" w:ascii="宋体" w:hAnsi="宋体" w:cs="宋体"/>
          <w:i w:val="0"/>
          <w:iCs w:val="0"/>
          <w:caps w:val="0"/>
          <w:color w:val="auto"/>
          <w:spacing w:val="0"/>
          <w:kern w:val="0"/>
          <w:sz w:val="21"/>
          <w:szCs w:val="21"/>
          <w:highlight w:val="none"/>
          <w:shd w:val="clear" w:fill="FFFFFF"/>
          <w:lang w:val="en-US" w:eastAsia="zh-CN" w:bidi="ar"/>
        </w:rPr>
        <w:t>0512-58151515</w:t>
      </w:r>
      <w:r>
        <w:rPr>
          <w:rFonts w:hint="eastAsia" w:ascii="宋体" w:hAnsi="宋体" w:eastAsia="宋体" w:cs="宋体"/>
          <w:i w:val="0"/>
          <w:iCs w:val="0"/>
          <w:caps w:val="0"/>
          <w:color w:val="auto"/>
          <w:spacing w:val="0"/>
          <w:kern w:val="0"/>
          <w:sz w:val="21"/>
          <w:szCs w:val="21"/>
          <w:highlight w:val="none"/>
          <w:shd w:val="clear" w:fill="FFFFFF"/>
          <w:lang w:val="en-US" w:eastAsia="zh-CN" w:bidi="ar"/>
        </w:rPr>
        <w:t>或者网站首页在线客服。投标人自行承担因未按要求获取招标文件导致无法上传电子投标文件的风险。</w:t>
      </w:r>
    </w:p>
    <w:p w14:paraId="4CE7125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40" w:lineRule="exact"/>
        <w:ind w:left="0" w:right="0" w:firstLine="420" w:firstLineChars="200"/>
        <w:jc w:val="left"/>
        <w:textAlignment w:val="auto"/>
        <w:rPr>
          <w:rFonts w:hint="eastAsia" w:ascii="宋体" w:hAnsi="宋体" w:eastAsia="宋体" w:cs="宋体"/>
          <w:i w:val="0"/>
          <w:iCs w:val="0"/>
          <w:caps w:val="0"/>
          <w:color w:val="auto"/>
          <w:spacing w:val="0"/>
          <w:kern w:val="0"/>
          <w:sz w:val="21"/>
          <w:szCs w:val="21"/>
          <w:highlight w:val="none"/>
          <w:shd w:val="clear" w:fill="FFFFFF"/>
          <w:lang w:val="en-US" w:eastAsia="zh-CN" w:bidi="ar"/>
        </w:rPr>
      </w:pPr>
      <w:r>
        <w:rPr>
          <w:rFonts w:hint="eastAsia" w:ascii="宋体" w:hAnsi="宋体" w:eastAsia="宋体" w:cs="宋体"/>
          <w:i w:val="0"/>
          <w:iCs w:val="0"/>
          <w:caps w:val="0"/>
          <w:color w:val="auto"/>
          <w:spacing w:val="0"/>
          <w:kern w:val="0"/>
          <w:sz w:val="21"/>
          <w:szCs w:val="21"/>
          <w:highlight w:val="none"/>
          <w:shd w:val="clear" w:fill="FFFFFF"/>
          <w:lang w:val="en-US" w:eastAsia="zh-CN" w:bidi="ar"/>
        </w:rPr>
        <w:t>5.本项目采用不见面开标，投标人登录滁州市城投工程咨询有限公司不见面开标系统参与网上开标（网址：http://js.etrading.cn/EpointBidOpening/bidopeninghallaction/hall/login）。</w:t>
      </w:r>
    </w:p>
    <w:p w14:paraId="01C1FB9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420" w:firstLineChars="200"/>
        <w:jc w:val="left"/>
        <w:textAlignment w:val="auto"/>
        <w:rPr>
          <w:rFonts w:hint="eastAsia" w:ascii="宋体" w:hAnsi="宋体" w:eastAsia="宋体" w:cs="宋体"/>
          <w:i w:val="0"/>
          <w:iCs w:val="0"/>
          <w:caps w:val="0"/>
          <w:color w:val="auto"/>
          <w:spacing w:val="0"/>
          <w:kern w:val="0"/>
          <w:sz w:val="21"/>
          <w:szCs w:val="21"/>
          <w:highlight w:val="none"/>
          <w:shd w:val="clear" w:fill="FFFFFF"/>
          <w:lang w:val="en-US" w:eastAsia="zh-CN" w:bidi="ar"/>
        </w:rPr>
      </w:pPr>
      <w:r>
        <w:rPr>
          <w:rFonts w:hint="eastAsia" w:ascii="宋体" w:hAnsi="宋体" w:eastAsia="宋体" w:cs="宋体"/>
          <w:i w:val="0"/>
          <w:iCs w:val="0"/>
          <w:caps w:val="0"/>
          <w:color w:val="auto"/>
          <w:spacing w:val="0"/>
          <w:kern w:val="0"/>
          <w:sz w:val="21"/>
          <w:szCs w:val="21"/>
          <w:highlight w:val="none"/>
          <w:shd w:val="clear" w:fill="FFFFFF"/>
          <w:lang w:val="en-US" w:eastAsia="zh-CN" w:bidi="ar"/>
        </w:rPr>
        <w:t>6.投标人应在投标截止时间之前，登录新点电子交易平台【滁州专区】上传投标文件。投标人逾期上传投标文件的，电子系统不予受理。</w:t>
      </w:r>
    </w:p>
    <w:p w14:paraId="1B85BE5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420" w:firstLineChars="200"/>
        <w:jc w:val="left"/>
        <w:textAlignment w:val="auto"/>
        <w:rPr>
          <w:rFonts w:hint="eastAsia" w:ascii="宋体" w:hAnsi="宋体" w:eastAsia="宋体" w:cs="宋体"/>
          <w:i w:val="0"/>
          <w:iCs w:val="0"/>
          <w:caps w:val="0"/>
          <w:color w:val="auto"/>
          <w:spacing w:val="0"/>
          <w:kern w:val="0"/>
          <w:sz w:val="21"/>
          <w:szCs w:val="21"/>
          <w:highlight w:val="none"/>
          <w:shd w:val="clear" w:fill="FFFFFF"/>
          <w:lang w:val="en-US" w:eastAsia="zh-CN" w:bidi="ar"/>
        </w:rPr>
      </w:pPr>
      <w:r>
        <w:rPr>
          <w:rFonts w:hint="eastAsia" w:ascii="宋体" w:hAnsi="宋体" w:eastAsia="宋体" w:cs="宋体"/>
          <w:i w:val="0"/>
          <w:iCs w:val="0"/>
          <w:caps w:val="0"/>
          <w:color w:val="auto"/>
          <w:spacing w:val="0"/>
          <w:kern w:val="0"/>
          <w:sz w:val="21"/>
          <w:szCs w:val="21"/>
          <w:highlight w:val="none"/>
          <w:shd w:val="clear" w:fill="FFFFFF"/>
          <w:lang w:val="en-US" w:eastAsia="zh-CN" w:bidi="ar"/>
        </w:rPr>
        <w:t>7.本项目开评标实行全流程电子化，在线完成开评标活动。开标时投标人无需到达开标现场，不接受现场解密，实行远程解密和在线询标。各投标人认真学习《新点电子交易平台投标人操作手册》，务必掌握远程解密方法和在线回复询标方法。</w:t>
      </w:r>
    </w:p>
    <w:p w14:paraId="3769CA1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420" w:firstLineChars="200"/>
        <w:jc w:val="left"/>
        <w:textAlignment w:val="auto"/>
        <w:rPr>
          <w:rFonts w:hint="eastAsia" w:ascii="宋体" w:hAnsi="宋体" w:eastAsia="宋体" w:cs="宋体"/>
          <w:i w:val="0"/>
          <w:iCs w:val="0"/>
          <w:caps w:val="0"/>
          <w:color w:val="auto"/>
          <w:spacing w:val="0"/>
          <w:kern w:val="0"/>
          <w:sz w:val="21"/>
          <w:szCs w:val="21"/>
          <w:highlight w:val="none"/>
          <w:shd w:val="clear" w:fill="FFFFFF"/>
          <w:lang w:val="en-US" w:eastAsia="zh-CN" w:bidi="ar"/>
        </w:rPr>
      </w:pPr>
      <w:r>
        <w:rPr>
          <w:rFonts w:hint="eastAsia" w:ascii="宋体" w:hAnsi="宋体" w:eastAsia="宋体" w:cs="宋体"/>
          <w:i w:val="0"/>
          <w:iCs w:val="0"/>
          <w:caps w:val="0"/>
          <w:color w:val="auto"/>
          <w:spacing w:val="0"/>
          <w:kern w:val="0"/>
          <w:sz w:val="21"/>
          <w:szCs w:val="21"/>
          <w:highlight w:val="none"/>
          <w:shd w:val="clear" w:fill="FFFFFF"/>
          <w:lang w:val="en-US" w:eastAsia="zh-CN" w:bidi="ar"/>
        </w:rPr>
        <w:t>8.投标人的联系人电话(手机)、电子邮箱等通讯方式在开标过程中必须保持畅通，否则因上述原因造成的后果，责任自负。</w:t>
      </w:r>
    </w:p>
    <w:p w14:paraId="0369C8DB">
      <w:pPr>
        <w:keepNext/>
        <w:keepLines/>
        <w:pageBreakBefore w:val="0"/>
        <w:widowControl w:val="0"/>
        <w:kinsoku/>
        <w:wordWrap/>
        <w:overflowPunct/>
        <w:topLinePunct w:val="0"/>
        <w:autoSpaceDE/>
        <w:autoSpaceDN/>
        <w:bidi w:val="0"/>
        <w:adjustRightInd/>
        <w:snapToGrid/>
        <w:spacing w:before="100" w:after="100" w:line="440" w:lineRule="exact"/>
        <w:ind w:firstLine="422" w:firstLineChars="200"/>
        <w:textAlignment w:val="auto"/>
        <w:outlineLvl w:val="9"/>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八、</w:t>
      </w:r>
      <w:r>
        <w:rPr>
          <w:rFonts w:hint="eastAsia" w:ascii="宋体" w:hAnsi="宋体" w:eastAsia="宋体" w:cs="宋体"/>
          <w:b/>
          <w:bCs/>
          <w:color w:val="auto"/>
          <w:sz w:val="21"/>
          <w:szCs w:val="21"/>
          <w:highlight w:val="none"/>
          <w:lang w:eastAsia="zh-CN"/>
        </w:rPr>
        <w:t>对本次招标提出询问，请按以下方式联系</w:t>
      </w:r>
    </w:p>
    <w:p w14:paraId="6110084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420" w:firstLineChars="200"/>
        <w:jc w:val="left"/>
        <w:textAlignment w:val="auto"/>
        <w:rPr>
          <w:rFonts w:hint="eastAsia" w:ascii="宋体" w:hAnsi="宋体" w:eastAsia="宋体" w:cs="宋体"/>
          <w:i w:val="0"/>
          <w:iCs w:val="0"/>
          <w:caps w:val="0"/>
          <w:color w:val="auto"/>
          <w:spacing w:val="0"/>
          <w:kern w:val="0"/>
          <w:sz w:val="21"/>
          <w:szCs w:val="21"/>
          <w:highlight w:val="none"/>
          <w:shd w:val="clear" w:color="auto" w:fill="FFFFFF"/>
          <w:lang w:val="en-US" w:eastAsia="zh-CN" w:bidi="ar"/>
        </w:rPr>
      </w:pPr>
      <w:r>
        <w:rPr>
          <w:rFonts w:hint="eastAsia" w:ascii="宋体" w:hAnsi="宋体" w:eastAsia="宋体" w:cs="宋体"/>
          <w:i w:val="0"/>
          <w:iCs w:val="0"/>
          <w:caps w:val="0"/>
          <w:color w:val="auto"/>
          <w:spacing w:val="0"/>
          <w:kern w:val="0"/>
          <w:sz w:val="21"/>
          <w:szCs w:val="21"/>
          <w:highlight w:val="none"/>
          <w:shd w:val="clear" w:color="auto" w:fill="FFFFFF"/>
          <w:lang w:val="en-US" w:eastAsia="zh-CN" w:bidi="ar"/>
        </w:rPr>
        <w:t>1.</w:t>
      </w:r>
      <w:bookmarkStart w:id="39" w:name="_Toc28359087"/>
      <w:bookmarkStart w:id="40" w:name="_Toc28359010"/>
      <w:r>
        <w:rPr>
          <w:rFonts w:hint="eastAsia" w:ascii="宋体" w:hAnsi="宋体" w:eastAsia="宋体" w:cs="宋体"/>
          <w:i w:val="0"/>
          <w:iCs w:val="0"/>
          <w:caps w:val="0"/>
          <w:color w:val="auto"/>
          <w:spacing w:val="0"/>
          <w:kern w:val="0"/>
          <w:sz w:val="21"/>
          <w:szCs w:val="21"/>
          <w:highlight w:val="none"/>
          <w:shd w:val="clear" w:color="auto" w:fill="FFFFFF"/>
          <w:lang w:val="en-US" w:eastAsia="zh-CN" w:bidi="ar"/>
        </w:rPr>
        <w:t>招标人信息</w:t>
      </w:r>
    </w:p>
    <w:p w14:paraId="34462E7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420" w:firstLineChars="200"/>
        <w:jc w:val="left"/>
        <w:textAlignment w:val="auto"/>
        <w:rPr>
          <w:rFonts w:hint="eastAsia" w:ascii="宋体" w:hAnsi="宋体" w:eastAsia="宋体" w:cs="宋体"/>
          <w:i w:val="0"/>
          <w:iCs w:val="0"/>
          <w:caps w:val="0"/>
          <w:color w:val="auto"/>
          <w:spacing w:val="0"/>
          <w:kern w:val="0"/>
          <w:sz w:val="21"/>
          <w:szCs w:val="21"/>
          <w:highlight w:val="none"/>
          <w:shd w:val="clear" w:color="auto" w:fill="FFFFFF"/>
          <w:lang w:val="en-US" w:eastAsia="zh-CN" w:bidi="ar"/>
        </w:rPr>
      </w:pPr>
      <w:r>
        <w:rPr>
          <w:rFonts w:hint="eastAsia" w:ascii="宋体" w:hAnsi="宋体" w:eastAsia="宋体" w:cs="宋体"/>
          <w:i w:val="0"/>
          <w:iCs w:val="0"/>
          <w:caps w:val="0"/>
          <w:color w:val="auto"/>
          <w:spacing w:val="0"/>
          <w:kern w:val="0"/>
          <w:sz w:val="21"/>
          <w:szCs w:val="21"/>
          <w:highlight w:val="none"/>
          <w:shd w:val="clear" w:color="auto" w:fill="FFFFFF"/>
          <w:lang w:val="en-US" w:eastAsia="zh-CN" w:bidi="ar"/>
        </w:rPr>
        <w:t xml:space="preserve">名    称：滁州市园林景观管理中心 </w:t>
      </w:r>
    </w:p>
    <w:p w14:paraId="353A0E9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420" w:firstLineChars="200"/>
        <w:jc w:val="left"/>
        <w:textAlignment w:val="auto"/>
        <w:rPr>
          <w:rFonts w:hint="eastAsia" w:ascii="宋体" w:hAnsi="宋体" w:eastAsia="宋体" w:cs="宋体"/>
          <w:i w:val="0"/>
          <w:iCs w:val="0"/>
          <w:caps w:val="0"/>
          <w:color w:val="auto"/>
          <w:spacing w:val="0"/>
          <w:kern w:val="0"/>
          <w:sz w:val="21"/>
          <w:szCs w:val="21"/>
          <w:highlight w:val="none"/>
          <w:shd w:val="clear" w:color="auto" w:fill="FFFFFF"/>
          <w:lang w:val="en-US" w:eastAsia="zh-CN" w:bidi="ar"/>
        </w:rPr>
      </w:pPr>
      <w:r>
        <w:rPr>
          <w:rFonts w:hint="eastAsia" w:ascii="宋体" w:hAnsi="宋体" w:eastAsia="宋体" w:cs="宋体"/>
          <w:i w:val="0"/>
          <w:iCs w:val="0"/>
          <w:caps w:val="0"/>
          <w:color w:val="auto"/>
          <w:spacing w:val="0"/>
          <w:kern w:val="0"/>
          <w:sz w:val="21"/>
          <w:szCs w:val="21"/>
          <w:highlight w:val="none"/>
          <w:shd w:val="clear" w:color="auto" w:fill="FFFFFF"/>
          <w:lang w:val="en-US" w:eastAsia="zh-CN" w:bidi="ar"/>
        </w:rPr>
        <w:t>地    址：</w:t>
      </w:r>
      <w:r>
        <w:rPr>
          <w:rFonts w:hint="eastAsia" w:ascii="宋体" w:hAnsi="宋体" w:cs="宋体"/>
          <w:i w:val="0"/>
          <w:iCs w:val="0"/>
          <w:caps w:val="0"/>
          <w:color w:val="auto"/>
          <w:spacing w:val="0"/>
          <w:kern w:val="0"/>
          <w:sz w:val="21"/>
          <w:szCs w:val="21"/>
          <w:highlight w:val="none"/>
          <w:shd w:val="clear" w:color="auto" w:fill="FFFFFF"/>
          <w:lang w:val="en-US" w:eastAsia="zh-CN" w:bidi="ar"/>
        </w:rPr>
        <w:t xml:space="preserve">滁州市花园西路81号林业大厦8楼 </w:t>
      </w:r>
    </w:p>
    <w:p w14:paraId="33C4350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420" w:firstLineChars="200"/>
        <w:jc w:val="left"/>
        <w:textAlignment w:val="auto"/>
        <w:rPr>
          <w:rFonts w:hint="eastAsia" w:ascii="宋体" w:hAnsi="宋体" w:eastAsia="宋体" w:cs="宋体"/>
          <w:i w:val="0"/>
          <w:iCs w:val="0"/>
          <w:caps w:val="0"/>
          <w:color w:val="auto"/>
          <w:spacing w:val="0"/>
          <w:kern w:val="0"/>
          <w:sz w:val="21"/>
          <w:szCs w:val="21"/>
          <w:highlight w:val="none"/>
          <w:shd w:val="clear" w:color="auto" w:fill="FFFFFF"/>
          <w:lang w:val="en-US" w:eastAsia="zh-CN" w:bidi="ar"/>
        </w:rPr>
      </w:pPr>
      <w:r>
        <w:rPr>
          <w:rFonts w:hint="eastAsia" w:ascii="宋体" w:hAnsi="宋体" w:eastAsia="宋体" w:cs="宋体"/>
          <w:i w:val="0"/>
          <w:iCs w:val="0"/>
          <w:caps w:val="0"/>
          <w:color w:val="auto"/>
          <w:spacing w:val="0"/>
          <w:kern w:val="0"/>
          <w:sz w:val="21"/>
          <w:szCs w:val="21"/>
          <w:highlight w:val="none"/>
          <w:shd w:val="clear" w:color="auto" w:fill="FFFFFF"/>
          <w:lang w:val="en-US" w:eastAsia="zh-CN" w:bidi="ar"/>
        </w:rPr>
        <w:t>联系方式：</w:t>
      </w:r>
      <w:r>
        <w:rPr>
          <w:rFonts w:hint="eastAsia" w:ascii="宋体" w:hAnsi="宋体" w:cs="宋体"/>
          <w:i w:val="0"/>
          <w:iCs w:val="0"/>
          <w:caps w:val="0"/>
          <w:color w:val="auto"/>
          <w:spacing w:val="0"/>
          <w:kern w:val="0"/>
          <w:sz w:val="21"/>
          <w:szCs w:val="21"/>
          <w:highlight w:val="none"/>
          <w:shd w:val="clear" w:color="auto" w:fill="FFFFFF"/>
          <w:lang w:val="en-US" w:eastAsia="zh-CN" w:bidi="ar"/>
        </w:rPr>
        <w:t>0550-3010861</w:t>
      </w:r>
    </w:p>
    <w:p w14:paraId="0B48B47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420" w:firstLineChars="200"/>
        <w:jc w:val="left"/>
        <w:textAlignment w:val="auto"/>
        <w:rPr>
          <w:rFonts w:hint="eastAsia" w:ascii="宋体" w:hAnsi="宋体" w:eastAsia="宋体" w:cs="宋体"/>
          <w:i w:val="0"/>
          <w:iCs w:val="0"/>
          <w:caps w:val="0"/>
          <w:color w:val="auto"/>
          <w:spacing w:val="0"/>
          <w:kern w:val="0"/>
          <w:sz w:val="21"/>
          <w:szCs w:val="21"/>
          <w:highlight w:val="none"/>
          <w:shd w:val="clear" w:color="auto" w:fill="FFFFFF"/>
          <w:lang w:val="en-US" w:eastAsia="zh-CN" w:bidi="ar"/>
        </w:rPr>
      </w:pPr>
      <w:r>
        <w:rPr>
          <w:rFonts w:hint="eastAsia" w:ascii="宋体" w:hAnsi="宋体" w:eastAsia="宋体" w:cs="宋体"/>
          <w:i w:val="0"/>
          <w:iCs w:val="0"/>
          <w:caps w:val="0"/>
          <w:color w:val="auto"/>
          <w:spacing w:val="0"/>
          <w:kern w:val="0"/>
          <w:sz w:val="21"/>
          <w:szCs w:val="21"/>
          <w:highlight w:val="none"/>
          <w:shd w:val="clear" w:color="auto" w:fill="FFFFFF"/>
          <w:lang w:val="en-US" w:eastAsia="zh-CN" w:bidi="ar"/>
        </w:rPr>
        <w:t>2.代理机构信息</w:t>
      </w:r>
    </w:p>
    <w:p w14:paraId="7AB4B9B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420" w:firstLineChars="200"/>
        <w:jc w:val="left"/>
        <w:textAlignment w:val="auto"/>
        <w:rPr>
          <w:rFonts w:hint="eastAsia" w:ascii="宋体" w:hAnsi="宋体" w:eastAsia="宋体" w:cs="宋体"/>
          <w:i w:val="0"/>
          <w:iCs w:val="0"/>
          <w:caps w:val="0"/>
          <w:color w:val="auto"/>
          <w:spacing w:val="0"/>
          <w:kern w:val="0"/>
          <w:sz w:val="21"/>
          <w:szCs w:val="21"/>
          <w:highlight w:val="none"/>
          <w:shd w:val="clear" w:color="auto" w:fill="FFFFFF"/>
          <w:lang w:val="en-US" w:eastAsia="zh-CN" w:bidi="ar"/>
        </w:rPr>
      </w:pPr>
      <w:r>
        <w:rPr>
          <w:rFonts w:hint="eastAsia" w:ascii="宋体" w:hAnsi="宋体" w:eastAsia="宋体" w:cs="宋体"/>
          <w:i w:val="0"/>
          <w:iCs w:val="0"/>
          <w:caps w:val="0"/>
          <w:color w:val="auto"/>
          <w:spacing w:val="0"/>
          <w:kern w:val="0"/>
          <w:sz w:val="21"/>
          <w:szCs w:val="21"/>
          <w:highlight w:val="none"/>
          <w:shd w:val="clear" w:color="auto" w:fill="FFFFFF"/>
          <w:lang w:val="en-US" w:eastAsia="zh-CN" w:bidi="ar"/>
        </w:rPr>
        <w:t>名    称：滁州市城投工程咨询管理有限公司</w:t>
      </w:r>
    </w:p>
    <w:p w14:paraId="3B4872A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420" w:firstLineChars="200"/>
        <w:jc w:val="left"/>
        <w:textAlignment w:val="auto"/>
        <w:rPr>
          <w:rFonts w:hint="eastAsia" w:ascii="宋体" w:hAnsi="宋体" w:eastAsia="宋体" w:cs="宋体"/>
          <w:i w:val="0"/>
          <w:iCs w:val="0"/>
          <w:caps w:val="0"/>
          <w:color w:val="auto"/>
          <w:spacing w:val="0"/>
          <w:kern w:val="0"/>
          <w:sz w:val="21"/>
          <w:szCs w:val="21"/>
          <w:highlight w:val="none"/>
          <w:shd w:val="clear" w:color="auto" w:fill="FFFFFF"/>
          <w:lang w:val="en-US" w:eastAsia="zh-CN" w:bidi="ar"/>
        </w:rPr>
      </w:pPr>
      <w:r>
        <w:rPr>
          <w:rFonts w:hint="eastAsia" w:ascii="宋体" w:hAnsi="宋体" w:eastAsia="宋体" w:cs="宋体"/>
          <w:i w:val="0"/>
          <w:iCs w:val="0"/>
          <w:caps w:val="0"/>
          <w:color w:val="auto"/>
          <w:spacing w:val="0"/>
          <w:kern w:val="0"/>
          <w:sz w:val="21"/>
          <w:szCs w:val="21"/>
          <w:highlight w:val="none"/>
          <w:shd w:val="clear" w:color="auto" w:fill="FFFFFF"/>
          <w:lang w:val="en-US" w:eastAsia="zh-CN" w:bidi="ar"/>
        </w:rPr>
        <w:t>地　　址：滁州市龙蟠大道109号房产商务大厦6楼</w:t>
      </w:r>
    </w:p>
    <w:p w14:paraId="0EF11D02">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420" w:firstLineChars="200"/>
        <w:jc w:val="left"/>
        <w:textAlignment w:val="auto"/>
        <w:rPr>
          <w:rFonts w:hint="eastAsia" w:ascii="宋体" w:hAnsi="宋体" w:eastAsia="宋体" w:cs="宋体"/>
          <w:i w:val="0"/>
          <w:iCs w:val="0"/>
          <w:caps w:val="0"/>
          <w:color w:val="auto"/>
          <w:spacing w:val="0"/>
          <w:kern w:val="0"/>
          <w:sz w:val="21"/>
          <w:szCs w:val="21"/>
          <w:highlight w:val="none"/>
          <w:shd w:val="clear" w:color="auto" w:fill="FFFFFF"/>
          <w:lang w:val="en-US" w:eastAsia="zh-CN" w:bidi="ar"/>
        </w:rPr>
      </w:pPr>
      <w:r>
        <w:rPr>
          <w:rFonts w:hint="eastAsia" w:ascii="宋体" w:hAnsi="宋体" w:eastAsia="宋体" w:cs="宋体"/>
          <w:i w:val="0"/>
          <w:iCs w:val="0"/>
          <w:caps w:val="0"/>
          <w:color w:val="auto"/>
          <w:spacing w:val="0"/>
          <w:kern w:val="0"/>
          <w:sz w:val="21"/>
          <w:szCs w:val="21"/>
          <w:highlight w:val="none"/>
          <w:shd w:val="clear" w:color="auto" w:fill="FFFFFF"/>
          <w:lang w:val="en-US" w:eastAsia="zh-CN" w:bidi="ar"/>
        </w:rPr>
        <w:t>联系方式：</w:t>
      </w:r>
      <w:r>
        <w:rPr>
          <w:rFonts w:hint="eastAsia" w:ascii="宋体" w:hAnsi="宋体" w:cs="宋体"/>
          <w:i w:val="0"/>
          <w:iCs w:val="0"/>
          <w:caps w:val="0"/>
          <w:color w:val="auto"/>
          <w:spacing w:val="0"/>
          <w:kern w:val="0"/>
          <w:sz w:val="21"/>
          <w:szCs w:val="21"/>
          <w:highlight w:val="none"/>
          <w:shd w:val="clear" w:color="auto" w:fill="FFFFFF"/>
          <w:lang w:val="en-US" w:eastAsia="zh-CN" w:bidi="ar"/>
        </w:rPr>
        <w:t xml:space="preserve">18712012204 </w:t>
      </w:r>
    </w:p>
    <w:p w14:paraId="48E6D27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420" w:firstLineChars="200"/>
        <w:jc w:val="left"/>
        <w:textAlignment w:val="auto"/>
        <w:rPr>
          <w:rFonts w:hint="eastAsia" w:ascii="宋体" w:hAnsi="宋体" w:eastAsia="宋体" w:cs="宋体"/>
          <w:i w:val="0"/>
          <w:iCs w:val="0"/>
          <w:caps w:val="0"/>
          <w:color w:val="auto"/>
          <w:spacing w:val="0"/>
          <w:kern w:val="0"/>
          <w:sz w:val="21"/>
          <w:szCs w:val="21"/>
          <w:highlight w:val="none"/>
          <w:shd w:val="clear" w:color="auto" w:fill="FFFFFF"/>
          <w:lang w:val="en-US" w:eastAsia="zh-CN" w:bidi="ar"/>
        </w:rPr>
      </w:pPr>
      <w:r>
        <w:rPr>
          <w:rFonts w:hint="eastAsia" w:ascii="宋体" w:hAnsi="宋体" w:eastAsia="宋体" w:cs="宋体"/>
          <w:i w:val="0"/>
          <w:iCs w:val="0"/>
          <w:caps w:val="0"/>
          <w:color w:val="auto"/>
          <w:spacing w:val="0"/>
          <w:kern w:val="0"/>
          <w:sz w:val="21"/>
          <w:szCs w:val="21"/>
          <w:highlight w:val="none"/>
          <w:shd w:val="clear" w:color="auto" w:fill="FFFFFF"/>
          <w:lang w:val="en-US" w:eastAsia="zh-CN" w:bidi="ar"/>
        </w:rPr>
        <w:t>3.项目联系方式</w:t>
      </w:r>
    </w:p>
    <w:p w14:paraId="631FBA1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420" w:firstLineChars="200"/>
        <w:jc w:val="left"/>
        <w:textAlignment w:val="auto"/>
        <w:rPr>
          <w:rFonts w:hint="eastAsia" w:ascii="宋体" w:hAnsi="宋体" w:eastAsia="宋体" w:cs="宋体"/>
          <w:i w:val="0"/>
          <w:iCs w:val="0"/>
          <w:caps w:val="0"/>
          <w:color w:val="auto"/>
          <w:spacing w:val="0"/>
          <w:kern w:val="0"/>
          <w:sz w:val="21"/>
          <w:szCs w:val="21"/>
          <w:highlight w:val="none"/>
          <w:shd w:val="clear" w:color="auto" w:fill="FFFFFF"/>
          <w:lang w:val="en-US" w:eastAsia="zh-CN" w:bidi="ar"/>
        </w:rPr>
      </w:pPr>
      <w:r>
        <w:rPr>
          <w:rFonts w:hint="eastAsia" w:ascii="宋体" w:hAnsi="宋体" w:eastAsia="宋体" w:cs="宋体"/>
          <w:i w:val="0"/>
          <w:iCs w:val="0"/>
          <w:caps w:val="0"/>
          <w:color w:val="auto"/>
          <w:spacing w:val="0"/>
          <w:kern w:val="0"/>
          <w:sz w:val="21"/>
          <w:szCs w:val="21"/>
          <w:highlight w:val="none"/>
          <w:shd w:val="clear" w:color="auto" w:fill="FFFFFF"/>
          <w:lang w:val="en-US" w:eastAsia="zh-CN" w:bidi="ar"/>
        </w:rPr>
        <w:t>项目联系人：</w:t>
      </w:r>
      <w:r>
        <w:rPr>
          <w:rFonts w:hint="eastAsia" w:ascii="宋体" w:hAnsi="宋体" w:cs="宋体"/>
          <w:i w:val="0"/>
          <w:iCs w:val="0"/>
          <w:caps w:val="0"/>
          <w:color w:val="auto"/>
          <w:spacing w:val="0"/>
          <w:kern w:val="0"/>
          <w:sz w:val="21"/>
          <w:szCs w:val="21"/>
          <w:highlight w:val="none"/>
          <w:shd w:val="clear" w:color="auto" w:fill="FFFFFF"/>
          <w:lang w:val="en-US" w:eastAsia="zh-CN" w:bidi="ar"/>
        </w:rPr>
        <w:t>曾建博</w:t>
      </w:r>
      <w:r>
        <w:rPr>
          <w:rFonts w:hint="eastAsia" w:ascii="宋体" w:hAnsi="宋体" w:eastAsia="宋体" w:cs="宋体"/>
          <w:i w:val="0"/>
          <w:iCs w:val="0"/>
          <w:caps w:val="0"/>
          <w:color w:val="auto"/>
          <w:spacing w:val="0"/>
          <w:kern w:val="0"/>
          <w:sz w:val="21"/>
          <w:szCs w:val="21"/>
          <w:highlight w:val="none"/>
          <w:shd w:val="clear" w:color="auto" w:fill="FFFFFF"/>
          <w:lang w:val="en-US" w:eastAsia="zh-CN" w:bidi="ar"/>
        </w:rPr>
        <w:t>、</w:t>
      </w:r>
      <w:r>
        <w:rPr>
          <w:rFonts w:hint="eastAsia" w:ascii="宋体" w:hAnsi="宋体" w:cs="宋体"/>
          <w:i w:val="0"/>
          <w:iCs w:val="0"/>
          <w:caps w:val="0"/>
          <w:color w:val="auto"/>
          <w:spacing w:val="0"/>
          <w:kern w:val="0"/>
          <w:sz w:val="21"/>
          <w:szCs w:val="21"/>
          <w:highlight w:val="none"/>
          <w:shd w:val="clear" w:color="auto" w:fill="FFFFFF"/>
          <w:lang w:val="en-US" w:eastAsia="zh-CN" w:bidi="ar"/>
        </w:rPr>
        <w:t>曹思敏</w:t>
      </w:r>
    </w:p>
    <w:p w14:paraId="7030918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420" w:firstLineChars="200"/>
        <w:jc w:val="left"/>
        <w:textAlignment w:val="auto"/>
        <w:rPr>
          <w:rFonts w:hint="default" w:ascii="宋体" w:hAnsi="宋体" w:eastAsia="宋体" w:cs="宋体"/>
          <w:i w:val="0"/>
          <w:iCs w:val="0"/>
          <w:caps w:val="0"/>
          <w:color w:val="auto"/>
          <w:spacing w:val="0"/>
          <w:kern w:val="0"/>
          <w:sz w:val="21"/>
          <w:szCs w:val="21"/>
          <w:highlight w:val="none"/>
          <w:shd w:val="clear" w:color="auto" w:fill="FFFFFF"/>
          <w:lang w:val="en-US" w:eastAsia="zh-CN" w:bidi="ar"/>
        </w:rPr>
      </w:pPr>
      <w:r>
        <w:rPr>
          <w:rFonts w:hint="eastAsia" w:ascii="宋体" w:hAnsi="宋体" w:eastAsia="宋体" w:cs="宋体"/>
          <w:i w:val="0"/>
          <w:iCs w:val="0"/>
          <w:caps w:val="0"/>
          <w:color w:val="auto"/>
          <w:spacing w:val="0"/>
          <w:kern w:val="0"/>
          <w:sz w:val="21"/>
          <w:szCs w:val="21"/>
          <w:highlight w:val="none"/>
          <w:shd w:val="clear" w:color="auto" w:fill="FFFFFF"/>
          <w:lang w:val="en-US" w:eastAsia="zh-CN" w:bidi="ar"/>
        </w:rPr>
        <w:t>电　　 话：</w:t>
      </w:r>
      <w:r>
        <w:rPr>
          <w:rFonts w:hint="eastAsia" w:ascii="宋体" w:hAnsi="宋体" w:cs="宋体"/>
          <w:i w:val="0"/>
          <w:iCs w:val="0"/>
          <w:caps w:val="0"/>
          <w:color w:val="auto"/>
          <w:spacing w:val="0"/>
          <w:kern w:val="0"/>
          <w:sz w:val="21"/>
          <w:szCs w:val="21"/>
          <w:highlight w:val="none"/>
          <w:shd w:val="clear" w:color="auto" w:fill="FFFFFF"/>
          <w:lang w:val="en-US" w:eastAsia="zh-CN" w:bidi="ar"/>
        </w:rPr>
        <w:t>0550-3010861</w:t>
      </w:r>
      <w:r>
        <w:rPr>
          <w:rFonts w:hint="eastAsia" w:ascii="宋体" w:hAnsi="宋体" w:eastAsia="宋体" w:cs="宋体"/>
          <w:i w:val="0"/>
          <w:iCs w:val="0"/>
          <w:caps w:val="0"/>
          <w:color w:val="auto"/>
          <w:spacing w:val="0"/>
          <w:kern w:val="0"/>
          <w:sz w:val="21"/>
          <w:szCs w:val="21"/>
          <w:highlight w:val="none"/>
          <w:shd w:val="clear" w:color="auto" w:fill="FFFFFF"/>
          <w:lang w:val="en-US" w:eastAsia="zh-CN" w:bidi="ar"/>
        </w:rPr>
        <w:t>、</w:t>
      </w:r>
      <w:r>
        <w:rPr>
          <w:rFonts w:hint="eastAsia" w:ascii="宋体" w:hAnsi="宋体" w:cs="宋体"/>
          <w:i w:val="0"/>
          <w:iCs w:val="0"/>
          <w:caps w:val="0"/>
          <w:color w:val="auto"/>
          <w:spacing w:val="0"/>
          <w:kern w:val="0"/>
          <w:sz w:val="21"/>
          <w:szCs w:val="21"/>
          <w:highlight w:val="none"/>
          <w:shd w:val="clear" w:color="auto" w:fill="FFFFFF"/>
          <w:lang w:val="en-US" w:eastAsia="zh-CN" w:bidi="ar"/>
        </w:rPr>
        <w:t xml:space="preserve">18712012204 </w:t>
      </w:r>
    </w:p>
    <w:bookmarkEnd w:id="39"/>
    <w:bookmarkEnd w:id="40"/>
    <w:p w14:paraId="6230337C">
      <w:pPr>
        <w:pStyle w:val="44"/>
        <w:rPr>
          <w:rFonts w:hint="eastAsia"/>
          <w:color w:val="auto"/>
          <w:highlight w:val="none"/>
          <w:lang w:val="en-US" w:eastAsia="zh-CN"/>
        </w:rPr>
      </w:pPr>
    </w:p>
    <w:p w14:paraId="0B7C01C1">
      <w:pPr>
        <w:pStyle w:val="2"/>
        <w:keepNext/>
        <w:keepLines/>
        <w:pageBreakBefore/>
        <w:widowControl w:val="0"/>
        <w:kinsoku/>
        <w:wordWrap/>
        <w:overflowPunct/>
        <w:topLinePunct w:val="0"/>
        <w:autoSpaceDE/>
        <w:autoSpaceDN/>
        <w:bidi w:val="0"/>
        <w:adjustRightInd/>
        <w:snapToGrid/>
        <w:spacing w:before="0" w:after="0" w:line="440" w:lineRule="exact"/>
        <w:textAlignment w:val="auto"/>
        <w:rPr>
          <w:rFonts w:hint="eastAsia" w:ascii="宋体" w:hAnsi="宋体" w:eastAsia="宋体" w:cs="宋体"/>
          <w:color w:val="auto"/>
          <w:highlight w:val="none"/>
          <w:lang w:eastAsia="zh-CN"/>
        </w:rPr>
      </w:pPr>
      <w:bookmarkStart w:id="41" w:name="_Toc2525"/>
      <w:r>
        <w:rPr>
          <w:rFonts w:hint="eastAsia" w:ascii="宋体" w:hAnsi="宋体" w:eastAsia="宋体" w:cs="宋体"/>
          <w:color w:val="auto"/>
          <w:highlight w:val="none"/>
        </w:rPr>
        <w:t>第</w:t>
      </w:r>
      <w:r>
        <w:rPr>
          <w:rFonts w:hint="eastAsia" w:ascii="宋体" w:hAnsi="宋体" w:eastAsia="宋体" w:cs="宋体"/>
          <w:color w:val="auto"/>
          <w:highlight w:val="none"/>
          <w:lang w:val="en-US" w:eastAsia="zh-CN"/>
        </w:rPr>
        <w:t>一</w:t>
      </w:r>
      <w:r>
        <w:rPr>
          <w:rFonts w:hint="eastAsia" w:ascii="宋体" w:hAnsi="宋体" w:eastAsia="宋体" w:cs="宋体"/>
          <w:color w:val="auto"/>
          <w:highlight w:val="none"/>
        </w:rPr>
        <w:t>章</w:t>
      </w:r>
      <w:r>
        <w:rPr>
          <w:rFonts w:hint="eastAsia" w:ascii="宋体" w:hAnsi="宋体" w:eastAsia="宋体" w:cs="宋体"/>
          <w:color w:val="auto"/>
          <w:highlight w:val="none"/>
          <w:lang w:val="en-US" w:eastAsia="zh-CN"/>
        </w:rPr>
        <w:t xml:space="preserve"> </w:t>
      </w:r>
      <w:bookmarkEnd w:id="41"/>
      <w:r>
        <w:rPr>
          <w:rFonts w:hint="eastAsia" w:ascii="宋体" w:hAnsi="宋体" w:eastAsia="宋体" w:cs="宋体"/>
          <w:color w:val="auto"/>
          <w:highlight w:val="none"/>
          <w:lang w:eastAsia="zh-CN"/>
        </w:rPr>
        <w:t>投标人须知</w:t>
      </w:r>
    </w:p>
    <w:p w14:paraId="11A55803">
      <w:pPr>
        <w:pStyle w:val="2"/>
        <w:keepNext/>
        <w:keepLines/>
        <w:pageBreakBefore w:val="0"/>
        <w:widowControl w:val="0"/>
        <w:kinsoku/>
        <w:wordWrap/>
        <w:overflowPunct/>
        <w:topLinePunct w:val="0"/>
        <w:autoSpaceDE/>
        <w:autoSpaceDN/>
        <w:bidi w:val="0"/>
        <w:adjustRightInd/>
        <w:snapToGrid/>
        <w:spacing w:before="0" w:after="0"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lang w:eastAsia="zh-CN"/>
        </w:rPr>
        <w:t>投标人须知</w:t>
      </w:r>
      <w:r>
        <w:rPr>
          <w:rFonts w:hint="eastAsia" w:ascii="宋体" w:hAnsi="宋体" w:eastAsia="宋体" w:cs="宋体"/>
          <w:color w:val="auto"/>
          <w:highlight w:val="none"/>
        </w:rPr>
        <w:t>前附表</w:t>
      </w:r>
      <w:bookmarkEnd w:id="0"/>
    </w:p>
    <w:tbl>
      <w:tblPr>
        <w:tblStyle w:val="45"/>
        <w:tblW w:w="9588" w:type="dxa"/>
        <w:tblInd w:w="2" w:type="dxa"/>
        <w:tblLayout w:type="fixed"/>
        <w:tblCellMar>
          <w:top w:w="0" w:type="dxa"/>
          <w:left w:w="0" w:type="dxa"/>
          <w:bottom w:w="0" w:type="dxa"/>
          <w:right w:w="0" w:type="dxa"/>
        </w:tblCellMar>
      </w:tblPr>
      <w:tblGrid>
        <w:gridCol w:w="731"/>
        <w:gridCol w:w="1654"/>
        <w:gridCol w:w="7203"/>
      </w:tblGrid>
      <w:tr w14:paraId="78EF493F">
        <w:tblPrEx>
          <w:tblCellMar>
            <w:top w:w="0" w:type="dxa"/>
            <w:left w:w="0" w:type="dxa"/>
            <w:bottom w:w="0" w:type="dxa"/>
            <w:right w:w="0" w:type="dxa"/>
          </w:tblCellMar>
        </w:tblPrEx>
        <w:trPr>
          <w:trHeight w:val="474" w:hRule="atLeast"/>
        </w:trPr>
        <w:tc>
          <w:tcPr>
            <w:tcW w:w="731" w:type="dxa"/>
            <w:tcBorders>
              <w:top w:val="single" w:color="auto" w:sz="8" w:space="0"/>
              <w:left w:val="single" w:color="auto" w:sz="8" w:space="0"/>
              <w:bottom w:val="single" w:color="auto" w:sz="8" w:space="0"/>
              <w:right w:val="single" w:color="auto" w:sz="8" w:space="0"/>
            </w:tcBorders>
            <w:vAlign w:val="center"/>
          </w:tcPr>
          <w:p w14:paraId="6A179B09">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编号</w:t>
            </w:r>
          </w:p>
        </w:tc>
        <w:tc>
          <w:tcPr>
            <w:tcW w:w="1654" w:type="dxa"/>
            <w:tcBorders>
              <w:top w:val="single" w:color="auto" w:sz="8" w:space="0"/>
              <w:left w:val="single" w:color="auto" w:sz="4" w:space="0"/>
              <w:bottom w:val="single" w:color="auto" w:sz="8" w:space="0"/>
              <w:right w:val="single" w:color="auto" w:sz="4" w:space="0"/>
            </w:tcBorders>
            <w:vAlign w:val="center"/>
          </w:tcPr>
          <w:p w14:paraId="49C71E2D">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内容</w:t>
            </w:r>
          </w:p>
        </w:tc>
        <w:tc>
          <w:tcPr>
            <w:tcW w:w="7203" w:type="dxa"/>
            <w:tcBorders>
              <w:top w:val="single" w:color="auto" w:sz="8" w:space="0"/>
              <w:left w:val="single" w:color="auto" w:sz="4" w:space="0"/>
              <w:bottom w:val="single" w:color="auto" w:sz="8" w:space="0"/>
              <w:right w:val="single" w:color="auto" w:sz="8" w:space="0"/>
            </w:tcBorders>
            <w:vAlign w:val="center"/>
          </w:tcPr>
          <w:p w14:paraId="6CFD765C">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说明与要求</w:t>
            </w:r>
          </w:p>
        </w:tc>
      </w:tr>
      <w:tr w14:paraId="726904A0">
        <w:tblPrEx>
          <w:tblCellMar>
            <w:top w:w="0" w:type="dxa"/>
            <w:left w:w="0" w:type="dxa"/>
            <w:bottom w:w="0" w:type="dxa"/>
            <w:right w:w="0" w:type="dxa"/>
          </w:tblCellMar>
        </w:tblPrEx>
        <w:trPr>
          <w:trHeight w:val="986" w:hRule="atLeast"/>
        </w:trPr>
        <w:tc>
          <w:tcPr>
            <w:tcW w:w="731" w:type="dxa"/>
            <w:tcBorders>
              <w:top w:val="single" w:color="auto" w:sz="8" w:space="0"/>
              <w:left w:val="single" w:color="auto" w:sz="8" w:space="0"/>
              <w:bottom w:val="single" w:color="auto" w:sz="8" w:space="0"/>
              <w:right w:val="single" w:color="auto" w:sz="8" w:space="0"/>
            </w:tcBorders>
            <w:vAlign w:val="center"/>
          </w:tcPr>
          <w:p w14:paraId="2BF3545F">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1654" w:type="dxa"/>
            <w:tcBorders>
              <w:top w:val="single" w:color="auto" w:sz="8" w:space="0"/>
              <w:left w:val="single" w:color="auto" w:sz="4" w:space="0"/>
              <w:bottom w:val="single" w:color="auto" w:sz="8" w:space="0"/>
              <w:right w:val="single" w:color="auto" w:sz="4" w:space="0"/>
            </w:tcBorders>
            <w:vAlign w:val="center"/>
          </w:tcPr>
          <w:p w14:paraId="1C48B210">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项目概况</w:t>
            </w:r>
          </w:p>
        </w:tc>
        <w:tc>
          <w:tcPr>
            <w:tcW w:w="7203" w:type="dxa"/>
            <w:tcBorders>
              <w:top w:val="single" w:color="auto" w:sz="8" w:space="0"/>
              <w:left w:val="single" w:color="auto" w:sz="4" w:space="0"/>
              <w:bottom w:val="single" w:color="auto" w:sz="8" w:space="0"/>
              <w:right w:val="single" w:color="auto" w:sz="8" w:space="0"/>
            </w:tcBorders>
            <w:vAlign w:val="center"/>
          </w:tcPr>
          <w:p w14:paraId="5594D2C0">
            <w:pPr>
              <w:keepNext w:val="0"/>
              <w:keepLines w:val="0"/>
              <w:pageBreakBefore w:val="0"/>
              <w:kinsoku/>
              <w:wordWrap/>
              <w:overflowPunct/>
              <w:topLinePunct w:val="0"/>
              <w:autoSpaceDE/>
              <w:autoSpaceDN/>
              <w:bidi w:val="0"/>
              <w:adjustRightInd/>
              <w:snapToGrid/>
              <w:spacing w:line="440" w:lineRule="exact"/>
              <w:ind w:left="57"/>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项目</w:t>
            </w:r>
            <w:r>
              <w:rPr>
                <w:rFonts w:hint="eastAsia" w:ascii="宋体" w:hAnsi="宋体" w:eastAsia="宋体" w:cs="宋体"/>
                <w:color w:val="auto"/>
                <w:kern w:val="0"/>
                <w:sz w:val="21"/>
                <w:szCs w:val="21"/>
                <w:highlight w:val="none"/>
              </w:rPr>
              <w:t>名称：</w:t>
            </w:r>
            <w:r>
              <w:rPr>
                <w:rFonts w:hint="eastAsia" w:ascii="宋体" w:hAnsi="宋体" w:cs="宋体"/>
                <w:color w:val="auto"/>
                <w:kern w:val="0"/>
                <w:sz w:val="21"/>
                <w:szCs w:val="21"/>
                <w:highlight w:val="none"/>
                <w:lang w:val="en-US" w:eastAsia="zh-CN"/>
              </w:rPr>
              <w:t>2026年公园游园设施安全整治项目跟踪审计项目</w:t>
            </w:r>
          </w:p>
          <w:p w14:paraId="3D870AD5">
            <w:pPr>
              <w:keepNext w:val="0"/>
              <w:keepLines w:val="0"/>
              <w:pageBreakBefore w:val="0"/>
              <w:kinsoku/>
              <w:wordWrap/>
              <w:overflowPunct/>
              <w:topLinePunct w:val="0"/>
              <w:autoSpaceDE/>
              <w:autoSpaceDN/>
              <w:bidi w:val="0"/>
              <w:adjustRightInd/>
              <w:snapToGrid/>
              <w:spacing w:line="440" w:lineRule="exact"/>
              <w:ind w:left="57"/>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建设地点：滁州市</w:t>
            </w:r>
            <w:r>
              <w:rPr>
                <w:rFonts w:hint="eastAsia" w:ascii="宋体" w:hAnsi="宋体" w:eastAsia="宋体" w:cs="宋体"/>
                <w:color w:val="auto"/>
                <w:kern w:val="0"/>
                <w:sz w:val="21"/>
                <w:szCs w:val="21"/>
                <w:highlight w:val="none"/>
                <w:lang w:val="en-US" w:eastAsia="zh-CN"/>
              </w:rPr>
              <w:t>内</w:t>
            </w:r>
          </w:p>
          <w:p w14:paraId="70D97D96">
            <w:pPr>
              <w:keepNext w:val="0"/>
              <w:keepLines w:val="0"/>
              <w:pageBreakBefore w:val="0"/>
              <w:widowControl w:val="0"/>
              <w:kinsoku/>
              <w:wordWrap w:val="0"/>
              <w:overflowPunct/>
              <w:topLinePunct w:val="0"/>
              <w:autoSpaceDE/>
              <w:autoSpaceDN/>
              <w:bidi w:val="0"/>
              <w:adjustRightInd/>
              <w:snapToGrid/>
              <w:spacing w:line="440" w:lineRule="exact"/>
              <w:ind w:left="57"/>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lang w:val="en-US" w:eastAsia="zh-CN"/>
              </w:rPr>
              <w:t>建设规模：清流河公园一期会峰路桥北侧水体驳岸倾斜坍塌整治、南湖公园四期丰泰门至一院约600米园路积水问题整治、内城河公园三中东门对面亭子地基下沉柱体腐烂等问题整治、北湖公园拱极门东北侧北湖北岸大理石护栏倾斜塌落及墙砖脱落维修恢复等各项涉及安全隐患急需维修的内容，跟踪审计服务费约0.3万元。</w:t>
            </w:r>
          </w:p>
        </w:tc>
      </w:tr>
      <w:tr w14:paraId="4047B0BA">
        <w:tblPrEx>
          <w:tblCellMar>
            <w:top w:w="0" w:type="dxa"/>
            <w:left w:w="0" w:type="dxa"/>
            <w:bottom w:w="0" w:type="dxa"/>
            <w:right w:w="0" w:type="dxa"/>
          </w:tblCellMar>
        </w:tblPrEx>
        <w:trPr>
          <w:trHeight w:val="255" w:hRule="atLeast"/>
        </w:trPr>
        <w:tc>
          <w:tcPr>
            <w:tcW w:w="731" w:type="dxa"/>
            <w:tcBorders>
              <w:top w:val="single" w:color="auto" w:sz="8" w:space="0"/>
              <w:left w:val="single" w:color="auto" w:sz="8" w:space="0"/>
              <w:bottom w:val="single" w:color="auto" w:sz="8" w:space="0"/>
              <w:right w:val="single" w:color="auto" w:sz="8" w:space="0"/>
            </w:tcBorders>
            <w:vAlign w:val="center"/>
          </w:tcPr>
          <w:p w14:paraId="4A966AC2">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p>
        </w:tc>
        <w:tc>
          <w:tcPr>
            <w:tcW w:w="1654" w:type="dxa"/>
            <w:tcBorders>
              <w:top w:val="single" w:color="auto" w:sz="8" w:space="0"/>
              <w:left w:val="single" w:color="auto" w:sz="4" w:space="0"/>
              <w:bottom w:val="single" w:color="auto" w:sz="8" w:space="0"/>
              <w:right w:val="single" w:color="auto" w:sz="4" w:space="0"/>
            </w:tcBorders>
            <w:vAlign w:val="center"/>
          </w:tcPr>
          <w:p w14:paraId="1E1D1A52">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服务需求</w:t>
            </w:r>
          </w:p>
        </w:tc>
        <w:tc>
          <w:tcPr>
            <w:tcW w:w="7203" w:type="dxa"/>
            <w:tcBorders>
              <w:top w:val="single" w:color="auto" w:sz="8" w:space="0"/>
              <w:left w:val="single" w:color="auto" w:sz="4" w:space="0"/>
              <w:bottom w:val="single" w:color="auto" w:sz="8" w:space="0"/>
              <w:right w:val="single" w:color="auto" w:sz="8" w:space="0"/>
            </w:tcBorders>
            <w:vAlign w:val="center"/>
          </w:tcPr>
          <w:p w14:paraId="0003F08F">
            <w:pPr>
              <w:keepNext w:val="0"/>
              <w:keepLines w:val="0"/>
              <w:pageBreakBefore w:val="0"/>
              <w:kinsoku/>
              <w:wordWrap/>
              <w:overflowPunct/>
              <w:topLinePunct w:val="0"/>
              <w:autoSpaceDE/>
              <w:autoSpaceDN/>
              <w:bidi w:val="0"/>
              <w:adjustRightInd/>
              <w:snapToGrid/>
              <w:spacing w:line="440" w:lineRule="exact"/>
              <w:ind w:left="57"/>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跟踪（结算）审计服务</w:t>
            </w:r>
            <w:r>
              <w:rPr>
                <w:rFonts w:hint="eastAsia" w:ascii="宋体" w:hAnsi="宋体" w:eastAsia="宋体" w:cs="宋体"/>
                <w:color w:val="auto"/>
                <w:kern w:val="0"/>
                <w:sz w:val="21"/>
                <w:szCs w:val="21"/>
                <w:highlight w:val="none"/>
                <w:lang w:eastAsia="zh-CN"/>
              </w:rPr>
              <w:t>。</w:t>
            </w:r>
          </w:p>
        </w:tc>
      </w:tr>
      <w:tr w14:paraId="597FACB0">
        <w:tblPrEx>
          <w:tblCellMar>
            <w:top w:w="0" w:type="dxa"/>
            <w:left w:w="0" w:type="dxa"/>
            <w:bottom w:w="0" w:type="dxa"/>
            <w:right w:w="0" w:type="dxa"/>
          </w:tblCellMar>
        </w:tblPrEx>
        <w:trPr>
          <w:trHeight w:val="315" w:hRule="atLeast"/>
        </w:trPr>
        <w:tc>
          <w:tcPr>
            <w:tcW w:w="731" w:type="dxa"/>
            <w:tcBorders>
              <w:top w:val="single" w:color="auto" w:sz="8" w:space="0"/>
              <w:left w:val="single" w:color="auto" w:sz="8" w:space="0"/>
              <w:bottom w:val="single" w:color="auto" w:sz="8" w:space="0"/>
              <w:right w:val="single" w:color="auto" w:sz="8" w:space="0"/>
            </w:tcBorders>
            <w:vAlign w:val="center"/>
          </w:tcPr>
          <w:p w14:paraId="01D15934">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p>
        </w:tc>
        <w:tc>
          <w:tcPr>
            <w:tcW w:w="1654" w:type="dxa"/>
            <w:tcBorders>
              <w:top w:val="single" w:color="auto" w:sz="8" w:space="0"/>
              <w:left w:val="single" w:color="auto" w:sz="4" w:space="0"/>
              <w:bottom w:val="single" w:color="auto" w:sz="8" w:space="0"/>
              <w:right w:val="single" w:color="auto" w:sz="4" w:space="0"/>
            </w:tcBorders>
            <w:vAlign w:val="center"/>
          </w:tcPr>
          <w:p w14:paraId="0815F981">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服务期</w:t>
            </w:r>
            <w:r>
              <w:rPr>
                <w:rFonts w:hint="eastAsia" w:ascii="宋体" w:hAnsi="宋体" w:eastAsia="宋体" w:cs="宋体"/>
                <w:color w:val="auto"/>
                <w:kern w:val="0"/>
                <w:sz w:val="21"/>
                <w:szCs w:val="21"/>
                <w:highlight w:val="none"/>
              </w:rPr>
              <w:t>要求</w:t>
            </w:r>
          </w:p>
        </w:tc>
        <w:tc>
          <w:tcPr>
            <w:tcW w:w="7203" w:type="dxa"/>
            <w:tcBorders>
              <w:top w:val="single" w:color="auto" w:sz="8" w:space="0"/>
              <w:left w:val="single" w:color="auto" w:sz="4" w:space="0"/>
              <w:bottom w:val="single" w:color="auto" w:sz="8" w:space="0"/>
              <w:right w:val="single" w:color="auto" w:sz="8" w:space="0"/>
            </w:tcBorders>
            <w:vAlign w:val="center"/>
          </w:tcPr>
          <w:p w14:paraId="5DB7864B">
            <w:pPr>
              <w:keepNext w:val="0"/>
              <w:keepLines w:val="0"/>
              <w:pageBreakBefore w:val="0"/>
              <w:kinsoku/>
              <w:wordWrap/>
              <w:overflowPunct/>
              <w:topLinePunct w:val="0"/>
              <w:autoSpaceDE/>
              <w:autoSpaceDN/>
              <w:bidi w:val="0"/>
              <w:adjustRightInd/>
              <w:snapToGrid/>
              <w:spacing w:line="440" w:lineRule="exact"/>
              <w:ind w:left="57"/>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满足关于印发《工程造价咨询服务管理办法》的通知（滁重〔2022〕55号）规定</w:t>
            </w:r>
            <w:r>
              <w:rPr>
                <w:rFonts w:hint="eastAsia" w:ascii="宋体" w:hAnsi="宋体" w:cs="宋体"/>
                <w:color w:val="auto"/>
                <w:sz w:val="21"/>
                <w:szCs w:val="21"/>
                <w:highlight w:val="none"/>
                <w:lang w:val="en-US" w:eastAsia="zh-CN"/>
              </w:rPr>
              <w:t>的</w:t>
            </w:r>
            <w:r>
              <w:rPr>
                <w:rFonts w:hint="eastAsia" w:ascii="宋体" w:hAnsi="宋体" w:eastAsia="宋体" w:cs="宋体"/>
                <w:color w:val="auto"/>
                <w:sz w:val="21"/>
                <w:szCs w:val="21"/>
                <w:highlight w:val="none"/>
                <w:lang w:val="en-US" w:eastAsia="zh-CN"/>
              </w:rPr>
              <w:t>要求。</w:t>
            </w:r>
          </w:p>
        </w:tc>
      </w:tr>
      <w:tr w14:paraId="24784F21">
        <w:tblPrEx>
          <w:tblCellMar>
            <w:top w:w="0" w:type="dxa"/>
            <w:left w:w="0" w:type="dxa"/>
            <w:bottom w:w="0" w:type="dxa"/>
            <w:right w:w="0" w:type="dxa"/>
          </w:tblCellMar>
        </w:tblPrEx>
        <w:trPr>
          <w:trHeight w:val="425" w:hRule="atLeast"/>
        </w:trPr>
        <w:tc>
          <w:tcPr>
            <w:tcW w:w="731" w:type="dxa"/>
            <w:tcBorders>
              <w:top w:val="single" w:color="auto" w:sz="8" w:space="0"/>
              <w:left w:val="single" w:color="auto" w:sz="8" w:space="0"/>
              <w:bottom w:val="single" w:color="auto" w:sz="8" w:space="0"/>
              <w:right w:val="single" w:color="auto" w:sz="8" w:space="0"/>
            </w:tcBorders>
            <w:vAlign w:val="center"/>
          </w:tcPr>
          <w:p w14:paraId="274B87BC">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p>
        </w:tc>
        <w:tc>
          <w:tcPr>
            <w:tcW w:w="1654" w:type="dxa"/>
            <w:tcBorders>
              <w:top w:val="single" w:color="auto" w:sz="8" w:space="0"/>
              <w:left w:val="single" w:color="auto" w:sz="4" w:space="0"/>
              <w:bottom w:val="single" w:color="auto" w:sz="8" w:space="0"/>
              <w:right w:val="single" w:color="auto" w:sz="4" w:space="0"/>
            </w:tcBorders>
            <w:vAlign w:val="center"/>
          </w:tcPr>
          <w:p w14:paraId="3198F4B1">
            <w:pPr>
              <w:keepNext w:val="0"/>
              <w:keepLines w:val="0"/>
              <w:pageBreakBefore w:val="0"/>
              <w:widowControl w:val="0"/>
              <w:kinsoku/>
              <w:wordWrap/>
              <w:overflowPunct/>
              <w:topLinePunct w:val="0"/>
              <w:autoSpaceDE/>
              <w:autoSpaceDN/>
              <w:bidi w:val="0"/>
              <w:adjustRightInd/>
              <w:snapToGrid/>
              <w:spacing w:line="480" w:lineRule="exact"/>
              <w:ind w:left="0" w:leftChars="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质量标准</w:t>
            </w:r>
          </w:p>
        </w:tc>
        <w:tc>
          <w:tcPr>
            <w:tcW w:w="7203" w:type="dxa"/>
            <w:tcBorders>
              <w:top w:val="single" w:color="auto" w:sz="8" w:space="0"/>
              <w:left w:val="single" w:color="auto" w:sz="4" w:space="0"/>
              <w:bottom w:val="single" w:color="auto" w:sz="8" w:space="0"/>
              <w:right w:val="single" w:color="auto" w:sz="8" w:space="0"/>
            </w:tcBorders>
            <w:vAlign w:val="center"/>
          </w:tcPr>
          <w:p w14:paraId="27135FFC">
            <w:pPr>
              <w:keepNext w:val="0"/>
              <w:keepLines w:val="0"/>
              <w:pageBreakBefore w:val="0"/>
              <w:widowControl w:val="0"/>
              <w:kinsoku/>
              <w:wordWrap/>
              <w:overflowPunct/>
              <w:topLinePunct w:val="0"/>
              <w:autoSpaceDE/>
              <w:autoSpaceDN/>
              <w:bidi w:val="0"/>
              <w:adjustRightInd/>
              <w:snapToGrid/>
              <w:spacing w:line="440" w:lineRule="exact"/>
              <w:ind w:left="57" w:leftChars="0" w:firstLine="0" w:firstLineChars="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投标人出具的工程造价咨询成果文件质量应符合现行国家或行业工程计价有关规定、标准、规范的要求</w:t>
            </w:r>
            <w:r>
              <w:rPr>
                <w:rFonts w:hint="eastAsia" w:ascii="宋体" w:hAnsi="宋体" w:eastAsia="宋体" w:cs="宋体"/>
                <w:color w:val="auto"/>
                <w:kern w:val="0"/>
                <w:sz w:val="21"/>
                <w:szCs w:val="21"/>
                <w:highlight w:val="none"/>
                <w:lang w:eastAsia="zh-CN"/>
              </w:rPr>
              <w:t>；</w:t>
            </w:r>
          </w:p>
        </w:tc>
      </w:tr>
      <w:tr w14:paraId="21D1049F">
        <w:tblPrEx>
          <w:tblCellMar>
            <w:top w:w="0" w:type="dxa"/>
            <w:left w:w="0" w:type="dxa"/>
            <w:bottom w:w="0" w:type="dxa"/>
            <w:right w:w="0" w:type="dxa"/>
          </w:tblCellMar>
        </w:tblPrEx>
        <w:trPr>
          <w:trHeight w:val="286" w:hRule="atLeast"/>
        </w:trPr>
        <w:tc>
          <w:tcPr>
            <w:tcW w:w="731" w:type="dxa"/>
            <w:tcBorders>
              <w:top w:val="single" w:color="auto" w:sz="8" w:space="0"/>
              <w:left w:val="single" w:color="auto" w:sz="8" w:space="0"/>
              <w:bottom w:val="single" w:color="auto" w:sz="8" w:space="0"/>
              <w:right w:val="single" w:color="auto" w:sz="8" w:space="0"/>
            </w:tcBorders>
            <w:vAlign w:val="center"/>
          </w:tcPr>
          <w:p w14:paraId="68BC9846">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p>
        </w:tc>
        <w:tc>
          <w:tcPr>
            <w:tcW w:w="1654" w:type="dxa"/>
            <w:tcBorders>
              <w:top w:val="single" w:color="auto" w:sz="8" w:space="0"/>
              <w:left w:val="single" w:color="auto" w:sz="4" w:space="0"/>
              <w:bottom w:val="single" w:color="auto" w:sz="8" w:space="0"/>
              <w:right w:val="single" w:color="auto" w:sz="4" w:space="0"/>
            </w:tcBorders>
            <w:vAlign w:val="center"/>
          </w:tcPr>
          <w:p w14:paraId="0E6F3B67">
            <w:pPr>
              <w:keepNext w:val="0"/>
              <w:keepLines w:val="0"/>
              <w:pageBreakBefore w:val="0"/>
              <w:kinsoku/>
              <w:wordWrap/>
              <w:overflowPunct/>
              <w:topLinePunct w:val="0"/>
              <w:autoSpaceDE/>
              <w:autoSpaceDN/>
              <w:bidi w:val="0"/>
              <w:adjustRightInd/>
              <w:snapToGrid/>
              <w:spacing w:line="480" w:lineRule="exact"/>
              <w:ind w:left="31680" w:hanging="1470" w:hangingChars="70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投标人资质</w:t>
            </w:r>
          </w:p>
          <w:p w14:paraId="4A788D2E">
            <w:pPr>
              <w:keepNext w:val="0"/>
              <w:keepLines w:val="0"/>
              <w:pageBreakBefore w:val="0"/>
              <w:kinsoku/>
              <w:wordWrap/>
              <w:overflowPunct/>
              <w:topLinePunct w:val="0"/>
              <w:autoSpaceDE/>
              <w:autoSpaceDN/>
              <w:bidi w:val="0"/>
              <w:adjustRightInd/>
              <w:snapToGrid/>
              <w:spacing w:line="480" w:lineRule="exact"/>
              <w:ind w:left="31680" w:hanging="1470" w:hangingChars="70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等级要求</w:t>
            </w:r>
          </w:p>
        </w:tc>
        <w:tc>
          <w:tcPr>
            <w:tcW w:w="7203" w:type="dxa"/>
            <w:tcBorders>
              <w:top w:val="single" w:color="auto" w:sz="8" w:space="0"/>
              <w:left w:val="single" w:color="auto" w:sz="4" w:space="0"/>
              <w:bottom w:val="single" w:color="auto" w:sz="8" w:space="0"/>
              <w:right w:val="single" w:color="auto" w:sz="8" w:space="0"/>
            </w:tcBorders>
            <w:vAlign w:val="center"/>
          </w:tcPr>
          <w:p w14:paraId="19BF53D1">
            <w:pPr>
              <w:keepNext w:val="0"/>
              <w:keepLines w:val="0"/>
              <w:pageBreakBefore w:val="0"/>
              <w:kinsoku/>
              <w:wordWrap/>
              <w:overflowPunct/>
              <w:topLinePunct w:val="0"/>
              <w:autoSpaceDE/>
              <w:autoSpaceDN/>
              <w:bidi w:val="0"/>
              <w:adjustRightInd/>
              <w:snapToGrid/>
              <w:spacing w:line="440" w:lineRule="exact"/>
              <w:ind w:left="57"/>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详</w:t>
            </w:r>
            <w:r>
              <w:rPr>
                <w:rFonts w:hint="eastAsia" w:ascii="宋体" w:hAnsi="宋体" w:eastAsia="宋体" w:cs="宋体"/>
                <w:color w:val="auto"/>
                <w:kern w:val="0"/>
                <w:sz w:val="21"/>
                <w:szCs w:val="21"/>
                <w:highlight w:val="none"/>
                <w:lang w:val="en-US" w:eastAsia="zh-CN"/>
              </w:rPr>
              <w:t>见招标公告</w:t>
            </w:r>
            <w:r>
              <w:rPr>
                <w:rFonts w:hint="eastAsia" w:ascii="宋体" w:hAnsi="宋体" w:eastAsia="宋体" w:cs="宋体"/>
                <w:color w:val="auto"/>
                <w:kern w:val="0"/>
                <w:sz w:val="21"/>
                <w:szCs w:val="21"/>
                <w:highlight w:val="none"/>
              </w:rPr>
              <w:t>。</w:t>
            </w:r>
          </w:p>
        </w:tc>
      </w:tr>
      <w:tr w14:paraId="26978DB0">
        <w:tblPrEx>
          <w:tblCellMar>
            <w:top w:w="0" w:type="dxa"/>
            <w:left w:w="0" w:type="dxa"/>
            <w:bottom w:w="0" w:type="dxa"/>
            <w:right w:w="0" w:type="dxa"/>
          </w:tblCellMar>
        </w:tblPrEx>
        <w:trPr>
          <w:trHeight w:val="656" w:hRule="atLeast"/>
        </w:trPr>
        <w:tc>
          <w:tcPr>
            <w:tcW w:w="731" w:type="dxa"/>
            <w:tcBorders>
              <w:top w:val="single" w:color="auto" w:sz="8" w:space="0"/>
              <w:left w:val="single" w:color="auto" w:sz="8" w:space="0"/>
              <w:bottom w:val="single" w:color="auto" w:sz="8" w:space="0"/>
              <w:right w:val="single" w:color="auto" w:sz="8" w:space="0"/>
            </w:tcBorders>
            <w:vAlign w:val="center"/>
          </w:tcPr>
          <w:p w14:paraId="2B243C1F">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w:t>
            </w:r>
          </w:p>
        </w:tc>
        <w:tc>
          <w:tcPr>
            <w:tcW w:w="1654" w:type="dxa"/>
            <w:tcBorders>
              <w:top w:val="single" w:color="auto" w:sz="8" w:space="0"/>
              <w:left w:val="single" w:color="auto" w:sz="4" w:space="0"/>
              <w:bottom w:val="single" w:color="auto" w:sz="8" w:space="0"/>
              <w:right w:val="single" w:color="auto" w:sz="4" w:space="0"/>
            </w:tcBorders>
            <w:vAlign w:val="center"/>
          </w:tcPr>
          <w:p w14:paraId="0DD7F5B0">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勘察现场及投标预备会</w:t>
            </w:r>
          </w:p>
        </w:tc>
        <w:tc>
          <w:tcPr>
            <w:tcW w:w="7203" w:type="dxa"/>
            <w:tcBorders>
              <w:top w:val="single" w:color="auto" w:sz="8" w:space="0"/>
              <w:left w:val="single" w:color="auto" w:sz="4" w:space="0"/>
              <w:bottom w:val="single" w:color="auto" w:sz="8" w:space="0"/>
              <w:right w:val="single" w:color="auto" w:sz="8" w:space="0"/>
            </w:tcBorders>
            <w:vAlign w:val="center"/>
          </w:tcPr>
          <w:p w14:paraId="13D7AA67">
            <w:pPr>
              <w:keepNext w:val="0"/>
              <w:keepLines w:val="0"/>
              <w:pageBreakBefore w:val="0"/>
              <w:widowControl/>
              <w:kinsoku/>
              <w:wordWrap/>
              <w:overflowPunct/>
              <w:topLinePunct w:val="0"/>
              <w:autoSpaceDE/>
              <w:autoSpaceDN/>
              <w:bidi w:val="0"/>
              <w:adjustRightInd/>
              <w:snapToGrid/>
              <w:spacing w:line="440" w:lineRule="exact"/>
              <w:ind w:left="57"/>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不再集中召开招标答疑会；投标人自行组织勘察现场。</w:t>
            </w:r>
          </w:p>
        </w:tc>
      </w:tr>
      <w:tr w14:paraId="73E08BE4">
        <w:tblPrEx>
          <w:tblCellMar>
            <w:top w:w="0" w:type="dxa"/>
            <w:left w:w="0" w:type="dxa"/>
            <w:bottom w:w="0" w:type="dxa"/>
            <w:right w:w="0" w:type="dxa"/>
          </w:tblCellMar>
        </w:tblPrEx>
        <w:trPr>
          <w:trHeight w:val="435" w:hRule="atLeast"/>
        </w:trPr>
        <w:tc>
          <w:tcPr>
            <w:tcW w:w="731" w:type="dxa"/>
            <w:tcBorders>
              <w:top w:val="single" w:color="auto" w:sz="8" w:space="0"/>
              <w:left w:val="single" w:color="auto" w:sz="8" w:space="0"/>
              <w:bottom w:val="single" w:color="auto" w:sz="8" w:space="0"/>
              <w:right w:val="single" w:color="auto" w:sz="8" w:space="0"/>
            </w:tcBorders>
            <w:vAlign w:val="center"/>
          </w:tcPr>
          <w:p w14:paraId="59B9DB09">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w:t>
            </w:r>
          </w:p>
        </w:tc>
        <w:tc>
          <w:tcPr>
            <w:tcW w:w="1654" w:type="dxa"/>
            <w:tcBorders>
              <w:top w:val="single" w:color="auto" w:sz="8" w:space="0"/>
              <w:left w:val="single" w:color="auto" w:sz="4" w:space="0"/>
              <w:bottom w:val="single" w:color="auto" w:sz="8" w:space="0"/>
              <w:right w:val="single" w:color="auto" w:sz="4" w:space="0"/>
            </w:tcBorders>
            <w:vAlign w:val="center"/>
          </w:tcPr>
          <w:p w14:paraId="396C664A">
            <w:pPr>
              <w:pStyle w:val="24"/>
              <w:keepNext w:val="0"/>
              <w:keepLines w:val="0"/>
              <w:pageBreakBefore w:val="0"/>
              <w:kinsoku/>
              <w:overflowPunct/>
              <w:topLinePunct w:val="0"/>
              <w:autoSpaceDE/>
              <w:autoSpaceDN/>
              <w:bidi w:val="0"/>
              <w:spacing w:line="480" w:lineRule="exact"/>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招标方式</w:t>
            </w:r>
          </w:p>
        </w:tc>
        <w:tc>
          <w:tcPr>
            <w:tcW w:w="7203" w:type="dxa"/>
            <w:tcBorders>
              <w:top w:val="single" w:color="auto" w:sz="8" w:space="0"/>
              <w:left w:val="single" w:color="auto" w:sz="4" w:space="0"/>
              <w:bottom w:val="single" w:color="auto" w:sz="8" w:space="0"/>
              <w:right w:val="single" w:color="auto" w:sz="8" w:space="0"/>
            </w:tcBorders>
            <w:vAlign w:val="center"/>
          </w:tcPr>
          <w:p w14:paraId="59739CC9">
            <w:pPr>
              <w:pStyle w:val="24"/>
              <w:keepNext w:val="0"/>
              <w:keepLines w:val="0"/>
              <w:pageBreakBefore w:val="0"/>
              <w:kinsoku/>
              <w:overflowPunct/>
              <w:topLinePunct w:val="0"/>
              <w:autoSpaceDE/>
              <w:autoSpaceDN/>
              <w:bidi w:val="0"/>
              <w:spacing w:line="440" w:lineRule="exact"/>
              <w:ind w:left="57"/>
              <w:textAlignment w:val="auto"/>
              <w:rPr>
                <w:rFonts w:hint="eastAsia" w:ascii="宋体" w:hAnsi="宋体" w:eastAsia="宋体" w:cs="宋体"/>
                <w:color w:val="auto"/>
                <w:kern w:val="0"/>
                <w:sz w:val="21"/>
                <w:szCs w:val="21"/>
                <w:highlight w:val="none"/>
              </w:rPr>
            </w:pPr>
            <w:r>
              <w:rPr>
                <w:rFonts w:hint="eastAsia" w:ascii="宋体" w:hAnsi="宋体" w:eastAsia="宋体" w:cs="宋体"/>
                <w:b/>
                <w:bCs w:val="0"/>
                <w:color w:val="auto"/>
                <w:sz w:val="21"/>
                <w:szCs w:val="21"/>
                <w:highlight w:val="none"/>
              </w:rPr>
              <w:t xml:space="preserve">公开招标(本项目采用网上电子招投标) </w:t>
            </w:r>
          </w:p>
        </w:tc>
      </w:tr>
      <w:tr w14:paraId="0DEE0E5F">
        <w:tblPrEx>
          <w:tblCellMar>
            <w:top w:w="0" w:type="dxa"/>
            <w:left w:w="0" w:type="dxa"/>
            <w:bottom w:w="0" w:type="dxa"/>
            <w:right w:w="0" w:type="dxa"/>
          </w:tblCellMar>
        </w:tblPrEx>
        <w:trPr>
          <w:trHeight w:val="462" w:hRule="atLeast"/>
        </w:trPr>
        <w:tc>
          <w:tcPr>
            <w:tcW w:w="731" w:type="dxa"/>
            <w:tcBorders>
              <w:top w:val="single" w:color="auto" w:sz="8" w:space="0"/>
              <w:left w:val="single" w:color="auto" w:sz="8" w:space="0"/>
              <w:bottom w:val="single" w:color="auto" w:sz="8" w:space="0"/>
              <w:right w:val="single" w:color="auto" w:sz="8" w:space="0"/>
            </w:tcBorders>
            <w:vAlign w:val="center"/>
          </w:tcPr>
          <w:p w14:paraId="48A5CF86">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8</w:t>
            </w:r>
          </w:p>
        </w:tc>
        <w:tc>
          <w:tcPr>
            <w:tcW w:w="1654" w:type="dxa"/>
            <w:tcBorders>
              <w:top w:val="single" w:color="auto" w:sz="8" w:space="0"/>
              <w:left w:val="single" w:color="auto" w:sz="4" w:space="0"/>
              <w:bottom w:val="single" w:color="auto" w:sz="8" w:space="0"/>
              <w:right w:val="single" w:color="auto" w:sz="4" w:space="0"/>
            </w:tcBorders>
            <w:vAlign w:val="center"/>
          </w:tcPr>
          <w:p w14:paraId="51E1A093">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最高限价</w:t>
            </w:r>
          </w:p>
        </w:tc>
        <w:tc>
          <w:tcPr>
            <w:tcW w:w="7203" w:type="dxa"/>
            <w:tcBorders>
              <w:top w:val="single" w:color="auto" w:sz="8" w:space="0"/>
              <w:left w:val="single" w:color="auto" w:sz="4" w:space="0"/>
              <w:bottom w:val="single" w:color="auto" w:sz="8" w:space="0"/>
              <w:right w:val="single" w:color="auto" w:sz="8" w:space="0"/>
            </w:tcBorders>
            <w:vAlign w:val="center"/>
          </w:tcPr>
          <w:p w14:paraId="455EC4D9">
            <w:pPr>
              <w:keepNext w:val="0"/>
              <w:keepLines w:val="0"/>
              <w:pageBreakBefore w:val="0"/>
              <w:kinsoku/>
              <w:wordWrap/>
              <w:overflowPunct/>
              <w:topLinePunct w:val="0"/>
              <w:autoSpaceDE/>
              <w:autoSpaceDN/>
              <w:bidi w:val="0"/>
              <w:adjustRightInd/>
              <w:snapToGrid/>
              <w:spacing w:line="440" w:lineRule="exact"/>
              <w:ind w:left="57"/>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本项目的</w:t>
            </w:r>
            <w:r>
              <w:rPr>
                <w:rFonts w:hint="eastAsia" w:ascii="宋体" w:hAnsi="宋体" w:eastAsia="宋体" w:cs="宋体"/>
                <w:color w:val="auto"/>
                <w:sz w:val="21"/>
                <w:szCs w:val="21"/>
                <w:highlight w:val="none"/>
                <w:lang w:val="en-US" w:eastAsia="zh-CN"/>
              </w:rPr>
              <w:t>最高限价</w:t>
            </w:r>
            <w:r>
              <w:rPr>
                <w:rFonts w:hint="eastAsia" w:ascii="宋体" w:hAnsi="宋体" w:eastAsia="宋体" w:cs="宋体"/>
                <w:color w:val="auto"/>
                <w:sz w:val="21"/>
                <w:szCs w:val="21"/>
                <w:highlight w:val="none"/>
              </w:rPr>
              <w:t>为基本费率</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审核成果费率</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%（审核成果费率</w:t>
            </w:r>
            <w:r>
              <w:rPr>
                <w:rFonts w:hint="eastAsia" w:ascii="宋体" w:hAnsi="宋体" w:eastAsia="宋体" w:cs="宋体"/>
                <w:color w:val="auto"/>
                <w:sz w:val="21"/>
                <w:szCs w:val="21"/>
                <w:highlight w:val="none"/>
                <w:lang w:val="en-US" w:eastAsia="zh-CN"/>
              </w:rPr>
              <w:t>为不可竞争费率，</w:t>
            </w:r>
            <w:r>
              <w:rPr>
                <w:rFonts w:hint="eastAsia" w:ascii="宋体" w:hAnsi="宋体" w:eastAsia="宋体" w:cs="宋体"/>
                <w:color w:val="auto"/>
                <w:sz w:val="21"/>
                <w:szCs w:val="21"/>
                <w:highlight w:val="none"/>
              </w:rPr>
              <w:t>固定不变）</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基本费率由投标人自主报价，不得高于上述基本费率最高限价且不可以填报0或负数，</w:t>
            </w:r>
            <w:r>
              <w:rPr>
                <w:rFonts w:hint="eastAsia" w:ascii="宋体" w:hAnsi="宋体" w:eastAsia="宋体" w:cs="宋体"/>
                <w:color w:val="auto"/>
                <w:sz w:val="21"/>
                <w:szCs w:val="21"/>
                <w:highlight w:val="none"/>
                <w:lang w:eastAsia="zh-CN"/>
              </w:rPr>
              <w:t>否则按无效标处理。（投标报价费率要求精确到小数点后</w:t>
            </w:r>
            <w:r>
              <w:rPr>
                <w:rFonts w:hint="eastAsia" w:ascii="宋体" w:hAnsi="宋体" w:eastAsia="宋体" w:cs="宋体"/>
                <w:color w:val="auto"/>
                <w:sz w:val="21"/>
                <w:szCs w:val="21"/>
                <w:highlight w:val="none"/>
                <w:lang w:val="en-US" w:eastAsia="zh-CN"/>
              </w:rPr>
              <w:t>两位。</w:t>
            </w:r>
            <w:r>
              <w:rPr>
                <w:rFonts w:hint="eastAsia" w:ascii="宋体" w:hAnsi="宋体" w:eastAsia="宋体" w:cs="宋体"/>
                <w:color w:val="auto"/>
                <w:sz w:val="21"/>
                <w:szCs w:val="21"/>
                <w:highlight w:val="none"/>
                <w:lang w:eastAsia="zh-CN"/>
              </w:rPr>
              <w:t>）</w:t>
            </w:r>
          </w:p>
          <w:p w14:paraId="3F53467E">
            <w:pPr>
              <w:keepNext w:val="0"/>
              <w:keepLines w:val="0"/>
              <w:pageBreakBefore w:val="0"/>
              <w:kinsoku/>
              <w:wordWrap/>
              <w:overflowPunct/>
              <w:topLinePunct w:val="0"/>
              <w:autoSpaceDE/>
              <w:autoSpaceDN/>
              <w:bidi w:val="0"/>
              <w:adjustRightInd/>
              <w:snapToGrid/>
              <w:spacing w:line="440" w:lineRule="exact"/>
              <w:ind w:left="57"/>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w:t>
            </w:r>
          </w:p>
          <w:p w14:paraId="5704048A">
            <w:pPr>
              <w:keepNext w:val="0"/>
              <w:keepLines w:val="0"/>
              <w:pageBreakBefore w:val="0"/>
              <w:kinsoku/>
              <w:wordWrap/>
              <w:overflowPunct/>
              <w:topLinePunct w:val="0"/>
              <w:autoSpaceDE/>
              <w:autoSpaceDN/>
              <w:bidi w:val="0"/>
              <w:adjustRightInd/>
              <w:snapToGrid/>
              <w:spacing w:line="440" w:lineRule="exact"/>
              <w:ind w:left="57"/>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无论任何原因（包含但不限于设计图纸变更等）导致的项目期限延长，委托人均不再增加</w:t>
            </w:r>
            <w:r>
              <w:rPr>
                <w:rFonts w:hint="eastAsia" w:ascii="宋体" w:hAnsi="宋体" w:eastAsia="宋体" w:cs="宋体"/>
                <w:color w:val="auto"/>
                <w:sz w:val="21"/>
                <w:szCs w:val="21"/>
                <w:highlight w:val="none"/>
                <w:lang w:val="en-US" w:eastAsia="zh-CN"/>
              </w:rPr>
              <w:t>审计服务</w:t>
            </w:r>
            <w:r>
              <w:rPr>
                <w:rFonts w:hint="eastAsia" w:ascii="宋体" w:hAnsi="宋体" w:eastAsia="宋体" w:cs="宋体"/>
                <w:color w:val="auto"/>
                <w:sz w:val="21"/>
                <w:szCs w:val="21"/>
                <w:highlight w:val="none"/>
              </w:rPr>
              <w:t>费用</w:t>
            </w:r>
            <w:r>
              <w:rPr>
                <w:rFonts w:hint="eastAsia" w:ascii="宋体" w:hAnsi="宋体" w:cs="宋体"/>
                <w:color w:val="auto"/>
                <w:sz w:val="21"/>
                <w:szCs w:val="21"/>
                <w:highlight w:val="none"/>
                <w:lang w:eastAsia="zh-CN"/>
              </w:rPr>
              <w:t>。</w:t>
            </w:r>
          </w:p>
          <w:p w14:paraId="77F81A81">
            <w:pPr>
              <w:keepNext w:val="0"/>
              <w:keepLines w:val="0"/>
              <w:pageBreakBefore w:val="0"/>
              <w:kinsoku/>
              <w:wordWrap/>
              <w:overflowPunct/>
              <w:topLinePunct w:val="0"/>
              <w:autoSpaceDE/>
              <w:autoSpaceDN/>
              <w:bidi w:val="0"/>
              <w:adjustRightInd/>
              <w:snapToGrid/>
              <w:spacing w:line="440" w:lineRule="exact"/>
              <w:ind w:left="57"/>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投标人须认真研究项目的招标文件，并仔细踏勘现场，若对</w:t>
            </w:r>
            <w:r>
              <w:rPr>
                <w:rFonts w:hint="eastAsia" w:ascii="宋体" w:hAnsi="宋体" w:eastAsia="宋体" w:cs="宋体"/>
                <w:color w:val="auto"/>
                <w:sz w:val="21"/>
                <w:szCs w:val="21"/>
                <w:highlight w:val="none"/>
                <w:lang w:val="en-US" w:eastAsia="zh-CN"/>
              </w:rPr>
              <w:t>本项目</w:t>
            </w:r>
            <w:r>
              <w:rPr>
                <w:rFonts w:hint="eastAsia" w:ascii="宋体" w:hAnsi="宋体" w:eastAsia="宋体" w:cs="宋体"/>
                <w:color w:val="auto"/>
                <w:sz w:val="21"/>
                <w:szCs w:val="21"/>
                <w:highlight w:val="none"/>
              </w:rPr>
              <w:t>有异议，应在投标答疑时向招标人提出</w:t>
            </w:r>
            <w:r>
              <w:rPr>
                <w:rFonts w:hint="eastAsia" w:ascii="宋体" w:hAnsi="宋体" w:eastAsia="宋体" w:cs="宋体"/>
                <w:color w:val="auto"/>
                <w:sz w:val="21"/>
                <w:szCs w:val="21"/>
                <w:highlight w:val="none"/>
                <w:lang w:eastAsia="zh-CN"/>
              </w:rPr>
              <w:t>。</w:t>
            </w:r>
          </w:p>
          <w:p w14:paraId="688F025F">
            <w:pPr>
              <w:keepNext w:val="0"/>
              <w:keepLines w:val="0"/>
              <w:pageBreakBefore w:val="0"/>
              <w:kinsoku/>
              <w:wordWrap/>
              <w:overflowPunct/>
              <w:topLinePunct w:val="0"/>
              <w:autoSpaceDE/>
              <w:autoSpaceDN/>
              <w:bidi w:val="0"/>
              <w:adjustRightInd/>
              <w:snapToGrid/>
              <w:spacing w:line="440" w:lineRule="exact"/>
              <w:ind w:left="57"/>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3、系统生成投标文件时系统默认费率单位为%，投标人可直接填写</w:t>
            </w:r>
            <w:r>
              <w:rPr>
                <w:rFonts w:hint="eastAsia" w:ascii="宋体" w:hAnsi="宋体" w:cs="宋体"/>
                <w:b/>
                <w:bCs/>
                <w:color w:val="auto"/>
                <w:sz w:val="21"/>
                <w:szCs w:val="21"/>
                <w:highlight w:val="none"/>
                <w:lang w:val="en-US" w:eastAsia="zh-CN"/>
              </w:rPr>
              <w:t>所报</w:t>
            </w:r>
            <w:r>
              <w:rPr>
                <w:rFonts w:hint="eastAsia" w:ascii="宋体" w:hAnsi="宋体" w:eastAsia="宋体" w:cs="宋体"/>
                <w:b/>
                <w:bCs/>
                <w:color w:val="auto"/>
                <w:sz w:val="21"/>
                <w:szCs w:val="21"/>
                <w:highlight w:val="none"/>
                <w:lang w:val="en-US" w:eastAsia="zh-CN"/>
              </w:rPr>
              <w:t>投标费率</w:t>
            </w:r>
            <w:r>
              <w:rPr>
                <w:rFonts w:hint="eastAsia" w:ascii="宋体" w:hAnsi="宋体" w:cs="宋体"/>
                <w:b/>
                <w:bCs/>
                <w:color w:val="auto"/>
                <w:sz w:val="21"/>
                <w:szCs w:val="21"/>
                <w:highlight w:val="none"/>
                <w:lang w:val="en-US" w:eastAsia="zh-CN"/>
              </w:rPr>
              <w:t>即可</w:t>
            </w:r>
            <w:r>
              <w:rPr>
                <w:rFonts w:hint="eastAsia" w:ascii="宋体" w:hAnsi="宋体" w:eastAsia="宋体" w:cs="宋体"/>
                <w:b/>
                <w:bCs/>
                <w:color w:val="auto"/>
                <w:sz w:val="21"/>
                <w:szCs w:val="21"/>
                <w:highlight w:val="none"/>
                <w:lang w:val="en-US" w:eastAsia="zh-CN"/>
              </w:rPr>
              <w:t>，无需考虑</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转</w:t>
            </w:r>
            <w:r>
              <w:rPr>
                <w:rFonts w:hint="eastAsia" w:ascii="宋体" w:hAnsi="宋体" w:cs="宋体"/>
                <w:b/>
                <w:bCs/>
                <w:color w:val="auto"/>
                <w:sz w:val="21"/>
                <w:szCs w:val="21"/>
                <w:highlight w:val="none"/>
                <w:lang w:val="en-US" w:eastAsia="zh-CN"/>
              </w:rPr>
              <w:t>化</w:t>
            </w:r>
            <w:r>
              <w:rPr>
                <w:rFonts w:hint="eastAsia" w:ascii="宋体" w:hAnsi="宋体" w:eastAsia="宋体" w:cs="宋体"/>
                <w:b/>
                <w:bCs/>
                <w:color w:val="auto"/>
                <w:sz w:val="21"/>
                <w:szCs w:val="21"/>
                <w:highlight w:val="none"/>
                <w:lang w:val="en-US" w:eastAsia="zh-CN"/>
              </w:rPr>
              <w:t>为%问题。</w:t>
            </w:r>
          </w:p>
        </w:tc>
      </w:tr>
      <w:tr w14:paraId="689F356F">
        <w:tblPrEx>
          <w:tblCellMar>
            <w:top w:w="0" w:type="dxa"/>
            <w:left w:w="0" w:type="dxa"/>
            <w:bottom w:w="0" w:type="dxa"/>
            <w:right w:w="0" w:type="dxa"/>
          </w:tblCellMar>
        </w:tblPrEx>
        <w:trPr>
          <w:trHeight w:val="462" w:hRule="atLeast"/>
        </w:trPr>
        <w:tc>
          <w:tcPr>
            <w:tcW w:w="731" w:type="dxa"/>
            <w:tcBorders>
              <w:top w:val="single" w:color="auto" w:sz="8" w:space="0"/>
              <w:left w:val="single" w:color="auto" w:sz="8" w:space="0"/>
              <w:bottom w:val="single" w:color="auto" w:sz="8" w:space="0"/>
              <w:right w:val="single" w:color="auto" w:sz="8" w:space="0"/>
            </w:tcBorders>
            <w:vAlign w:val="center"/>
          </w:tcPr>
          <w:p w14:paraId="61DCADC1">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9</w:t>
            </w:r>
          </w:p>
        </w:tc>
        <w:tc>
          <w:tcPr>
            <w:tcW w:w="1654" w:type="dxa"/>
            <w:tcBorders>
              <w:top w:val="single" w:color="auto" w:sz="8" w:space="0"/>
              <w:left w:val="single" w:color="auto" w:sz="4" w:space="0"/>
              <w:bottom w:val="single" w:color="auto" w:sz="8" w:space="0"/>
              <w:right w:val="single" w:color="auto" w:sz="4" w:space="0"/>
            </w:tcBorders>
            <w:vAlign w:val="center"/>
          </w:tcPr>
          <w:p w14:paraId="0CDB768E">
            <w:pPr>
              <w:keepNext w:val="0"/>
              <w:keepLines w:val="0"/>
              <w:pageBreakBefore w:val="0"/>
              <w:kinsoku/>
              <w:overflowPunct/>
              <w:topLinePunct w:val="0"/>
              <w:autoSpaceDE/>
              <w:autoSpaceDN/>
              <w:bidi w:val="0"/>
              <w:spacing w:line="48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投标人提出问题的截止时间</w:t>
            </w:r>
          </w:p>
          <w:p w14:paraId="156BE6F6">
            <w:pPr>
              <w:keepNext w:val="0"/>
              <w:keepLines w:val="0"/>
              <w:pageBreakBefore w:val="0"/>
              <w:kinsoku/>
              <w:overflowPunct/>
              <w:topLinePunct w:val="0"/>
              <w:autoSpaceDE/>
              <w:autoSpaceDN/>
              <w:bidi w:val="0"/>
              <w:spacing w:line="48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及方式</w:t>
            </w:r>
          </w:p>
        </w:tc>
        <w:tc>
          <w:tcPr>
            <w:tcW w:w="7203" w:type="dxa"/>
            <w:tcBorders>
              <w:top w:val="single" w:color="auto" w:sz="8" w:space="0"/>
              <w:left w:val="single" w:color="auto" w:sz="4" w:space="0"/>
              <w:bottom w:val="single" w:color="auto" w:sz="8" w:space="0"/>
              <w:right w:val="single" w:color="auto" w:sz="8" w:space="0"/>
            </w:tcBorders>
            <w:vAlign w:val="center"/>
          </w:tcPr>
          <w:p w14:paraId="7839BB0B">
            <w:pPr>
              <w:keepNext w:val="0"/>
              <w:keepLines w:val="0"/>
              <w:pageBreakBefore w:val="0"/>
              <w:widowControl w:val="0"/>
              <w:kinsoku/>
              <w:wordWrap w:val="0"/>
              <w:overflowPunct/>
              <w:topLinePunct w:val="0"/>
              <w:autoSpaceDE/>
              <w:autoSpaceDN/>
              <w:bidi w:val="0"/>
              <w:adjustRightInd/>
              <w:snapToGrid/>
              <w:spacing w:line="440" w:lineRule="exact"/>
              <w:ind w:left="57"/>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4"/>
                <w:kern w:val="0"/>
                <w:sz w:val="21"/>
                <w:szCs w:val="21"/>
                <w:highlight w:val="none"/>
              </w:rPr>
              <w:t>如投标人对招标文件有疑问，请于</w:t>
            </w:r>
            <w:r>
              <w:rPr>
                <w:rFonts w:hint="eastAsia" w:ascii="宋体" w:hAnsi="宋体" w:cs="宋体"/>
                <w:color w:val="auto"/>
                <w:spacing w:val="-4"/>
                <w:kern w:val="0"/>
                <w:sz w:val="21"/>
                <w:szCs w:val="21"/>
                <w:highlight w:val="none"/>
                <w:lang w:eastAsia="zh-CN"/>
              </w:rPr>
              <w:t>2026年9月</w:t>
            </w:r>
            <w:r>
              <w:rPr>
                <w:rFonts w:hint="eastAsia" w:ascii="宋体" w:hAnsi="宋体" w:cs="宋体"/>
                <w:color w:val="auto"/>
                <w:spacing w:val="-4"/>
                <w:kern w:val="0"/>
                <w:sz w:val="21"/>
                <w:szCs w:val="21"/>
                <w:highlight w:val="none"/>
                <w:lang w:val="en-US" w:eastAsia="zh-CN"/>
              </w:rPr>
              <w:t>11</w:t>
            </w:r>
            <w:r>
              <w:rPr>
                <w:rFonts w:hint="eastAsia" w:ascii="宋体" w:hAnsi="宋体" w:eastAsia="宋体" w:cs="宋体"/>
                <w:color w:val="auto"/>
                <w:spacing w:val="-4"/>
                <w:kern w:val="0"/>
                <w:sz w:val="21"/>
                <w:szCs w:val="21"/>
                <w:highlight w:val="none"/>
              </w:rPr>
              <w:fldChar w:fldCharType="begin"/>
            </w:r>
            <w:r>
              <w:rPr>
                <w:rFonts w:hint="eastAsia" w:ascii="宋体" w:hAnsi="宋体" w:eastAsia="宋体" w:cs="宋体"/>
                <w:color w:val="auto"/>
                <w:spacing w:val="-4"/>
                <w:kern w:val="0"/>
                <w:sz w:val="21"/>
                <w:szCs w:val="21"/>
                <w:highlight w:val="none"/>
              </w:rPr>
              <w:instrText xml:space="preserve"> HYPERLINK "mailto:日12时前将疑问内容以电子邮件形式发送至czsctgczx@163.com（滁州市城投工程咨询管理有限公司邮箱），招标人将在2024年4月" </w:instrText>
            </w:r>
            <w:r>
              <w:rPr>
                <w:rFonts w:hint="eastAsia" w:ascii="宋体" w:hAnsi="宋体" w:eastAsia="宋体" w:cs="宋体"/>
                <w:color w:val="auto"/>
                <w:spacing w:val="-4"/>
                <w:kern w:val="0"/>
                <w:sz w:val="21"/>
                <w:szCs w:val="21"/>
                <w:highlight w:val="none"/>
              </w:rPr>
              <w:fldChar w:fldCharType="separate"/>
            </w:r>
            <w:r>
              <w:rPr>
                <w:rFonts w:hint="eastAsia" w:ascii="宋体" w:hAnsi="宋体" w:eastAsia="宋体" w:cs="宋体"/>
                <w:color w:val="auto"/>
                <w:spacing w:val="-4"/>
                <w:kern w:val="0"/>
                <w:sz w:val="21"/>
                <w:szCs w:val="21"/>
                <w:highlight w:val="none"/>
              </w:rPr>
              <w:t>日1</w:t>
            </w:r>
            <w:r>
              <w:rPr>
                <w:rFonts w:hint="eastAsia" w:ascii="宋体" w:hAnsi="宋体" w:cs="宋体"/>
                <w:color w:val="auto"/>
                <w:spacing w:val="-4"/>
                <w:kern w:val="0"/>
                <w:sz w:val="21"/>
                <w:szCs w:val="21"/>
                <w:highlight w:val="none"/>
                <w:lang w:val="en-US" w:eastAsia="zh-CN"/>
              </w:rPr>
              <w:t>2</w:t>
            </w:r>
            <w:r>
              <w:rPr>
                <w:rFonts w:hint="eastAsia" w:ascii="宋体" w:hAnsi="宋体" w:eastAsia="宋体" w:cs="宋体"/>
                <w:color w:val="auto"/>
                <w:spacing w:val="-4"/>
                <w:kern w:val="0"/>
                <w:sz w:val="21"/>
                <w:szCs w:val="21"/>
                <w:highlight w:val="none"/>
              </w:rPr>
              <w:t>时前</w:t>
            </w:r>
            <w:r>
              <w:rPr>
                <w:rFonts w:hint="eastAsia" w:ascii="宋体" w:hAnsi="宋体" w:eastAsia="宋体" w:cs="宋体"/>
                <w:color w:val="auto"/>
                <w:kern w:val="0"/>
                <w:sz w:val="21"/>
                <w:szCs w:val="21"/>
                <w:highlight w:val="none"/>
                <w:lang w:val="en-US" w:eastAsia="zh-CN"/>
              </w:rPr>
              <w:t>通过新点电子交易平台【滁州专区】对招标文件提出澄清（质疑）</w:t>
            </w:r>
            <w:r>
              <w:rPr>
                <w:rFonts w:hint="eastAsia" w:ascii="宋体" w:hAnsi="宋体" w:eastAsia="宋体" w:cs="宋体"/>
                <w:color w:val="auto"/>
                <w:spacing w:val="-4"/>
                <w:kern w:val="0"/>
                <w:sz w:val="21"/>
                <w:szCs w:val="21"/>
                <w:highlight w:val="none"/>
              </w:rPr>
              <w:t>，招标人将在</w:t>
            </w:r>
            <w:r>
              <w:rPr>
                <w:rFonts w:hint="eastAsia" w:ascii="宋体" w:hAnsi="宋体" w:cs="宋体"/>
                <w:color w:val="auto"/>
                <w:spacing w:val="-4"/>
                <w:kern w:val="0"/>
                <w:sz w:val="21"/>
                <w:szCs w:val="21"/>
                <w:highlight w:val="none"/>
                <w:lang w:eastAsia="zh-CN"/>
              </w:rPr>
              <w:t>2026年9月</w:t>
            </w:r>
            <w:r>
              <w:rPr>
                <w:rFonts w:hint="eastAsia" w:ascii="宋体" w:hAnsi="宋体" w:eastAsia="宋体" w:cs="宋体"/>
                <w:color w:val="auto"/>
                <w:spacing w:val="-4"/>
                <w:kern w:val="0"/>
                <w:sz w:val="21"/>
                <w:szCs w:val="21"/>
                <w:highlight w:val="none"/>
              </w:rPr>
              <w:fldChar w:fldCharType="end"/>
            </w:r>
            <w:r>
              <w:rPr>
                <w:rFonts w:hint="eastAsia" w:ascii="宋体" w:hAnsi="宋体" w:cs="宋体"/>
                <w:color w:val="auto"/>
                <w:spacing w:val="-4"/>
                <w:kern w:val="0"/>
                <w:sz w:val="21"/>
                <w:szCs w:val="21"/>
                <w:highlight w:val="none"/>
                <w:lang w:val="en-US" w:eastAsia="zh-CN"/>
              </w:rPr>
              <w:t>11</w:t>
            </w:r>
            <w:r>
              <w:rPr>
                <w:rFonts w:hint="eastAsia" w:ascii="宋体" w:hAnsi="宋体" w:eastAsia="宋体" w:cs="宋体"/>
                <w:color w:val="auto"/>
                <w:spacing w:val="-4"/>
                <w:kern w:val="0"/>
                <w:sz w:val="21"/>
                <w:szCs w:val="21"/>
                <w:highlight w:val="none"/>
              </w:rPr>
              <w:t>日1</w:t>
            </w:r>
            <w:r>
              <w:rPr>
                <w:rFonts w:hint="eastAsia" w:ascii="宋体" w:hAnsi="宋体" w:cs="宋体"/>
                <w:color w:val="auto"/>
                <w:spacing w:val="-4"/>
                <w:kern w:val="0"/>
                <w:sz w:val="21"/>
                <w:szCs w:val="21"/>
                <w:highlight w:val="none"/>
                <w:lang w:val="en-US" w:eastAsia="zh-CN"/>
              </w:rPr>
              <w:t>7</w:t>
            </w:r>
            <w:r>
              <w:rPr>
                <w:rFonts w:hint="eastAsia" w:ascii="宋体" w:hAnsi="宋体" w:eastAsia="宋体" w:cs="宋体"/>
                <w:color w:val="auto"/>
                <w:spacing w:val="-4"/>
                <w:kern w:val="0"/>
                <w:sz w:val="21"/>
                <w:szCs w:val="21"/>
                <w:highlight w:val="none"/>
              </w:rPr>
              <w:t>时后</w:t>
            </w:r>
            <w:r>
              <w:rPr>
                <w:rFonts w:hint="eastAsia" w:ascii="宋体" w:hAnsi="宋体" w:eastAsia="宋体" w:cs="宋体"/>
                <w:color w:val="auto"/>
                <w:spacing w:val="-4"/>
                <w:kern w:val="0"/>
                <w:sz w:val="21"/>
                <w:szCs w:val="21"/>
                <w:highlight w:val="none"/>
                <w:lang w:eastAsia="zh-CN"/>
              </w:rPr>
              <w:t>在</w:t>
            </w:r>
            <w:r>
              <w:rPr>
                <w:rFonts w:hint="eastAsia" w:ascii="宋体" w:hAnsi="宋体" w:eastAsia="宋体" w:cs="宋体"/>
                <w:color w:val="auto"/>
                <w:sz w:val="21"/>
                <w:szCs w:val="21"/>
                <w:highlight w:val="none"/>
              </w:rPr>
              <w:t>滁州市城投工程咨询管理有限公司（https://www.czctgczx.com/）</w:t>
            </w:r>
            <w:r>
              <w:rPr>
                <w:rFonts w:hint="eastAsia" w:ascii="宋体" w:hAnsi="宋体" w:eastAsia="宋体" w:cs="宋体"/>
                <w:color w:val="auto"/>
                <w:sz w:val="21"/>
                <w:szCs w:val="21"/>
                <w:highlight w:val="none"/>
                <w:lang w:val="en-US" w:eastAsia="zh-CN"/>
              </w:rPr>
              <w:t>网站发布</w:t>
            </w:r>
            <w:r>
              <w:rPr>
                <w:rFonts w:hint="eastAsia" w:ascii="宋体" w:hAnsi="宋体" w:eastAsia="宋体" w:cs="宋体"/>
                <w:color w:val="auto"/>
                <w:spacing w:val="-4"/>
                <w:kern w:val="0"/>
                <w:sz w:val="21"/>
                <w:szCs w:val="21"/>
                <w:highlight w:val="none"/>
              </w:rPr>
              <w:t>，请各位投标人注意查看有关澄清内容，如不及时查看造成后果由投标人自负。</w:t>
            </w:r>
          </w:p>
        </w:tc>
      </w:tr>
      <w:tr w14:paraId="3CAB79A3">
        <w:tblPrEx>
          <w:tblCellMar>
            <w:top w:w="0" w:type="dxa"/>
            <w:left w:w="0" w:type="dxa"/>
            <w:bottom w:w="0" w:type="dxa"/>
            <w:right w:w="0" w:type="dxa"/>
          </w:tblCellMar>
        </w:tblPrEx>
        <w:trPr>
          <w:trHeight w:val="462" w:hRule="atLeast"/>
        </w:trPr>
        <w:tc>
          <w:tcPr>
            <w:tcW w:w="731" w:type="dxa"/>
            <w:tcBorders>
              <w:top w:val="single" w:color="auto" w:sz="8" w:space="0"/>
              <w:left w:val="single" w:color="auto" w:sz="8" w:space="0"/>
              <w:bottom w:val="single" w:color="auto" w:sz="8" w:space="0"/>
              <w:right w:val="single" w:color="auto" w:sz="8" w:space="0"/>
            </w:tcBorders>
            <w:vAlign w:val="center"/>
          </w:tcPr>
          <w:p w14:paraId="31E06C30">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10</w:t>
            </w:r>
          </w:p>
        </w:tc>
        <w:tc>
          <w:tcPr>
            <w:tcW w:w="1654" w:type="dxa"/>
            <w:tcBorders>
              <w:top w:val="single" w:color="auto" w:sz="8" w:space="0"/>
              <w:left w:val="single" w:color="auto" w:sz="4" w:space="0"/>
              <w:bottom w:val="single" w:color="auto" w:sz="8" w:space="0"/>
              <w:right w:val="single" w:color="auto" w:sz="4" w:space="0"/>
            </w:tcBorders>
            <w:vAlign w:val="center"/>
          </w:tcPr>
          <w:p w14:paraId="0B644D17">
            <w:pPr>
              <w:pStyle w:val="24"/>
              <w:keepNext w:val="0"/>
              <w:keepLines w:val="0"/>
              <w:pageBreakBefore w:val="0"/>
              <w:kinsoku/>
              <w:overflowPunct/>
              <w:topLinePunct w:val="0"/>
              <w:autoSpaceDE/>
              <w:autoSpaceDN/>
              <w:bidi w:val="0"/>
              <w:spacing w:line="48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投标有效期</w:t>
            </w:r>
          </w:p>
        </w:tc>
        <w:tc>
          <w:tcPr>
            <w:tcW w:w="7203" w:type="dxa"/>
            <w:tcBorders>
              <w:top w:val="single" w:color="auto" w:sz="8" w:space="0"/>
              <w:left w:val="single" w:color="auto" w:sz="4" w:space="0"/>
              <w:bottom w:val="single" w:color="auto" w:sz="8" w:space="0"/>
              <w:right w:val="single" w:color="auto" w:sz="8" w:space="0"/>
            </w:tcBorders>
            <w:vAlign w:val="center"/>
          </w:tcPr>
          <w:p w14:paraId="0CB8330D">
            <w:pPr>
              <w:pStyle w:val="24"/>
              <w:keepNext w:val="0"/>
              <w:keepLines w:val="0"/>
              <w:pageBreakBefore w:val="0"/>
              <w:kinsoku/>
              <w:overflowPunct/>
              <w:topLinePunct w:val="0"/>
              <w:autoSpaceDE/>
              <w:autoSpaceDN/>
              <w:bidi w:val="0"/>
              <w:spacing w:line="440" w:lineRule="exact"/>
              <w:ind w:left="57"/>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投标有效期为</w:t>
            </w:r>
            <w:r>
              <w:rPr>
                <w:rFonts w:hint="eastAsia" w:ascii="宋体" w:hAnsi="宋体" w:eastAsia="宋体" w:cs="宋体"/>
                <w:color w:val="auto"/>
                <w:sz w:val="21"/>
                <w:szCs w:val="21"/>
                <w:highlight w:val="none"/>
                <w:u w:val="single"/>
                <w:lang w:val="en-US" w:eastAsia="zh-CN"/>
              </w:rPr>
              <w:t>60</w:t>
            </w:r>
            <w:r>
              <w:rPr>
                <w:rFonts w:hint="eastAsia" w:ascii="宋体" w:hAnsi="宋体" w:eastAsia="宋体" w:cs="宋体"/>
                <w:color w:val="auto"/>
                <w:sz w:val="21"/>
                <w:szCs w:val="21"/>
                <w:highlight w:val="none"/>
              </w:rPr>
              <w:t>日历天（从投标截止之日算起）。在此期限内，凡符合本招标文件要求的投标文件均保持有效。</w:t>
            </w:r>
          </w:p>
        </w:tc>
      </w:tr>
      <w:tr w14:paraId="27D30DA2">
        <w:tblPrEx>
          <w:tblCellMar>
            <w:top w:w="0" w:type="dxa"/>
            <w:left w:w="0" w:type="dxa"/>
            <w:bottom w:w="0" w:type="dxa"/>
            <w:right w:w="0" w:type="dxa"/>
          </w:tblCellMar>
        </w:tblPrEx>
        <w:trPr>
          <w:trHeight w:val="462" w:hRule="atLeast"/>
        </w:trPr>
        <w:tc>
          <w:tcPr>
            <w:tcW w:w="731" w:type="dxa"/>
            <w:tcBorders>
              <w:top w:val="single" w:color="auto" w:sz="8" w:space="0"/>
              <w:left w:val="single" w:color="auto" w:sz="8" w:space="0"/>
              <w:bottom w:val="single" w:color="auto" w:sz="8" w:space="0"/>
              <w:right w:val="single" w:color="auto" w:sz="8" w:space="0"/>
            </w:tcBorders>
            <w:vAlign w:val="center"/>
          </w:tcPr>
          <w:p w14:paraId="7A32EE28">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11</w:t>
            </w:r>
          </w:p>
        </w:tc>
        <w:tc>
          <w:tcPr>
            <w:tcW w:w="1654" w:type="dxa"/>
            <w:tcBorders>
              <w:top w:val="single" w:color="auto" w:sz="8" w:space="0"/>
              <w:left w:val="single" w:color="auto" w:sz="4" w:space="0"/>
              <w:bottom w:val="single" w:color="auto" w:sz="8" w:space="0"/>
              <w:right w:val="single" w:color="auto" w:sz="4" w:space="0"/>
            </w:tcBorders>
            <w:vAlign w:val="center"/>
          </w:tcPr>
          <w:p w14:paraId="32269176">
            <w:pPr>
              <w:pStyle w:val="24"/>
              <w:keepNext w:val="0"/>
              <w:keepLines w:val="0"/>
              <w:pageBreakBefore w:val="0"/>
              <w:kinsoku/>
              <w:overflowPunct/>
              <w:topLinePunct w:val="0"/>
              <w:autoSpaceDE/>
              <w:autoSpaceDN/>
              <w:bidi w:val="0"/>
              <w:spacing w:line="48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投标文件</w:t>
            </w:r>
            <w:r>
              <w:rPr>
                <w:rFonts w:hint="eastAsia" w:ascii="宋体" w:hAnsi="宋体" w:eastAsia="宋体" w:cs="宋体"/>
                <w:color w:val="auto"/>
                <w:sz w:val="21"/>
                <w:szCs w:val="21"/>
                <w:highlight w:val="none"/>
                <w:lang w:val="en-US" w:eastAsia="zh-CN"/>
              </w:rPr>
              <w:t>递交</w:t>
            </w:r>
          </w:p>
        </w:tc>
        <w:tc>
          <w:tcPr>
            <w:tcW w:w="7203" w:type="dxa"/>
            <w:tcBorders>
              <w:top w:val="single" w:color="auto" w:sz="8" w:space="0"/>
              <w:left w:val="single" w:color="auto" w:sz="4" w:space="0"/>
              <w:bottom w:val="single" w:color="auto" w:sz="8" w:space="0"/>
              <w:right w:val="single" w:color="auto" w:sz="8" w:space="0"/>
            </w:tcBorders>
            <w:vAlign w:val="center"/>
          </w:tcPr>
          <w:p w14:paraId="4BDE2FC9">
            <w:pPr>
              <w:keepNext w:val="0"/>
              <w:keepLines w:val="0"/>
              <w:pageBreakBefore w:val="0"/>
              <w:widowControl w:val="0"/>
              <w:kinsoku/>
              <w:wordWrap w:val="0"/>
              <w:overflowPunct/>
              <w:topLinePunct w:val="0"/>
              <w:autoSpaceDE/>
              <w:autoSpaceDN/>
              <w:bidi w:val="0"/>
              <w:adjustRightInd w:val="0"/>
              <w:snapToGrid w:val="0"/>
              <w:spacing w:line="440" w:lineRule="exact"/>
              <w:ind w:left="57"/>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加密电子投标文件投标人应在投标截止时间前通过新点电子交易平台后在【滁州专区】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https://www.etrading.cn/BREpointSSO/login/oauth2login?regioncode=DQ_ChuZhou</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交易系统递交电子投标文件。</w:t>
            </w:r>
          </w:p>
          <w:p w14:paraId="6AD718D2">
            <w:pPr>
              <w:keepNext w:val="0"/>
              <w:keepLines w:val="0"/>
              <w:pageBreakBefore w:val="0"/>
              <w:widowControl/>
              <w:kinsoku/>
              <w:overflowPunct/>
              <w:topLinePunct w:val="0"/>
              <w:autoSpaceDE/>
              <w:autoSpaceDN/>
              <w:bidi w:val="0"/>
              <w:spacing w:line="440" w:lineRule="exact"/>
              <w:ind w:left="57" w:firstLine="89" w:firstLineChars="42"/>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color w:val="auto"/>
                <w:kern w:val="0"/>
                <w:sz w:val="21"/>
                <w:szCs w:val="21"/>
                <w:highlight w:val="none"/>
              </w:rPr>
              <w:t>（投标人中标后须递交与网上电子投标文件完全一致的纸质版投标文件，并按要求加盖单位章；份数：正本</w:t>
            </w:r>
            <w:r>
              <w:rPr>
                <w:rFonts w:hint="eastAsia" w:ascii="宋体" w:hAnsi="宋体" w:eastAsia="宋体" w:cs="宋体"/>
                <w:b/>
                <w:color w:val="auto"/>
                <w:kern w:val="0"/>
                <w:sz w:val="21"/>
                <w:szCs w:val="21"/>
                <w:highlight w:val="none"/>
                <w:u w:val="single"/>
              </w:rPr>
              <w:t xml:space="preserve"> 1 </w:t>
            </w:r>
            <w:r>
              <w:rPr>
                <w:rFonts w:hint="eastAsia" w:ascii="宋体" w:hAnsi="宋体" w:eastAsia="宋体" w:cs="宋体"/>
                <w:b/>
                <w:color w:val="auto"/>
                <w:kern w:val="0"/>
                <w:sz w:val="21"/>
                <w:szCs w:val="21"/>
                <w:highlight w:val="none"/>
              </w:rPr>
              <w:t>份，副本</w:t>
            </w:r>
            <w:r>
              <w:rPr>
                <w:rFonts w:hint="eastAsia" w:ascii="宋体" w:hAnsi="宋体" w:eastAsia="宋体" w:cs="宋体"/>
                <w:b/>
                <w:color w:val="auto"/>
                <w:kern w:val="0"/>
                <w:sz w:val="21"/>
                <w:szCs w:val="21"/>
                <w:highlight w:val="none"/>
                <w:u w:val="single"/>
              </w:rPr>
              <w:t xml:space="preserve"> </w:t>
            </w:r>
            <w:r>
              <w:rPr>
                <w:rFonts w:hint="eastAsia" w:ascii="宋体" w:hAnsi="宋体" w:cs="宋体"/>
                <w:b/>
                <w:color w:val="auto"/>
                <w:kern w:val="0"/>
                <w:sz w:val="21"/>
                <w:szCs w:val="21"/>
                <w:highlight w:val="none"/>
                <w:u w:val="single"/>
                <w:lang w:val="en-US" w:eastAsia="zh-CN"/>
              </w:rPr>
              <w:t>2</w:t>
            </w:r>
            <w:r>
              <w:rPr>
                <w:rFonts w:hint="eastAsia" w:ascii="宋体" w:hAnsi="宋体" w:eastAsia="宋体" w:cs="宋体"/>
                <w:b/>
                <w:color w:val="auto"/>
                <w:kern w:val="0"/>
                <w:sz w:val="21"/>
                <w:szCs w:val="21"/>
                <w:highlight w:val="none"/>
                <w:u w:val="single"/>
              </w:rPr>
              <w:t xml:space="preserve"> </w:t>
            </w:r>
            <w:r>
              <w:rPr>
                <w:rFonts w:hint="eastAsia" w:ascii="宋体" w:hAnsi="宋体" w:eastAsia="宋体" w:cs="宋体"/>
                <w:b/>
                <w:color w:val="auto"/>
                <w:kern w:val="0"/>
                <w:sz w:val="21"/>
                <w:szCs w:val="21"/>
                <w:highlight w:val="none"/>
              </w:rPr>
              <w:t>份；中标人领取中标通知书时，一并递交给招标代理机构）。</w:t>
            </w:r>
          </w:p>
        </w:tc>
      </w:tr>
      <w:tr w14:paraId="48A6C47E">
        <w:tblPrEx>
          <w:tblCellMar>
            <w:top w:w="0" w:type="dxa"/>
            <w:left w:w="0" w:type="dxa"/>
            <w:bottom w:w="0" w:type="dxa"/>
            <w:right w:w="0" w:type="dxa"/>
          </w:tblCellMar>
        </w:tblPrEx>
        <w:trPr>
          <w:trHeight w:val="462" w:hRule="atLeast"/>
        </w:trPr>
        <w:tc>
          <w:tcPr>
            <w:tcW w:w="731" w:type="dxa"/>
            <w:tcBorders>
              <w:top w:val="single" w:color="auto" w:sz="8" w:space="0"/>
              <w:left w:val="single" w:color="auto" w:sz="8" w:space="0"/>
              <w:bottom w:val="single" w:color="auto" w:sz="8" w:space="0"/>
              <w:right w:val="single" w:color="auto" w:sz="8" w:space="0"/>
            </w:tcBorders>
            <w:vAlign w:val="center"/>
          </w:tcPr>
          <w:p w14:paraId="6C307E50">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12</w:t>
            </w:r>
          </w:p>
        </w:tc>
        <w:tc>
          <w:tcPr>
            <w:tcW w:w="1654" w:type="dxa"/>
            <w:tcBorders>
              <w:top w:val="single" w:color="auto" w:sz="8" w:space="0"/>
              <w:left w:val="single" w:color="auto" w:sz="4" w:space="0"/>
              <w:bottom w:val="single" w:color="auto" w:sz="8" w:space="0"/>
              <w:right w:val="single" w:color="auto" w:sz="4" w:space="0"/>
            </w:tcBorders>
            <w:vAlign w:val="center"/>
          </w:tcPr>
          <w:p w14:paraId="6AF10602">
            <w:pPr>
              <w:keepNext w:val="0"/>
              <w:keepLines w:val="0"/>
              <w:pageBreakBefore w:val="0"/>
              <w:kinsoku/>
              <w:overflowPunct/>
              <w:topLinePunct w:val="0"/>
              <w:autoSpaceDE/>
              <w:autoSpaceDN/>
              <w:bidi w:val="0"/>
              <w:spacing w:line="48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签字或盖章要求</w:t>
            </w:r>
          </w:p>
        </w:tc>
        <w:tc>
          <w:tcPr>
            <w:tcW w:w="7203" w:type="dxa"/>
            <w:tcBorders>
              <w:top w:val="single" w:color="auto" w:sz="8" w:space="0"/>
              <w:left w:val="single" w:color="auto" w:sz="4" w:space="0"/>
              <w:bottom w:val="single" w:color="auto" w:sz="8" w:space="0"/>
              <w:right w:val="single" w:color="auto" w:sz="8" w:space="0"/>
            </w:tcBorders>
            <w:vAlign w:val="center"/>
          </w:tcPr>
          <w:p w14:paraId="4FCD2EB5">
            <w:pPr>
              <w:pStyle w:val="44"/>
              <w:keepNext w:val="0"/>
              <w:keepLines w:val="0"/>
              <w:pageBreakBefore w:val="0"/>
              <w:kinsoku/>
              <w:overflowPunct/>
              <w:topLinePunct w:val="0"/>
              <w:autoSpaceDE/>
              <w:autoSpaceDN/>
              <w:bidi w:val="0"/>
              <w:spacing w:line="440" w:lineRule="exact"/>
              <w:ind w:left="57" w:leftChars="0" w:firstLine="0" w:firstLineChars="0"/>
              <w:textAlignment w:val="auto"/>
              <w:rPr>
                <w:rFonts w:hint="eastAsia" w:ascii="宋体" w:hAnsi="宋体" w:eastAsia="宋体" w:cs="宋体"/>
                <w:b/>
                <w:color w:val="auto"/>
                <w:kern w:val="0"/>
                <w:sz w:val="21"/>
                <w:szCs w:val="21"/>
                <w:highlight w:val="none"/>
                <w:lang w:val="en-US" w:eastAsia="zh-CN" w:bidi="ar-SA"/>
              </w:rPr>
            </w:pPr>
            <w:r>
              <w:rPr>
                <w:rFonts w:hint="eastAsia" w:ascii="宋体" w:hAnsi="宋体" w:eastAsia="宋体" w:cs="宋体"/>
                <w:b/>
                <w:color w:val="auto"/>
                <w:kern w:val="0"/>
                <w:sz w:val="21"/>
                <w:szCs w:val="21"/>
                <w:highlight w:val="none"/>
                <w:lang w:val="en-US" w:eastAsia="zh-CN" w:bidi="ar-SA"/>
              </w:rPr>
              <w:t>招标文件中“签章”是指签字或盖章。在“投标文件格式”中要求</w:t>
            </w:r>
            <w:r>
              <w:rPr>
                <w:rFonts w:hint="eastAsia" w:ascii="宋体" w:hAnsi="宋体" w:cs="宋体"/>
                <w:b/>
                <w:color w:val="auto"/>
                <w:kern w:val="0"/>
                <w:sz w:val="21"/>
                <w:szCs w:val="21"/>
                <w:highlight w:val="none"/>
                <w:lang w:val="en-US" w:eastAsia="zh-CN" w:bidi="ar-SA"/>
              </w:rPr>
              <w:t>单位</w:t>
            </w:r>
            <w:r>
              <w:rPr>
                <w:rFonts w:hint="eastAsia" w:ascii="宋体" w:hAnsi="宋体" w:eastAsia="宋体" w:cs="宋体"/>
                <w:b/>
                <w:color w:val="auto"/>
                <w:kern w:val="0"/>
                <w:sz w:val="21"/>
                <w:szCs w:val="21"/>
                <w:highlight w:val="none"/>
                <w:lang w:val="en-US" w:eastAsia="zh-CN" w:bidi="ar-SA"/>
              </w:rPr>
              <w:t>签章</w:t>
            </w:r>
            <w:r>
              <w:rPr>
                <w:rFonts w:hint="eastAsia" w:ascii="宋体" w:hAnsi="宋体" w:cs="宋体"/>
                <w:b/>
                <w:color w:val="auto"/>
                <w:kern w:val="0"/>
                <w:sz w:val="21"/>
                <w:szCs w:val="21"/>
                <w:highlight w:val="none"/>
                <w:lang w:val="en-US" w:eastAsia="zh-CN" w:bidi="ar-SA"/>
              </w:rPr>
              <w:t>的</w:t>
            </w:r>
            <w:r>
              <w:rPr>
                <w:rFonts w:hint="eastAsia" w:ascii="宋体" w:hAnsi="宋体" w:eastAsia="宋体" w:cs="宋体"/>
                <w:b/>
                <w:color w:val="auto"/>
                <w:kern w:val="0"/>
                <w:sz w:val="21"/>
                <w:szCs w:val="21"/>
                <w:highlight w:val="none"/>
                <w:lang w:val="en-US" w:eastAsia="zh-CN" w:bidi="ar-SA"/>
              </w:rPr>
              <w:t>，投标人应加盖投标人单位电子印章或直接上传加盖投标人单位印章原件彩色扫描件。</w:t>
            </w:r>
            <w:r>
              <w:rPr>
                <w:rFonts w:hint="eastAsia" w:ascii="宋体" w:hAnsi="宋体" w:cs="宋体"/>
                <w:b/>
                <w:color w:val="auto"/>
                <w:kern w:val="0"/>
                <w:sz w:val="21"/>
                <w:szCs w:val="21"/>
                <w:highlight w:val="none"/>
                <w:lang w:val="en-US" w:eastAsia="zh-CN" w:bidi="ar-SA"/>
              </w:rPr>
              <w:t>要求个人签章的，加盖相应人员</w:t>
            </w:r>
            <w:r>
              <w:rPr>
                <w:rFonts w:hint="eastAsia" w:ascii="宋体" w:hAnsi="宋体" w:eastAsia="宋体" w:cs="宋体"/>
                <w:b/>
                <w:color w:val="auto"/>
                <w:kern w:val="0"/>
                <w:sz w:val="21"/>
                <w:szCs w:val="21"/>
                <w:highlight w:val="none"/>
                <w:lang w:val="en-US" w:eastAsia="zh-CN" w:bidi="ar-SA"/>
              </w:rPr>
              <w:t>印章</w:t>
            </w:r>
            <w:r>
              <w:rPr>
                <w:rFonts w:hint="eastAsia" w:ascii="宋体" w:hAnsi="宋体" w:cs="宋体"/>
                <w:b/>
                <w:color w:val="auto"/>
                <w:kern w:val="0"/>
                <w:sz w:val="21"/>
                <w:szCs w:val="21"/>
                <w:highlight w:val="none"/>
                <w:lang w:val="en-US" w:eastAsia="zh-CN" w:bidi="ar-SA"/>
              </w:rPr>
              <w:t>（或电子印章）</w:t>
            </w:r>
            <w:r>
              <w:rPr>
                <w:rFonts w:hint="eastAsia" w:ascii="宋体" w:hAnsi="宋体" w:eastAsia="宋体" w:cs="宋体"/>
                <w:b/>
                <w:color w:val="auto"/>
                <w:kern w:val="0"/>
                <w:sz w:val="21"/>
                <w:szCs w:val="21"/>
                <w:highlight w:val="none"/>
                <w:lang w:val="en-US" w:eastAsia="zh-CN" w:bidi="ar-SA"/>
              </w:rPr>
              <w:t>或</w:t>
            </w:r>
            <w:r>
              <w:rPr>
                <w:rFonts w:hint="eastAsia" w:ascii="宋体" w:hAnsi="宋体" w:cs="宋体"/>
                <w:b/>
                <w:color w:val="auto"/>
                <w:kern w:val="0"/>
                <w:sz w:val="21"/>
                <w:szCs w:val="21"/>
                <w:highlight w:val="none"/>
                <w:lang w:val="en-US" w:eastAsia="zh-CN" w:bidi="ar-SA"/>
              </w:rPr>
              <w:t>相应人员</w:t>
            </w:r>
            <w:r>
              <w:rPr>
                <w:rFonts w:hint="eastAsia" w:ascii="宋体" w:hAnsi="宋体" w:eastAsia="宋体" w:cs="宋体"/>
                <w:b/>
                <w:color w:val="auto"/>
                <w:kern w:val="0"/>
                <w:sz w:val="21"/>
                <w:szCs w:val="21"/>
                <w:highlight w:val="none"/>
                <w:lang w:val="en-US" w:eastAsia="zh-CN" w:bidi="ar-SA"/>
              </w:rPr>
              <w:t>签字</w:t>
            </w:r>
            <w:r>
              <w:rPr>
                <w:rFonts w:hint="eastAsia" w:ascii="宋体" w:hAnsi="宋体" w:cs="宋体"/>
                <w:b/>
                <w:color w:val="auto"/>
                <w:kern w:val="0"/>
                <w:sz w:val="21"/>
                <w:szCs w:val="21"/>
                <w:highlight w:val="none"/>
                <w:lang w:val="en-US" w:eastAsia="zh-CN" w:bidi="ar-SA"/>
              </w:rPr>
              <w:t>均可。</w:t>
            </w:r>
          </w:p>
          <w:p w14:paraId="66A35DAC">
            <w:pPr>
              <w:keepNext w:val="0"/>
              <w:keepLines w:val="0"/>
              <w:pageBreakBefore w:val="0"/>
              <w:widowControl/>
              <w:kinsoku/>
              <w:overflowPunct/>
              <w:topLinePunct w:val="0"/>
              <w:autoSpaceDE/>
              <w:autoSpaceDN/>
              <w:bidi w:val="0"/>
              <w:spacing w:line="440" w:lineRule="exact"/>
              <w:ind w:left="57" w:firstLine="89" w:firstLineChars="42"/>
              <w:jc w:val="left"/>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lang w:val="en-US" w:eastAsia="zh-CN" w:bidi="ar-SA"/>
              </w:rPr>
              <w:t>否则经评委会一致认定后，按照无效投标处理。</w:t>
            </w:r>
          </w:p>
        </w:tc>
      </w:tr>
      <w:tr w14:paraId="443033B5">
        <w:tblPrEx>
          <w:tblCellMar>
            <w:top w:w="0" w:type="dxa"/>
            <w:left w:w="0" w:type="dxa"/>
            <w:bottom w:w="0" w:type="dxa"/>
            <w:right w:w="0" w:type="dxa"/>
          </w:tblCellMar>
        </w:tblPrEx>
        <w:trPr>
          <w:trHeight w:val="1573" w:hRule="atLeast"/>
        </w:trPr>
        <w:tc>
          <w:tcPr>
            <w:tcW w:w="731" w:type="dxa"/>
            <w:tcBorders>
              <w:top w:val="single" w:color="auto" w:sz="8" w:space="0"/>
              <w:left w:val="single" w:color="auto" w:sz="8" w:space="0"/>
              <w:bottom w:val="single" w:color="auto" w:sz="8" w:space="0"/>
              <w:right w:val="single" w:color="auto" w:sz="8" w:space="0"/>
            </w:tcBorders>
            <w:vAlign w:val="center"/>
          </w:tcPr>
          <w:p w14:paraId="60366104">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13</w:t>
            </w:r>
          </w:p>
        </w:tc>
        <w:tc>
          <w:tcPr>
            <w:tcW w:w="1654" w:type="dxa"/>
            <w:tcBorders>
              <w:top w:val="single" w:color="auto" w:sz="8" w:space="0"/>
              <w:left w:val="single" w:color="auto" w:sz="4" w:space="0"/>
              <w:bottom w:val="single" w:color="auto" w:sz="8" w:space="0"/>
              <w:right w:val="single" w:color="auto" w:sz="4" w:space="0"/>
            </w:tcBorders>
            <w:vAlign w:val="center"/>
          </w:tcPr>
          <w:p w14:paraId="5C83C75F">
            <w:pPr>
              <w:keepNext w:val="0"/>
              <w:keepLines w:val="0"/>
              <w:pageBreakBefore w:val="0"/>
              <w:kinsoku/>
              <w:overflowPunct/>
              <w:topLinePunct w:val="0"/>
              <w:autoSpaceDE/>
              <w:autoSpaceDN/>
              <w:bidi w:val="0"/>
              <w:spacing w:line="480" w:lineRule="exact"/>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投标文件提交截止时间</w:t>
            </w:r>
          </w:p>
        </w:tc>
        <w:tc>
          <w:tcPr>
            <w:tcW w:w="7203" w:type="dxa"/>
            <w:tcBorders>
              <w:top w:val="single" w:color="auto" w:sz="8" w:space="0"/>
              <w:left w:val="single" w:color="auto" w:sz="4" w:space="0"/>
              <w:bottom w:val="single" w:color="auto" w:sz="8" w:space="0"/>
              <w:right w:val="single" w:color="auto" w:sz="8" w:space="0"/>
            </w:tcBorders>
            <w:vAlign w:val="center"/>
          </w:tcPr>
          <w:p w14:paraId="4AACE522">
            <w:pPr>
              <w:keepNext w:val="0"/>
              <w:keepLines w:val="0"/>
              <w:pageBreakBefore w:val="0"/>
              <w:kinsoku/>
              <w:overflowPunct/>
              <w:topLinePunct w:val="0"/>
              <w:autoSpaceDE/>
              <w:autoSpaceDN/>
              <w:bidi w:val="0"/>
              <w:spacing w:line="440" w:lineRule="exact"/>
              <w:ind w:left="57"/>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网上递交投标文件截止时间：</w:t>
            </w:r>
            <w:r>
              <w:rPr>
                <w:rFonts w:hint="eastAsia" w:ascii="宋体" w:hAnsi="宋体" w:cs="宋体"/>
                <w:color w:val="auto"/>
                <w:sz w:val="21"/>
                <w:szCs w:val="21"/>
                <w:highlight w:val="none"/>
                <w:lang w:eastAsia="zh-CN"/>
              </w:rPr>
              <w:t>2026年9月15日15时</w:t>
            </w:r>
            <w:r>
              <w:rPr>
                <w:rFonts w:hint="eastAsia" w:ascii="宋体" w:hAnsi="宋体" w:eastAsia="宋体" w:cs="宋体"/>
                <w:color w:val="auto"/>
                <w:sz w:val="21"/>
                <w:szCs w:val="21"/>
                <w:highlight w:val="none"/>
              </w:rPr>
              <w:t>30分</w:t>
            </w:r>
            <w:r>
              <w:rPr>
                <w:rFonts w:hint="eastAsia" w:ascii="宋体" w:hAnsi="宋体" w:eastAsia="宋体" w:cs="宋体"/>
                <w:b/>
                <w:bCs/>
                <w:color w:val="auto"/>
                <w:sz w:val="21"/>
                <w:szCs w:val="21"/>
                <w:highlight w:val="none"/>
              </w:rPr>
              <w:t>（北京时间）</w:t>
            </w:r>
          </w:p>
          <w:p w14:paraId="6FF010F2">
            <w:pPr>
              <w:keepNext w:val="0"/>
              <w:keepLines w:val="0"/>
              <w:pageBreakBefore w:val="0"/>
              <w:kinsoku/>
              <w:overflowPunct/>
              <w:topLinePunct w:val="0"/>
              <w:autoSpaceDE/>
              <w:autoSpaceDN/>
              <w:bidi w:val="0"/>
              <w:spacing w:line="440" w:lineRule="exact"/>
              <w:ind w:left="57"/>
              <w:textAlignment w:val="auto"/>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注：以投标人在投标截止时间前网上递交的电子投标文件为准，逾期提交的，投标文件将被拒绝。</w:t>
            </w:r>
            <w:bookmarkStart w:id="69" w:name="_GoBack"/>
            <w:bookmarkEnd w:id="69"/>
          </w:p>
          <w:p w14:paraId="2D17B673">
            <w:pPr>
              <w:keepNext w:val="0"/>
              <w:keepLines w:val="0"/>
              <w:pageBreakBefore w:val="0"/>
              <w:kinsoku/>
              <w:wordWrap w:val="0"/>
              <w:overflowPunct/>
              <w:topLinePunct w:val="0"/>
              <w:autoSpaceDE/>
              <w:autoSpaceDN/>
              <w:bidi w:val="0"/>
              <w:spacing w:line="440" w:lineRule="exact"/>
              <w:ind w:left="57"/>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1.解密程序开始后</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0分钟内（以本项目网上招投标系统解密倒计时为准）。</w:t>
            </w:r>
          </w:p>
        </w:tc>
      </w:tr>
      <w:tr w14:paraId="39CAD765">
        <w:tblPrEx>
          <w:tblCellMar>
            <w:top w:w="0" w:type="dxa"/>
            <w:left w:w="0" w:type="dxa"/>
            <w:bottom w:w="0" w:type="dxa"/>
            <w:right w:w="0" w:type="dxa"/>
          </w:tblCellMar>
        </w:tblPrEx>
        <w:trPr>
          <w:trHeight w:val="688" w:hRule="atLeast"/>
        </w:trPr>
        <w:tc>
          <w:tcPr>
            <w:tcW w:w="731" w:type="dxa"/>
            <w:tcBorders>
              <w:top w:val="single" w:color="auto" w:sz="8" w:space="0"/>
              <w:left w:val="single" w:color="auto" w:sz="8" w:space="0"/>
              <w:bottom w:val="single" w:color="auto" w:sz="8" w:space="0"/>
              <w:right w:val="single" w:color="auto" w:sz="8" w:space="0"/>
            </w:tcBorders>
            <w:vAlign w:val="center"/>
          </w:tcPr>
          <w:p w14:paraId="0E670406">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14</w:t>
            </w:r>
          </w:p>
        </w:tc>
        <w:tc>
          <w:tcPr>
            <w:tcW w:w="1654" w:type="dxa"/>
            <w:tcBorders>
              <w:top w:val="single" w:color="auto" w:sz="8" w:space="0"/>
              <w:left w:val="single" w:color="auto" w:sz="4" w:space="0"/>
              <w:bottom w:val="single" w:color="auto" w:sz="8" w:space="0"/>
              <w:right w:val="single" w:color="auto" w:sz="4" w:space="0"/>
            </w:tcBorders>
            <w:vAlign w:val="center"/>
          </w:tcPr>
          <w:p w14:paraId="03D51B63">
            <w:pPr>
              <w:keepNext w:val="0"/>
              <w:keepLines w:val="0"/>
              <w:pageBreakBefore w:val="0"/>
              <w:kinsoku/>
              <w:overflowPunct/>
              <w:topLinePunct w:val="0"/>
              <w:autoSpaceDE/>
              <w:autoSpaceDN/>
              <w:bidi w:val="0"/>
              <w:spacing w:line="48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是否退还投标文件</w:t>
            </w:r>
          </w:p>
        </w:tc>
        <w:tc>
          <w:tcPr>
            <w:tcW w:w="7203" w:type="dxa"/>
            <w:tcBorders>
              <w:top w:val="single" w:color="auto" w:sz="8" w:space="0"/>
              <w:left w:val="single" w:color="auto" w:sz="4" w:space="0"/>
              <w:bottom w:val="single" w:color="auto" w:sz="8" w:space="0"/>
              <w:right w:val="single" w:color="auto" w:sz="8" w:space="0"/>
            </w:tcBorders>
            <w:vAlign w:val="center"/>
          </w:tcPr>
          <w:p w14:paraId="626B5B3B">
            <w:pPr>
              <w:keepNext w:val="0"/>
              <w:keepLines w:val="0"/>
              <w:pageBreakBefore w:val="0"/>
              <w:kinsoku/>
              <w:overflowPunct/>
              <w:topLinePunct w:val="0"/>
              <w:autoSpaceDE/>
              <w:autoSpaceDN/>
              <w:bidi w:val="0"/>
              <w:spacing w:line="440" w:lineRule="exact"/>
              <w:ind w:left="57"/>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266A8CA8">
        <w:tblPrEx>
          <w:tblCellMar>
            <w:top w:w="0" w:type="dxa"/>
            <w:left w:w="0" w:type="dxa"/>
            <w:bottom w:w="0" w:type="dxa"/>
            <w:right w:w="0" w:type="dxa"/>
          </w:tblCellMar>
        </w:tblPrEx>
        <w:trPr>
          <w:trHeight w:val="544" w:hRule="atLeast"/>
        </w:trPr>
        <w:tc>
          <w:tcPr>
            <w:tcW w:w="731" w:type="dxa"/>
            <w:tcBorders>
              <w:top w:val="single" w:color="auto" w:sz="8" w:space="0"/>
              <w:left w:val="single" w:color="auto" w:sz="8" w:space="0"/>
              <w:bottom w:val="single" w:color="auto" w:sz="8" w:space="0"/>
              <w:right w:val="single" w:color="auto" w:sz="8" w:space="0"/>
            </w:tcBorders>
            <w:vAlign w:val="center"/>
          </w:tcPr>
          <w:p w14:paraId="136C06BF">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15</w:t>
            </w:r>
          </w:p>
        </w:tc>
        <w:tc>
          <w:tcPr>
            <w:tcW w:w="1654" w:type="dxa"/>
            <w:tcBorders>
              <w:top w:val="single" w:color="auto" w:sz="8" w:space="0"/>
              <w:left w:val="single" w:color="auto" w:sz="4" w:space="0"/>
              <w:bottom w:val="single" w:color="auto" w:sz="8" w:space="0"/>
              <w:right w:val="single" w:color="auto" w:sz="4" w:space="0"/>
            </w:tcBorders>
            <w:vAlign w:val="center"/>
          </w:tcPr>
          <w:p w14:paraId="53C0A74C">
            <w:pPr>
              <w:keepNext w:val="0"/>
              <w:keepLines w:val="0"/>
              <w:pageBreakBefore w:val="0"/>
              <w:kinsoku/>
              <w:overflowPunct/>
              <w:topLinePunct w:val="0"/>
              <w:autoSpaceDE/>
              <w:autoSpaceDN/>
              <w:bidi w:val="0"/>
              <w:spacing w:line="48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sz w:val="21"/>
                <w:szCs w:val="21"/>
                <w:highlight w:val="none"/>
              </w:rPr>
              <w:t>开标时间及地点</w:t>
            </w:r>
          </w:p>
        </w:tc>
        <w:tc>
          <w:tcPr>
            <w:tcW w:w="7203" w:type="dxa"/>
            <w:tcBorders>
              <w:top w:val="single" w:color="auto" w:sz="8" w:space="0"/>
              <w:left w:val="single" w:color="auto" w:sz="4" w:space="0"/>
              <w:bottom w:val="single" w:color="auto" w:sz="8" w:space="0"/>
              <w:right w:val="single" w:color="auto" w:sz="8" w:space="0"/>
            </w:tcBorders>
            <w:vAlign w:val="center"/>
          </w:tcPr>
          <w:p w14:paraId="18B45F6F">
            <w:pPr>
              <w:keepNext w:val="0"/>
              <w:keepLines w:val="0"/>
              <w:pageBreakBefore w:val="0"/>
              <w:kinsoku/>
              <w:overflowPunct/>
              <w:topLinePunct w:val="0"/>
              <w:autoSpaceDE/>
              <w:autoSpaceDN/>
              <w:bidi w:val="0"/>
              <w:spacing w:line="440" w:lineRule="exact"/>
              <w:ind w:left="57"/>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见招标公告</w:t>
            </w:r>
          </w:p>
        </w:tc>
      </w:tr>
      <w:tr w14:paraId="076992A3">
        <w:tblPrEx>
          <w:tblCellMar>
            <w:top w:w="0" w:type="dxa"/>
            <w:left w:w="0" w:type="dxa"/>
            <w:bottom w:w="0" w:type="dxa"/>
            <w:right w:w="0" w:type="dxa"/>
          </w:tblCellMar>
        </w:tblPrEx>
        <w:trPr>
          <w:trHeight w:val="445" w:hRule="atLeast"/>
        </w:trPr>
        <w:tc>
          <w:tcPr>
            <w:tcW w:w="731" w:type="dxa"/>
            <w:tcBorders>
              <w:top w:val="single" w:color="auto" w:sz="8" w:space="0"/>
              <w:left w:val="single" w:color="auto" w:sz="8" w:space="0"/>
              <w:bottom w:val="single" w:color="auto" w:sz="8" w:space="0"/>
              <w:right w:val="single" w:color="auto" w:sz="8" w:space="0"/>
            </w:tcBorders>
            <w:vAlign w:val="center"/>
          </w:tcPr>
          <w:p w14:paraId="3C028E0B">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16</w:t>
            </w:r>
          </w:p>
        </w:tc>
        <w:tc>
          <w:tcPr>
            <w:tcW w:w="1654" w:type="dxa"/>
            <w:tcBorders>
              <w:top w:val="single" w:color="auto" w:sz="8" w:space="0"/>
              <w:left w:val="single" w:color="auto" w:sz="4" w:space="0"/>
              <w:bottom w:val="single" w:color="auto" w:sz="8" w:space="0"/>
              <w:right w:val="single" w:color="auto" w:sz="4" w:space="0"/>
            </w:tcBorders>
            <w:vAlign w:val="center"/>
          </w:tcPr>
          <w:p w14:paraId="57F847A2">
            <w:pPr>
              <w:keepNext w:val="0"/>
              <w:keepLines w:val="0"/>
              <w:pageBreakBefore w:val="0"/>
              <w:kinsoku/>
              <w:overflowPunct/>
              <w:topLinePunct w:val="0"/>
              <w:autoSpaceDE/>
              <w:autoSpaceDN/>
              <w:bidi w:val="0"/>
              <w:spacing w:line="480" w:lineRule="exact"/>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开标程序</w:t>
            </w:r>
          </w:p>
        </w:tc>
        <w:tc>
          <w:tcPr>
            <w:tcW w:w="7203" w:type="dxa"/>
            <w:tcBorders>
              <w:top w:val="single" w:color="auto" w:sz="8" w:space="0"/>
              <w:left w:val="single" w:color="auto" w:sz="4" w:space="0"/>
              <w:bottom w:val="single" w:color="auto" w:sz="8" w:space="0"/>
              <w:right w:val="single" w:color="auto" w:sz="8" w:space="0"/>
            </w:tcBorders>
            <w:vAlign w:val="center"/>
          </w:tcPr>
          <w:p w14:paraId="476CEA77">
            <w:pPr>
              <w:keepNext w:val="0"/>
              <w:keepLines w:val="0"/>
              <w:pageBreakBefore w:val="0"/>
              <w:kinsoku/>
              <w:overflowPunct/>
              <w:topLinePunct w:val="0"/>
              <w:autoSpaceDE/>
              <w:autoSpaceDN/>
              <w:bidi w:val="0"/>
              <w:spacing w:line="440" w:lineRule="exact"/>
              <w:ind w:left="57"/>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开标顺序：解密电子投标文件后，由评标委员会评审。</w:t>
            </w:r>
          </w:p>
        </w:tc>
      </w:tr>
      <w:tr w14:paraId="6EC3DC31">
        <w:tblPrEx>
          <w:tblCellMar>
            <w:top w:w="0" w:type="dxa"/>
            <w:left w:w="0" w:type="dxa"/>
            <w:bottom w:w="0" w:type="dxa"/>
            <w:right w:w="0" w:type="dxa"/>
          </w:tblCellMar>
        </w:tblPrEx>
        <w:trPr>
          <w:trHeight w:val="786" w:hRule="atLeast"/>
        </w:trPr>
        <w:tc>
          <w:tcPr>
            <w:tcW w:w="731" w:type="dxa"/>
            <w:tcBorders>
              <w:top w:val="single" w:color="auto" w:sz="8" w:space="0"/>
              <w:left w:val="single" w:color="auto" w:sz="8" w:space="0"/>
              <w:bottom w:val="single" w:color="auto" w:sz="8" w:space="0"/>
              <w:right w:val="single" w:color="auto" w:sz="8" w:space="0"/>
            </w:tcBorders>
            <w:vAlign w:val="center"/>
          </w:tcPr>
          <w:p w14:paraId="73E8B676">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17</w:t>
            </w:r>
          </w:p>
        </w:tc>
        <w:tc>
          <w:tcPr>
            <w:tcW w:w="1654" w:type="dxa"/>
            <w:tcBorders>
              <w:top w:val="single" w:color="auto" w:sz="8" w:space="0"/>
              <w:left w:val="single" w:color="auto" w:sz="4" w:space="0"/>
              <w:bottom w:val="single" w:color="auto" w:sz="8" w:space="0"/>
              <w:right w:val="single" w:color="auto" w:sz="4" w:space="0"/>
            </w:tcBorders>
            <w:vAlign w:val="center"/>
          </w:tcPr>
          <w:p w14:paraId="5CB513ED">
            <w:pPr>
              <w:pStyle w:val="24"/>
              <w:keepNext w:val="0"/>
              <w:keepLines w:val="0"/>
              <w:pageBreakBefore w:val="0"/>
              <w:kinsoku/>
              <w:overflowPunct/>
              <w:topLinePunct w:val="0"/>
              <w:autoSpaceDE/>
              <w:autoSpaceDN/>
              <w:bidi w:val="0"/>
              <w:spacing w:line="48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评标委员会的组建</w:t>
            </w:r>
          </w:p>
        </w:tc>
        <w:tc>
          <w:tcPr>
            <w:tcW w:w="7203" w:type="dxa"/>
            <w:tcBorders>
              <w:top w:val="single" w:color="auto" w:sz="8" w:space="0"/>
              <w:left w:val="single" w:color="auto" w:sz="4" w:space="0"/>
              <w:bottom w:val="single" w:color="auto" w:sz="8" w:space="0"/>
              <w:right w:val="single" w:color="auto" w:sz="8" w:space="0"/>
            </w:tcBorders>
            <w:vAlign w:val="top"/>
          </w:tcPr>
          <w:p w14:paraId="4FB4DBB5">
            <w:pPr>
              <w:pStyle w:val="157"/>
              <w:keepNext w:val="0"/>
              <w:keepLines w:val="0"/>
              <w:pageBreakBefore w:val="0"/>
              <w:kinsoku/>
              <w:overflowPunct/>
              <w:topLinePunct w:val="0"/>
              <w:autoSpaceDE/>
              <w:autoSpaceDN/>
              <w:bidi w:val="0"/>
              <w:adjustRightInd/>
              <w:snapToGrid/>
              <w:spacing w:line="440" w:lineRule="exact"/>
              <w:ind w:left="57"/>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评标委员会由</w:t>
            </w:r>
            <w:r>
              <w:rPr>
                <w:rFonts w:hint="eastAsia" w:ascii="宋体" w:hAnsi="宋体" w:eastAsia="宋体" w:cs="宋体"/>
                <w:color w:val="auto"/>
                <w:sz w:val="21"/>
                <w:szCs w:val="21"/>
                <w:highlight w:val="none"/>
                <w:lang w:val="en-US" w:eastAsia="zh-CN"/>
              </w:rPr>
              <w:t>招标人依法组建</w:t>
            </w:r>
            <w:r>
              <w:rPr>
                <w:rFonts w:hint="eastAsia" w:ascii="宋体" w:hAnsi="宋体" w:eastAsia="宋体" w:cs="宋体"/>
                <w:color w:val="auto"/>
                <w:sz w:val="21"/>
                <w:szCs w:val="21"/>
                <w:highlight w:val="none"/>
              </w:rPr>
              <w:t>；</w:t>
            </w:r>
          </w:p>
          <w:p w14:paraId="6B4E98E9">
            <w:pPr>
              <w:pStyle w:val="24"/>
              <w:keepNext w:val="0"/>
              <w:keepLines w:val="0"/>
              <w:pageBreakBefore w:val="0"/>
              <w:kinsoku/>
              <w:overflowPunct/>
              <w:topLinePunct w:val="0"/>
              <w:autoSpaceDE/>
              <w:autoSpaceDN/>
              <w:bidi w:val="0"/>
              <w:spacing w:line="440" w:lineRule="exact"/>
              <w:ind w:left="57"/>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评标专家确定方式：</w:t>
            </w:r>
            <w:r>
              <w:rPr>
                <w:rFonts w:hint="eastAsia"/>
                <w:color w:val="auto"/>
                <w:szCs w:val="21"/>
                <w:highlight w:val="none"/>
              </w:rPr>
              <w:t>专家评委由</w:t>
            </w:r>
            <w:r>
              <w:rPr>
                <w:rFonts w:hint="eastAsia"/>
                <w:color w:val="auto"/>
                <w:szCs w:val="21"/>
                <w:highlight w:val="none"/>
                <w:lang w:val="en-US" w:eastAsia="zh-CN"/>
              </w:rPr>
              <w:t>招标单位</w:t>
            </w:r>
            <w:r>
              <w:rPr>
                <w:rFonts w:hint="eastAsia"/>
                <w:color w:val="auto"/>
                <w:szCs w:val="21"/>
                <w:highlight w:val="none"/>
              </w:rPr>
              <w:t>从专家库中随机抽取</w:t>
            </w:r>
            <w:r>
              <w:rPr>
                <w:rFonts w:hint="eastAsia" w:ascii="宋体" w:hAnsi="宋体" w:eastAsia="宋体" w:cs="宋体"/>
                <w:color w:val="auto"/>
                <w:sz w:val="21"/>
                <w:szCs w:val="21"/>
                <w:highlight w:val="none"/>
              </w:rPr>
              <w:t>。</w:t>
            </w:r>
          </w:p>
        </w:tc>
      </w:tr>
      <w:tr w14:paraId="02D6C8AD">
        <w:tblPrEx>
          <w:tblCellMar>
            <w:top w:w="0" w:type="dxa"/>
            <w:left w:w="0" w:type="dxa"/>
            <w:bottom w:w="0" w:type="dxa"/>
            <w:right w:w="0" w:type="dxa"/>
          </w:tblCellMar>
        </w:tblPrEx>
        <w:trPr>
          <w:trHeight w:val="786" w:hRule="atLeast"/>
        </w:trPr>
        <w:tc>
          <w:tcPr>
            <w:tcW w:w="731" w:type="dxa"/>
            <w:tcBorders>
              <w:top w:val="single" w:color="auto" w:sz="8" w:space="0"/>
              <w:left w:val="single" w:color="auto" w:sz="8" w:space="0"/>
              <w:bottom w:val="single" w:color="auto" w:sz="8" w:space="0"/>
              <w:right w:val="single" w:color="auto" w:sz="8" w:space="0"/>
            </w:tcBorders>
            <w:vAlign w:val="center"/>
          </w:tcPr>
          <w:p w14:paraId="61FD27D9">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18</w:t>
            </w:r>
          </w:p>
        </w:tc>
        <w:tc>
          <w:tcPr>
            <w:tcW w:w="1654" w:type="dxa"/>
            <w:tcBorders>
              <w:top w:val="single" w:color="auto" w:sz="8" w:space="0"/>
              <w:left w:val="single" w:color="auto" w:sz="4" w:space="0"/>
              <w:bottom w:val="single" w:color="auto" w:sz="8" w:space="0"/>
              <w:right w:val="single" w:color="auto" w:sz="4" w:space="0"/>
            </w:tcBorders>
            <w:vAlign w:val="center"/>
          </w:tcPr>
          <w:p w14:paraId="289798AF">
            <w:pPr>
              <w:pStyle w:val="24"/>
              <w:keepNext w:val="0"/>
              <w:keepLines w:val="0"/>
              <w:pageBreakBefore w:val="0"/>
              <w:kinsoku/>
              <w:overflowPunct/>
              <w:topLinePunct w:val="0"/>
              <w:autoSpaceDE/>
              <w:autoSpaceDN/>
              <w:bidi w:val="0"/>
              <w:spacing w:line="48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是否授权评标委员会确定中标候选人</w:t>
            </w:r>
          </w:p>
        </w:tc>
        <w:tc>
          <w:tcPr>
            <w:tcW w:w="7203" w:type="dxa"/>
            <w:tcBorders>
              <w:top w:val="single" w:color="auto" w:sz="8" w:space="0"/>
              <w:left w:val="single" w:color="auto" w:sz="4" w:space="0"/>
              <w:bottom w:val="single" w:color="auto" w:sz="8" w:space="0"/>
              <w:right w:val="single" w:color="auto" w:sz="8" w:space="0"/>
            </w:tcBorders>
            <w:vAlign w:val="center"/>
          </w:tcPr>
          <w:p w14:paraId="50C3E122">
            <w:pPr>
              <w:pStyle w:val="24"/>
              <w:keepNext w:val="0"/>
              <w:keepLines w:val="0"/>
              <w:pageBreakBefore w:val="0"/>
              <w:kinsoku/>
              <w:overflowPunct/>
              <w:topLinePunct w:val="0"/>
              <w:autoSpaceDE/>
              <w:autoSpaceDN/>
              <w:bidi w:val="0"/>
              <w:spacing w:line="440" w:lineRule="exact"/>
              <w:ind w:left="57"/>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r>
              <w:rPr>
                <w:rFonts w:hint="eastAsia" w:hAnsi="宋体" w:cs="宋体"/>
                <w:color w:val="auto"/>
                <w:sz w:val="21"/>
                <w:szCs w:val="21"/>
                <w:highlight w:val="none"/>
                <w:lang w:eastAsia="zh-CN"/>
              </w:rPr>
              <w:t>，</w:t>
            </w:r>
            <w:r>
              <w:rPr>
                <w:rFonts w:hint="eastAsia" w:ascii="宋体" w:hAnsi="宋体" w:eastAsia="宋体" w:cs="宋体"/>
                <w:color w:val="auto"/>
                <w:sz w:val="21"/>
                <w:szCs w:val="21"/>
                <w:highlight w:val="none"/>
              </w:rPr>
              <w:t>评标委员会推荐</w:t>
            </w:r>
            <w:r>
              <w:rPr>
                <w:rFonts w:hint="eastAsia" w:ascii="宋体" w:hAnsi="宋体" w:eastAsia="宋体" w:cs="宋体"/>
                <w:color w:val="auto"/>
                <w:sz w:val="21"/>
                <w:szCs w:val="21"/>
                <w:highlight w:val="none"/>
                <w:u w:val="single" w:color="auto"/>
              </w:rPr>
              <w:t xml:space="preserve"> </w:t>
            </w:r>
            <w:r>
              <w:rPr>
                <w:rFonts w:hint="eastAsia" w:ascii="宋体" w:hAnsi="宋体" w:eastAsia="宋体" w:cs="宋体"/>
                <w:color w:val="auto"/>
                <w:sz w:val="21"/>
                <w:szCs w:val="21"/>
                <w:highlight w:val="none"/>
                <w:u w:val="single" w:color="auto"/>
                <w:lang w:val="en-US" w:eastAsia="zh-CN"/>
              </w:rPr>
              <w:t>2</w:t>
            </w:r>
            <w:r>
              <w:rPr>
                <w:rFonts w:hint="eastAsia" w:ascii="宋体" w:hAnsi="宋体" w:eastAsia="宋体" w:cs="宋体"/>
                <w:color w:val="auto"/>
                <w:sz w:val="21"/>
                <w:szCs w:val="21"/>
                <w:highlight w:val="none"/>
                <w:u w:val="single" w:color="auto"/>
              </w:rPr>
              <w:t xml:space="preserve"> </w:t>
            </w:r>
            <w:r>
              <w:rPr>
                <w:rFonts w:hint="eastAsia" w:ascii="宋体" w:hAnsi="宋体" w:eastAsia="宋体" w:cs="宋体"/>
                <w:color w:val="auto"/>
                <w:sz w:val="21"/>
                <w:szCs w:val="21"/>
                <w:highlight w:val="none"/>
              </w:rPr>
              <w:t>名中标候选人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并标明排序</w:t>
            </w:r>
            <w:r>
              <w:rPr>
                <w:rFonts w:hint="eastAsia" w:ascii="宋体" w:hAnsi="宋体" w:eastAsia="宋体" w:cs="宋体"/>
                <w:color w:val="auto"/>
                <w:sz w:val="21"/>
                <w:szCs w:val="21"/>
                <w:highlight w:val="none"/>
              </w:rPr>
              <w:t>。</w:t>
            </w:r>
          </w:p>
        </w:tc>
      </w:tr>
      <w:tr w14:paraId="191E86E8">
        <w:tblPrEx>
          <w:tblCellMar>
            <w:top w:w="0" w:type="dxa"/>
            <w:left w:w="0" w:type="dxa"/>
            <w:bottom w:w="0" w:type="dxa"/>
            <w:right w:w="0" w:type="dxa"/>
          </w:tblCellMar>
        </w:tblPrEx>
        <w:trPr>
          <w:trHeight w:val="786" w:hRule="atLeast"/>
        </w:trPr>
        <w:tc>
          <w:tcPr>
            <w:tcW w:w="731" w:type="dxa"/>
            <w:tcBorders>
              <w:top w:val="single" w:color="auto" w:sz="8" w:space="0"/>
              <w:left w:val="single" w:color="auto" w:sz="8" w:space="0"/>
              <w:bottom w:val="single" w:color="auto" w:sz="8" w:space="0"/>
              <w:right w:val="single" w:color="auto" w:sz="8" w:space="0"/>
            </w:tcBorders>
            <w:vAlign w:val="center"/>
          </w:tcPr>
          <w:p w14:paraId="1D007CD6">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19</w:t>
            </w:r>
          </w:p>
        </w:tc>
        <w:tc>
          <w:tcPr>
            <w:tcW w:w="1654" w:type="dxa"/>
            <w:tcBorders>
              <w:top w:val="single" w:color="auto" w:sz="8" w:space="0"/>
              <w:left w:val="single" w:color="auto" w:sz="4" w:space="0"/>
              <w:bottom w:val="single" w:color="auto" w:sz="8" w:space="0"/>
              <w:right w:val="single" w:color="auto" w:sz="4" w:space="0"/>
            </w:tcBorders>
            <w:vAlign w:val="center"/>
          </w:tcPr>
          <w:p w14:paraId="77F75070">
            <w:pPr>
              <w:pStyle w:val="24"/>
              <w:keepNext w:val="0"/>
              <w:keepLines w:val="0"/>
              <w:pageBreakBefore w:val="0"/>
              <w:kinsoku/>
              <w:overflowPunct/>
              <w:topLinePunct w:val="0"/>
              <w:autoSpaceDE/>
              <w:autoSpaceDN/>
              <w:bidi w:val="0"/>
              <w:spacing w:line="48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中标结果公告媒介</w:t>
            </w:r>
          </w:p>
        </w:tc>
        <w:tc>
          <w:tcPr>
            <w:tcW w:w="7203" w:type="dxa"/>
            <w:tcBorders>
              <w:top w:val="single" w:color="auto" w:sz="8" w:space="0"/>
              <w:left w:val="single" w:color="auto" w:sz="4" w:space="0"/>
              <w:bottom w:val="single" w:color="auto" w:sz="8" w:space="0"/>
              <w:right w:val="single" w:color="auto" w:sz="8" w:space="0"/>
            </w:tcBorders>
            <w:vAlign w:val="top"/>
          </w:tcPr>
          <w:p w14:paraId="2F0DB711">
            <w:pPr>
              <w:pStyle w:val="24"/>
              <w:keepNext w:val="0"/>
              <w:keepLines w:val="0"/>
              <w:pageBreakBefore w:val="0"/>
              <w:kinsoku/>
              <w:wordWrap w:val="0"/>
              <w:overflowPunct/>
              <w:topLinePunct w:val="0"/>
              <w:autoSpaceDE/>
              <w:autoSpaceDN/>
              <w:bidi w:val="0"/>
              <w:spacing w:line="440" w:lineRule="exact"/>
              <w:ind w:left="57"/>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滁州市城投工程咨询管理有限公司（https://www.czctgczx.com/）</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滁州市重点工程建设管理处（http://zdc.chuzhou.gov.cn/）</w:t>
            </w:r>
            <w:r>
              <w:rPr>
                <w:rFonts w:hint="eastAsia" w:ascii="宋体" w:hAnsi="宋体" w:eastAsia="宋体" w:cs="宋体"/>
                <w:color w:val="auto"/>
                <w:spacing w:val="-4"/>
                <w:sz w:val="21"/>
                <w:szCs w:val="21"/>
                <w:highlight w:val="none"/>
              </w:rPr>
              <w:t>等网站</w:t>
            </w:r>
          </w:p>
        </w:tc>
      </w:tr>
      <w:tr w14:paraId="6EA640C0">
        <w:tblPrEx>
          <w:tblCellMar>
            <w:top w:w="0" w:type="dxa"/>
            <w:left w:w="0" w:type="dxa"/>
            <w:bottom w:w="0" w:type="dxa"/>
            <w:right w:w="0" w:type="dxa"/>
          </w:tblCellMar>
        </w:tblPrEx>
        <w:trPr>
          <w:trHeight w:val="478" w:hRule="atLeast"/>
        </w:trPr>
        <w:tc>
          <w:tcPr>
            <w:tcW w:w="731" w:type="dxa"/>
            <w:tcBorders>
              <w:top w:val="single" w:color="auto" w:sz="8" w:space="0"/>
              <w:left w:val="single" w:color="auto" w:sz="8" w:space="0"/>
              <w:bottom w:val="single" w:color="auto" w:sz="8" w:space="0"/>
              <w:right w:val="single" w:color="auto" w:sz="8" w:space="0"/>
            </w:tcBorders>
            <w:vAlign w:val="center"/>
          </w:tcPr>
          <w:p w14:paraId="300286F8">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20</w:t>
            </w:r>
          </w:p>
        </w:tc>
        <w:tc>
          <w:tcPr>
            <w:tcW w:w="1654" w:type="dxa"/>
            <w:tcBorders>
              <w:top w:val="single" w:color="auto" w:sz="8" w:space="0"/>
              <w:left w:val="single" w:color="auto" w:sz="4" w:space="0"/>
              <w:bottom w:val="single" w:color="auto" w:sz="8" w:space="0"/>
              <w:right w:val="single" w:color="auto" w:sz="4" w:space="0"/>
            </w:tcBorders>
            <w:vAlign w:val="center"/>
          </w:tcPr>
          <w:p w14:paraId="5C02703D">
            <w:pPr>
              <w:keepNext w:val="0"/>
              <w:keepLines w:val="0"/>
              <w:pageBreakBefore w:val="0"/>
              <w:kinsoku/>
              <w:overflowPunct/>
              <w:topLinePunct w:val="0"/>
              <w:autoSpaceDE/>
              <w:autoSpaceDN/>
              <w:bidi w:val="0"/>
              <w:spacing w:line="48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履约担保</w:t>
            </w:r>
          </w:p>
        </w:tc>
        <w:tc>
          <w:tcPr>
            <w:tcW w:w="7203" w:type="dxa"/>
            <w:tcBorders>
              <w:top w:val="single" w:color="auto" w:sz="8" w:space="0"/>
              <w:left w:val="single" w:color="auto" w:sz="4" w:space="0"/>
              <w:bottom w:val="single" w:color="auto" w:sz="8" w:space="0"/>
              <w:right w:val="single" w:color="auto" w:sz="8" w:space="0"/>
            </w:tcBorders>
            <w:vAlign w:val="center"/>
          </w:tcPr>
          <w:p w14:paraId="492E7E00">
            <w:pPr>
              <w:keepNext w:val="0"/>
              <w:keepLines w:val="0"/>
              <w:pageBreakBefore w:val="0"/>
              <w:widowControl/>
              <w:kinsoku/>
              <w:overflowPunct/>
              <w:topLinePunct w:val="0"/>
              <w:autoSpaceDE/>
              <w:autoSpaceDN/>
              <w:bidi w:val="0"/>
              <w:spacing w:line="440" w:lineRule="exact"/>
              <w:ind w:left="57"/>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是否收取履约担保：□收取，</w:t>
            </w:r>
            <w:r>
              <w:rPr>
                <w:rFonts w:hint="eastAsia" w:ascii="宋体" w:hAnsi="宋体" w:eastAsia="宋体" w:cs="宋体"/>
                <w:color w:val="auto"/>
                <w:sz w:val="21"/>
                <w:szCs w:val="21"/>
                <w:highlight w:val="none"/>
              </w:rPr>
              <w:sym w:font="Wingdings 2" w:char="0052"/>
            </w:r>
            <w:r>
              <w:rPr>
                <w:rFonts w:hint="eastAsia" w:ascii="宋体" w:hAnsi="宋体" w:eastAsia="宋体" w:cs="宋体"/>
                <w:color w:val="auto"/>
                <w:sz w:val="21"/>
                <w:szCs w:val="21"/>
                <w:highlight w:val="none"/>
              </w:rPr>
              <w:t>不收取</w:t>
            </w:r>
          </w:p>
        </w:tc>
      </w:tr>
      <w:tr w14:paraId="53B9F13B">
        <w:tblPrEx>
          <w:tblCellMar>
            <w:top w:w="0" w:type="dxa"/>
            <w:left w:w="0" w:type="dxa"/>
            <w:bottom w:w="0" w:type="dxa"/>
            <w:right w:w="0" w:type="dxa"/>
          </w:tblCellMar>
        </w:tblPrEx>
        <w:trPr>
          <w:trHeight w:val="478" w:hRule="atLeast"/>
        </w:trPr>
        <w:tc>
          <w:tcPr>
            <w:tcW w:w="9588" w:type="dxa"/>
            <w:gridSpan w:val="3"/>
            <w:tcBorders>
              <w:top w:val="single" w:color="auto" w:sz="8" w:space="0"/>
              <w:left w:val="single" w:color="auto" w:sz="8" w:space="0"/>
              <w:bottom w:val="single" w:color="auto" w:sz="8" w:space="0"/>
              <w:right w:val="single" w:color="auto" w:sz="8" w:space="0"/>
            </w:tcBorders>
            <w:vAlign w:val="center"/>
          </w:tcPr>
          <w:p w14:paraId="0FD01F5C">
            <w:pPr>
              <w:keepNext w:val="0"/>
              <w:keepLines w:val="0"/>
              <w:pageBreakBefore w:val="0"/>
              <w:widowControl/>
              <w:kinsoku/>
              <w:overflowPunct/>
              <w:topLinePunct w:val="0"/>
              <w:autoSpaceDE/>
              <w:autoSpaceDN/>
              <w:bidi w:val="0"/>
              <w:spacing w:line="440" w:lineRule="exact"/>
              <w:ind w:left="57"/>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需要补充的其他内容</w:t>
            </w:r>
          </w:p>
        </w:tc>
      </w:tr>
      <w:tr w14:paraId="54EFCC42">
        <w:tblPrEx>
          <w:tblCellMar>
            <w:top w:w="0" w:type="dxa"/>
            <w:left w:w="0" w:type="dxa"/>
            <w:bottom w:w="0" w:type="dxa"/>
            <w:right w:w="0" w:type="dxa"/>
          </w:tblCellMar>
        </w:tblPrEx>
        <w:trPr>
          <w:trHeight w:val="478" w:hRule="atLeast"/>
        </w:trPr>
        <w:tc>
          <w:tcPr>
            <w:tcW w:w="2385" w:type="dxa"/>
            <w:gridSpan w:val="2"/>
            <w:tcBorders>
              <w:top w:val="single" w:color="auto" w:sz="8" w:space="0"/>
              <w:left w:val="single" w:color="auto" w:sz="8" w:space="0"/>
              <w:bottom w:val="single" w:color="auto" w:sz="8" w:space="0"/>
              <w:right w:val="single" w:color="auto" w:sz="4" w:space="0"/>
            </w:tcBorders>
            <w:vAlign w:val="center"/>
          </w:tcPr>
          <w:p w14:paraId="5A46107E">
            <w:pPr>
              <w:keepNext w:val="0"/>
              <w:keepLines w:val="0"/>
              <w:pageBreakBefore w:val="0"/>
              <w:kinsoku/>
              <w:overflowPunct/>
              <w:topLinePunct w:val="0"/>
              <w:autoSpaceDE/>
              <w:autoSpaceDN/>
              <w:bidi w:val="0"/>
              <w:spacing w:line="48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电子招标投标</w:t>
            </w:r>
          </w:p>
        </w:tc>
        <w:tc>
          <w:tcPr>
            <w:tcW w:w="7203" w:type="dxa"/>
            <w:tcBorders>
              <w:top w:val="single" w:color="auto" w:sz="8" w:space="0"/>
              <w:left w:val="single" w:color="auto" w:sz="4" w:space="0"/>
              <w:bottom w:val="single" w:color="auto" w:sz="8" w:space="0"/>
              <w:right w:val="single" w:color="auto" w:sz="8" w:space="0"/>
            </w:tcBorders>
            <w:vAlign w:val="center"/>
          </w:tcPr>
          <w:p w14:paraId="042E25F9">
            <w:pPr>
              <w:keepNext w:val="0"/>
              <w:keepLines w:val="0"/>
              <w:pageBreakBefore w:val="0"/>
              <w:kinsoku/>
              <w:overflowPunct/>
              <w:topLinePunct w:val="0"/>
              <w:autoSpaceDE/>
              <w:autoSpaceDN/>
              <w:bidi w:val="0"/>
              <w:spacing w:line="440" w:lineRule="exact"/>
              <w:ind w:left="57"/>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eq \o\ac(</w:instrText>
            </w:r>
            <w:r>
              <w:rPr>
                <w:rFonts w:hint="eastAsia" w:ascii="宋体" w:hAnsi="宋体" w:eastAsia="宋体" w:cs="宋体"/>
                <w:color w:val="auto"/>
                <w:position w:val="-4"/>
                <w:sz w:val="31"/>
                <w:szCs w:val="21"/>
                <w:highlight w:val="none"/>
              </w:rPr>
              <w:instrText xml:space="preserve">□</w:instrText>
            </w:r>
            <w:r>
              <w:rPr>
                <w:rFonts w:hint="eastAsia" w:ascii="宋体" w:hAnsi="宋体" w:eastAsia="宋体" w:cs="宋体"/>
                <w:color w:val="auto"/>
                <w:position w:val="0"/>
                <w:sz w:val="21"/>
                <w:szCs w:val="21"/>
                <w:highlight w:val="none"/>
              </w:rPr>
              <w:instrText xml:space="preserve">)</w:instrTex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否；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是，具体要求：按招标文件规定。</w:t>
            </w:r>
          </w:p>
        </w:tc>
      </w:tr>
      <w:tr w14:paraId="1140AE85">
        <w:tblPrEx>
          <w:tblCellMar>
            <w:top w:w="0" w:type="dxa"/>
            <w:left w:w="0" w:type="dxa"/>
            <w:bottom w:w="0" w:type="dxa"/>
            <w:right w:w="0" w:type="dxa"/>
          </w:tblCellMar>
        </w:tblPrEx>
        <w:trPr>
          <w:trHeight w:val="167" w:hRule="atLeast"/>
        </w:trPr>
        <w:tc>
          <w:tcPr>
            <w:tcW w:w="2385" w:type="dxa"/>
            <w:gridSpan w:val="2"/>
            <w:tcBorders>
              <w:top w:val="single" w:color="auto" w:sz="8" w:space="0"/>
              <w:left w:val="single" w:color="auto" w:sz="8" w:space="0"/>
              <w:bottom w:val="single" w:color="auto" w:sz="8" w:space="0"/>
              <w:right w:val="single" w:color="auto" w:sz="4" w:space="0"/>
            </w:tcBorders>
            <w:vAlign w:val="center"/>
          </w:tcPr>
          <w:p w14:paraId="741EEFE9">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限制投标情形</w:t>
            </w:r>
          </w:p>
        </w:tc>
        <w:tc>
          <w:tcPr>
            <w:tcW w:w="7203" w:type="dxa"/>
            <w:tcBorders>
              <w:top w:val="single" w:color="auto" w:sz="8" w:space="0"/>
              <w:left w:val="single" w:color="auto" w:sz="4" w:space="0"/>
              <w:bottom w:val="single" w:color="auto" w:sz="8" w:space="0"/>
              <w:right w:val="single" w:color="auto" w:sz="8" w:space="0"/>
            </w:tcBorders>
            <w:vAlign w:val="center"/>
          </w:tcPr>
          <w:p w14:paraId="544763DD">
            <w:pPr>
              <w:keepNext w:val="0"/>
              <w:keepLines w:val="0"/>
              <w:pageBreakBefore w:val="0"/>
              <w:kinsoku/>
              <w:wordWrap/>
              <w:overflowPunct/>
              <w:topLinePunct w:val="0"/>
              <w:autoSpaceDE/>
              <w:autoSpaceDN/>
              <w:bidi w:val="0"/>
              <w:adjustRightInd/>
              <w:snapToGrid/>
              <w:spacing w:line="440" w:lineRule="exact"/>
              <w:ind w:left="57"/>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1.限制近两年内在承接我单位工程造价、审计结算等业务过程中，因工作疏漏对我单位产生不良影响的咨询公司参加投标。</w:t>
            </w:r>
          </w:p>
          <w:p w14:paraId="148E1483">
            <w:pPr>
              <w:keepNext w:val="0"/>
              <w:keepLines w:val="0"/>
              <w:pageBreakBefore w:val="0"/>
              <w:kinsoku/>
              <w:wordWrap/>
              <w:overflowPunct/>
              <w:topLinePunct w:val="0"/>
              <w:autoSpaceDE/>
              <w:autoSpaceDN/>
              <w:bidi w:val="0"/>
              <w:adjustRightInd/>
              <w:snapToGrid/>
              <w:spacing w:line="440" w:lineRule="exact"/>
              <w:ind w:left="57"/>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2.在我处限制承揽业务期限内的企业不予参加。</w:t>
            </w:r>
          </w:p>
          <w:p w14:paraId="6543D70B">
            <w:pPr>
              <w:keepNext w:val="0"/>
              <w:keepLines w:val="0"/>
              <w:pageBreakBefore w:val="0"/>
              <w:kinsoku/>
              <w:wordWrap/>
              <w:overflowPunct/>
              <w:topLinePunct w:val="0"/>
              <w:autoSpaceDE/>
              <w:autoSpaceDN/>
              <w:bidi w:val="0"/>
              <w:adjustRightInd/>
              <w:snapToGrid/>
              <w:spacing w:line="440" w:lineRule="exact"/>
              <w:ind w:left="57"/>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3.被市重点处列入“不良行为企业名单”和“暂停委托项目跟踪审计的工程造价咨询企业名单”的单位不得参加。</w:t>
            </w:r>
          </w:p>
          <w:p w14:paraId="5F2A2E55">
            <w:pPr>
              <w:keepNext w:val="0"/>
              <w:keepLines w:val="0"/>
              <w:pageBreakBefore w:val="0"/>
              <w:kinsoku/>
              <w:wordWrap/>
              <w:overflowPunct/>
              <w:topLinePunct w:val="0"/>
              <w:autoSpaceDE/>
              <w:autoSpaceDN/>
              <w:bidi w:val="0"/>
              <w:adjustRightInd/>
              <w:snapToGrid/>
              <w:spacing w:line="440" w:lineRule="exact"/>
              <w:ind w:left="57"/>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4.本项目招标代理单位、清单控制价编制单位及监理单位不得参加投标。</w:t>
            </w:r>
          </w:p>
        </w:tc>
      </w:tr>
      <w:tr w14:paraId="234C8D6C">
        <w:tblPrEx>
          <w:tblCellMar>
            <w:top w:w="0" w:type="dxa"/>
            <w:left w:w="0" w:type="dxa"/>
            <w:bottom w:w="0" w:type="dxa"/>
            <w:right w:w="0" w:type="dxa"/>
          </w:tblCellMar>
        </w:tblPrEx>
        <w:trPr>
          <w:trHeight w:val="167" w:hRule="atLeast"/>
        </w:trPr>
        <w:tc>
          <w:tcPr>
            <w:tcW w:w="2385" w:type="dxa"/>
            <w:gridSpan w:val="2"/>
            <w:tcBorders>
              <w:top w:val="single" w:color="auto" w:sz="8" w:space="0"/>
              <w:left w:val="single" w:color="auto" w:sz="8" w:space="0"/>
              <w:bottom w:val="single" w:color="auto" w:sz="8" w:space="0"/>
              <w:right w:val="single" w:color="auto" w:sz="4" w:space="0"/>
            </w:tcBorders>
            <w:vAlign w:val="center"/>
          </w:tcPr>
          <w:p w14:paraId="359C7E42">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特别要求</w:t>
            </w:r>
          </w:p>
        </w:tc>
        <w:tc>
          <w:tcPr>
            <w:tcW w:w="7203" w:type="dxa"/>
            <w:tcBorders>
              <w:top w:val="single" w:color="auto" w:sz="8" w:space="0"/>
              <w:left w:val="single" w:color="auto" w:sz="4" w:space="0"/>
              <w:bottom w:val="single" w:color="auto" w:sz="8" w:space="0"/>
              <w:right w:val="single" w:color="auto" w:sz="8" w:space="0"/>
            </w:tcBorders>
            <w:vAlign w:val="center"/>
          </w:tcPr>
          <w:p w14:paraId="7ED64295">
            <w:pPr>
              <w:keepNext w:val="0"/>
              <w:keepLines w:val="0"/>
              <w:pageBreakBefore w:val="0"/>
              <w:kinsoku/>
              <w:wordWrap/>
              <w:overflowPunct/>
              <w:topLinePunct w:val="0"/>
              <w:autoSpaceDE/>
              <w:autoSpaceDN/>
              <w:bidi w:val="0"/>
              <w:adjustRightInd/>
              <w:snapToGrid/>
              <w:spacing w:line="440" w:lineRule="exact"/>
              <w:ind w:left="57"/>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1、项目建设期间，相关部门将对跟踪审计工作进行不定期检查，如发现有不符合《跟踪审计委托协议》相关工作要求的行为，我处将按照约定给予相应的处罚。</w:t>
            </w:r>
          </w:p>
          <w:p w14:paraId="6D70A519">
            <w:pPr>
              <w:keepNext w:val="0"/>
              <w:keepLines w:val="0"/>
              <w:pageBreakBefore w:val="0"/>
              <w:kinsoku/>
              <w:wordWrap/>
              <w:overflowPunct/>
              <w:topLinePunct w:val="0"/>
              <w:autoSpaceDE/>
              <w:autoSpaceDN/>
              <w:bidi w:val="0"/>
              <w:adjustRightInd/>
              <w:snapToGrid/>
              <w:spacing w:line="440" w:lineRule="exact"/>
              <w:ind w:left="57"/>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2、我单位将严格执行《工程造价咨询服务管理办法》。</w:t>
            </w:r>
          </w:p>
          <w:p w14:paraId="1470349C">
            <w:pPr>
              <w:pStyle w:val="44"/>
              <w:keepNext w:val="0"/>
              <w:keepLines w:val="0"/>
              <w:pageBreakBefore w:val="0"/>
              <w:kinsoku/>
              <w:overflowPunct/>
              <w:topLinePunct w:val="0"/>
              <w:autoSpaceDE/>
              <w:autoSpaceDN/>
              <w:bidi w:val="0"/>
              <w:spacing w:line="440" w:lineRule="exact"/>
              <w:ind w:left="57" w:leftChars="0" w:firstLine="0" w:firstLineChars="0"/>
              <w:textAlignment w:val="auto"/>
              <w:rPr>
                <w:rFonts w:hint="default"/>
                <w:b/>
                <w:bCs/>
                <w:color w:val="auto"/>
                <w:highlight w:val="none"/>
                <w:lang w:val="en-US" w:eastAsia="zh-CN"/>
              </w:rPr>
            </w:pPr>
            <w:r>
              <w:rPr>
                <w:rFonts w:hint="eastAsia" w:ascii="宋体" w:hAnsi="宋体" w:cs="宋体"/>
                <w:b/>
                <w:bCs/>
                <w:color w:val="auto"/>
                <w:kern w:val="0"/>
                <w:sz w:val="21"/>
                <w:szCs w:val="21"/>
                <w:highlight w:val="none"/>
                <w:lang w:val="en-US" w:eastAsia="zh-CN"/>
              </w:rPr>
              <w:t>3、本项目</w:t>
            </w:r>
            <w:r>
              <w:rPr>
                <w:rFonts w:hint="eastAsia" w:ascii="宋体" w:hAnsi="宋体" w:eastAsia="宋体" w:cs="宋体"/>
                <w:b/>
                <w:bCs/>
                <w:color w:val="auto"/>
                <w:kern w:val="0"/>
                <w:sz w:val="21"/>
                <w:szCs w:val="21"/>
                <w:highlight w:val="none"/>
                <w:lang w:val="en-US" w:eastAsia="zh-CN"/>
              </w:rPr>
              <w:t>服务费结算款仅支付给中标单位，不支持支付给授权的分公司、子公司等分支机构。（请款</w:t>
            </w:r>
            <w:r>
              <w:rPr>
                <w:rFonts w:hint="eastAsia" w:ascii="宋体" w:hAnsi="宋体" w:cs="宋体"/>
                <w:b/>
                <w:bCs/>
                <w:color w:val="auto"/>
                <w:kern w:val="0"/>
                <w:sz w:val="21"/>
                <w:szCs w:val="21"/>
                <w:highlight w:val="none"/>
                <w:lang w:val="en-US" w:eastAsia="zh-CN"/>
              </w:rPr>
              <w:t>所提供的发票名称须与中标单位名称保持一致）。</w:t>
            </w:r>
          </w:p>
          <w:p w14:paraId="549DC940">
            <w:pPr>
              <w:keepNext w:val="0"/>
              <w:keepLines w:val="0"/>
              <w:pageBreakBefore w:val="0"/>
              <w:kinsoku/>
              <w:wordWrap/>
              <w:overflowPunct/>
              <w:topLinePunct w:val="0"/>
              <w:autoSpaceDE/>
              <w:autoSpaceDN/>
              <w:bidi w:val="0"/>
              <w:adjustRightInd/>
              <w:snapToGrid/>
              <w:spacing w:line="440" w:lineRule="exact"/>
              <w:ind w:left="57"/>
              <w:textAlignment w:val="auto"/>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lang w:val="en-US" w:eastAsia="zh-CN"/>
              </w:rPr>
              <w:t>中标单位项目组人员变更，变更后人员必须满足本项目招标要求。由中标单位向综合计划科提出申请并提供相应证明，由中标单位向业主单位提出申请并提供相应证明，业主单位会商提出意见，报业主单位领导批准后予以备案。</w:t>
            </w:r>
          </w:p>
          <w:p w14:paraId="589A0E2D">
            <w:pPr>
              <w:keepNext w:val="0"/>
              <w:keepLines w:val="0"/>
              <w:pageBreakBefore w:val="0"/>
              <w:kinsoku/>
              <w:wordWrap/>
              <w:overflowPunct/>
              <w:topLinePunct w:val="0"/>
              <w:autoSpaceDE/>
              <w:autoSpaceDN/>
              <w:bidi w:val="0"/>
              <w:adjustRightInd/>
              <w:snapToGrid/>
              <w:spacing w:line="440" w:lineRule="exact"/>
              <w:ind w:left="57"/>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项目组负责人因以下原因变更不予处罚：①亡故；②重病（或重伤）三个月以上，不能履行职责；③受到刑事或行政处罚，不能胜任；④犯罪被羁押或判刑；⑤被责令停止职业资格。其他原因，造价企业须缴纳2万元违约金。</w:t>
            </w:r>
          </w:p>
        </w:tc>
      </w:tr>
      <w:tr w14:paraId="6E099D79">
        <w:tblPrEx>
          <w:tblCellMar>
            <w:top w:w="0" w:type="dxa"/>
            <w:left w:w="0" w:type="dxa"/>
            <w:bottom w:w="0" w:type="dxa"/>
            <w:right w:w="0" w:type="dxa"/>
          </w:tblCellMar>
        </w:tblPrEx>
        <w:trPr>
          <w:trHeight w:val="167" w:hRule="atLeast"/>
        </w:trPr>
        <w:tc>
          <w:tcPr>
            <w:tcW w:w="2385" w:type="dxa"/>
            <w:gridSpan w:val="2"/>
            <w:tcBorders>
              <w:top w:val="single" w:color="auto" w:sz="8" w:space="0"/>
              <w:left w:val="single" w:color="auto" w:sz="8" w:space="0"/>
              <w:bottom w:val="single" w:color="auto" w:sz="8" w:space="0"/>
              <w:right w:val="single" w:color="auto" w:sz="4" w:space="0"/>
            </w:tcBorders>
            <w:vAlign w:val="center"/>
          </w:tcPr>
          <w:p w14:paraId="70D745D3">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付款方式</w:t>
            </w:r>
          </w:p>
        </w:tc>
        <w:tc>
          <w:tcPr>
            <w:tcW w:w="7203" w:type="dxa"/>
            <w:tcBorders>
              <w:top w:val="single" w:color="auto" w:sz="8" w:space="0"/>
              <w:left w:val="single" w:color="auto" w:sz="4" w:space="0"/>
              <w:bottom w:val="single" w:color="auto" w:sz="8" w:space="0"/>
              <w:right w:val="single" w:color="auto" w:sz="8" w:space="0"/>
            </w:tcBorders>
            <w:vAlign w:val="center"/>
          </w:tcPr>
          <w:p w14:paraId="67DB5D0C">
            <w:pPr>
              <w:keepNext w:val="0"/>
              <w:keepLines w:val="0"/>
              <w:pageBreakBefore w:val="0"/>
              <w:kinsoku/>
              <w:wordWrap/>
              <w:overflowPunct/>
              <w:topLinePunct w:val="0"/>
              <w:autoSpaceDE/>
              <w:autoSpaceDN/>
              <w:bidi w:val="0"/>
              <w:adjustRightInd/>
              <w:snapToGrid/>
              <w:spacing w:line="440" w:lineRule="exact"/>
              <w:ind w:left="57"/>
              <w:textAlignment w:val="auto"/>
              <w:rPr>
                <w:rFonts w:hint="eastAsia" w:ascii="宋体" w:hAnsi="宋体" w:eastAsia="宋体" w:cs="宋体"/>
                <w:b/>
                <w:bCs/>
                <w:color w:val="auto"/>
                <w:kern w:val="0"/>
                <w:sz w:val="21"/>
                <w:szCs w:val="21"/>
                <w:highlight w:val="none"/>
                <w:lang w:val="en-US" w:eastAsia="zh-CN"/>
              </w:rPr>
            </w:pPr>
            <w:r>
              <w:rPr>
                <w:rFonts w:hint="eastAsia" w:ascii="宋体" w:hAnsi="宋体" w:cs="宋体"/>
                <w:b/>
                <w:bCs/>
                <w:color w:val="auto"/>
                <w:kern w:val="0"/>
                <w:sz w:val="21"/>
                <w:szCs w:val="21"/>
                <w:highlight w:val="none"/>
                <w:lang w:val="en-US" w:eastAsia="zh-CN"/>
              </w:rPr>
              <w:t>出具审核报告，经招标人审查备案通过后，按照备案金额为基数结算支付审计服务费用。（注：发包人请款额度须在政府资金调度会批准且发票送达后完成支付）。</w:t>
            </w:r>
          </w:p>
        </w:tc>
      </w:tr>
      <w:tr w14:paraId="25B900FF">
        <w:tblPrEx>
          <w:tblCellMar>
            <w:top w:w="0" w:type="dxa"/>
            <w:left w:w="0" w:type="dxa"/>
            <w:bottom w:w="0" w:type="dxa"/>
            <w:right w:w="0" w:type="dxa"/>
          </w:tblCellMar>
        </w:tblPrEx>
        <w:trPr>
          <w:trHeight w:val="167" w:hRule="atLeast"/>
        </w:trPr>
        <w:tc>
          <w:tcPr>
            <w:tcW w:w="2385" w:type="dxa"/>
            <w:gridSpan w:val="2"/>
            <w:tcBorders>
              <w:top w:val="single" w:color="auto" w:sz="8" w:space="0"/>
              <w:left w:val="single" w:color="auto" w:sz="8" w:space="0"/>
              <w:bottom w:val="single" w:color="auto" w:sz="8" w:space="0"/>
              <w:right w:val="single" w:color="auto" w:sz="4" w:space="0"/>
            </w:tcBorders>
            <w:vAlign w:val="center"/>
          </w:tcPr>
          <w:p w14:paraId="5CE4694A">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招标代理费及专家评审费</w:t>
            </w:r>
          </w:p>
        </w:tc>
        <w:tc>
          <w:tcPr>
            <w:tcW w:w="7203" w:type="dxa"/>
            <w:tcBorders>
              <w:top w:val="single" w:color="auto" w:sz="8" w:space="0"/>
              <w:left w:val="single" w:color="auto" w:sz="4" w:space="0"/>
              <w:bottom w:val="single" w:color="auto" w:sz="8" w:space="0"/>
              <w:right w:val="single" w:color="auto" w:sz="8" w:space="0"/>
            </w:tcBorders>
            <w:vAlign w:val="center"/>
          </w:tcPr>
          <w:p w14:paraId="63D232A1">
            <w:pPr>
              <w:keepNext w:val="0"/>
              <w:keepLines w:val="0"/>
              <w:pageBreakBefore w:val="0"/>
              <w:kinsoku/>
              <w:wordWrap/>
              <w:overflowPunct/>
              <w:topLinePunct w:val="0"/>
              <w:autoSpaceDE/>
              <w:autoSpaceDN/>
              <w:bidi w:val="0"/>
              <w:adjustRightInd/>
              <w:snapToGrid/>
              <w:spacing w:line="440" w:lineRule="exact"/>
              <w:ind w:left="57"/>
              <w:textAlignment w:val="auto"/>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本项目招标代理服务费用</w:t>
            </w:r>
            <w:r>
              <w:rPr>
                <w:rFonts w:hint="eastAsia" w:ascii="宋体" w:hAnsi="宋体" w:cs="宋体"/>
                <w:color w:val="auto"/>
                <w:kern w:val="0"/>
                <w:sz w:val="21"/>
                <w:szCs w:val="21"/>
                <w:highlight w:val="none"/>
                <w:lang w:val="en-US" w:eastAsia="zh-CN"/>
              </w:rPr>
              <w:t>0</w:t>
            </w:r>
            <w:r>
              <w:rPr>
                <w:rFonts w:hint="eastAsia" w:ascii="宋体" w:hAnsi="宋体" w:eastAsia="宋体" w:cs="宋体"/>
                <w:color w:val="auto"/>
                <w:kern w:val="0"/>
                <w:sz w:val="21"/>
                <w:szCs w:val="21"/>
                <w:highlight w:val="none"/>
                <w:lang w:val="en-US" w:eastAsia="zh-CN"/>
              </w:rPr>
              <w:t>元，专家评审费另计（最终以实际发生为准</w:t>
            </w:r>
            <w:r>
              <w:rPr>
                <w:rFonts w:hint="eastAsia" w:ascii="宋体" w:hAnsi="宋体" w:cs="宋体"/>
                <w:color w:val="auto"/>
                <w:kern w:val="0"/>
                <w:sz w:val="21"/>
                <w:szCs w:val="21"/>
                <w:highlight w:val="none"/>
                <w:lang w:val="en-US" w:eastAsia="zh-CN"/>
              </w:rPr>
              <w:t>，约1240元</w:t>
            </w:r>
            <w:r>
              <w:rPr>
                <w:rFonts w:hint="eastAsia" w:ascii="宋体" w:hAnsi="宋体" w:eastAsia="宋体" w:cs="宋体"/>
                <w:color w:val="auto"/>
                <w:kern w:val="0"/>
                <w:sz w:val="21"/>
                <w:szCs w:val="21"/>
                <w:highlight w:val="none"/>
                <w:lang w:val="en-US" w:eastAsia="zh-CN"/>
              </w:rPr>
              <w:t>），中标单位在领取中标通知书前一次性支付给代理公司</w:t>
            </w:r>
            <w:r>
              <w:rPr>
                <w:rFonts w:hint="eastAsia" w:ascii="宋体" w:hAnsi="宋体" w:eastAsia="宋体" w:cs="宋体"/>
                <w:b/>
                <w:bCs/>
                <w:color w:val="auto"/>
                <w:kern w:val="0"/>
                <w:sz w:val="21"/>
                <w:szCs w:val="21"/>
                <w:highlight w:val="none"/>
                <w:lang w:val="en-US" w:eastAsia="zh-CN"/>
              </w:rPr>
              <w:t>。</w:t>
            </w:r>
          </w:p>
        </w:tc>
      </w:tr>
      <w:tr w14:paraId="6C5E33CA">
        <w:tblPrEx>
          <w:tblCellMar>
            <w:top w:w="0" w:type="dxa"/>
            <w:left w:w="0" w:type="dxa"/>
            <w:bottom w:w="0" w:type="dxa"/>
            <w:right w:w="0" w:type="dxa"/>
          </w:tblCellMar>
        </w:tblPrEx>
        <w:trPr>
          <w:trHeight w:val="167" w:hRule="atLeast"/>
        </w:trPr>
        <w:tc>
          <w:tcPr>
            <w:tcW w:w="2385" w:type="dxa"/>
            <w:gridSpan w:val="2"/>
            <w:tcBorders>
              <w:top w:val="single" w:color="auto" w:sz="8" w:space="0"/>
              <w:left w:val="single" w:color="auto" w:sz="8" w:space="0"/>
              <w:bottom w:val="single" w:color="auto" w:sz="8" w:space="0"/>
              <w:right w:val="single" w:color="auto" w:sz="4" w:space="0"/>
            </w:tcBorders>
            <w:vAlign w:val="center"/>
          </w:tcPr>
          <w:p w14:paraId="7DBB6D63">
            <w:pPr>
              <w:keepNext w:val="0"/>
              <w:keepLines w:val="0"/>
              <w:pageBreakBefore w:val="0"/>
              <w:widowControl/>
              <w:kinsoku/>
              <w:overflowPunct/>
              <w:topLinePunct w:val="0"/>
              <w:autoSpaceDE/>
              <w:autoSpaceDN/>
              <w:bidi w:val="0"/>
              <w:spacing w:line="480" w:lineRule="exact"/>
              <w:jc w:val="center"/>
              <w:textAlignment w:val="auto"/>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color w:val="auto"/>
                <w:sz w:val="21"/>
                <w:szCs w:val="21"/>
                <w:highlight w:val="none"/>
              </w:rPr>
              <w:t>评标过程中的澄清、说明或补正</w:t>
            </w:r>
          </w:p>
        </w:tc>
        <w:tc>
          <w:tcPr>
            <w:tcW w:w="7203" w:type="dxa"/>
            <w:tcBorders>
              <w:top w:val="single" w:color="auto" w:sz="8" w:space="0"/>
              <w:left w:val="single" w:color="auto" w:sz="4" w:space="0"/>
              <w:bottom w:val="single" w:color="auto" w:sz="8" w:space="0"/>
              <w:right w:val="single" w:color="auto" w:sz="8" w:space="0"/>
            </w:tcBorders>
            <w:vAlign w:val="center"/>
          </w:tcPr>
          <w:p w14:paraId="22C167F8">
            <w:pPr>
              <w:keepNext w:val="0"/>
              <w:keepLines w:val="0"/>
              <w:pageBreakBefore w:val="0"/>
              <w:widowControl/>
              <w:kinsoku/>
              <w:wordWrap/>
              <w:overflowPunct/>
              <w:topLinePunct w:val="0"/>
              <w:autoSpaceDE/>
              <w:autoSpaceDN/>
              <w:bidi w:val="0"/>
              <w:adjustRightInd/>
              <w:snapToGrid/>
              <w:spacing w:line="440" w:lineRule="exact"/>
              <w:ind w:left="57"/>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rPr>
              <w:t>1</w:t>
            </w:r>
            <w:r>
              <w:rPr>
                <w:rFonts w:hint="eastAsia" w:ascii="宋体" w:hAnsi="宋体" w:eastAsia="宋体" w:cs="宋体"/>
                <w:color w:val="auto"/>
                <w:sz w:val="21"/>
                <w:szCs w:val="21"/>
                <w:highlight w:val="none"/>
              </w:rPr>
              <w:t>）评标委员会通过</w:t>
            </w:r>
            <w:r>
              <w:rPr>
                <w:rFonts w:hint="eastAsia" w:ascii="宋体" w:hAnsi="宋体" w:eastAsia="宋体" w:cs="宋体"/>
                <w:color w:val="auto"/>
                <w:sz w:val="21"/>
                <w:szCs w:val="21"/>
                <w:highlight w:val="none"/>
                <w:lang w:val="en-US"/>
              </w:rPr>
              <w:t>网上招投标</w:t>
            </w:r>
            <w:r>
              <w:rPr>
                <w:rFonts w:hint="eastAsia" w:ascii="宋体" w:hAnsi="宋体" w:eastAsia="宋体" w:cs="宋体"/>
                <w:color w:val="auto"/>
                <w:sz w:val="21"/>
                <w:szCs w:val="21"/>
                <w:highlight w:val="none"/>
              </w:rPr>
              <w:t>系统将需要澄清、说明或补正的内容以询标函的形式发送给投标人，投标人应安排专人登录</w:t>
            </w:r>
            <w:r>
              <w:rPr>
                <w:rFonts w:hint="eastAsia" w:ascii="宋体" w:hAnsi="宋体" w:eastAsia="宋体" w:cs="宋体"/>
                <w:color w:val="auto"/>
                <w:sz w:val="21"/>
                <w:szCs w:val="21"/>
                <w:highlight w:val="none"/>
                <w:lang w:val="en-US"/>
              </w:rPr>
              <w:t>网上招投标</w:t>
            </w:r>
            <w:r>
              <w:rPr>
                <w:rFonts w:hint="eastAsia" w:ascii="宋体" w:hAnsi="宋体" w:eastAsia="宋体" w:cs="宋体"/>
                <w:color w:val="auto"/>
                <w:sz w:val="21"/>
                <w:szCs w:val="21"/>
                <w:highlight w:val="none"/>
              </w:rPr>
              <w:t>系统并保持在线状态，以便及时接收评标委员会可能发出的询标函。</w:t>
            </w:r>
          </w:p>
          <w:p w14:paraId="6C77080F">
            <w:pPr>
              <w:keepNext w:val="0"/>
              <w:keepLines w:val="0"/>
              <w:pageBreakBefore w:val="0"/>
              <w:widowControl/>
              <w:kinsoku/>
              <w:wordWrap/>
              <w:overflowPunct/>
              <w:topLinePunct w:val="0"/>
              <w:autoSpaceDE/>
              <w:autoSpaceDN/>
              <w:bidi w:val="0"/>
              <w:adjustRightInd/>
              <w:snapToGrid/>
              <w:spacing w:line="440" w:lineRule="exact"/>
              <w:ind w:left="57"/>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rPr>
              <w:t>2</w:t>
            </w:r>
            <w:r>
              <w:rPr>
                <w:rFonts w:hint="eastAsia" w:ascii="宋体" w:hAnsi="宋体" w:eastAsia="宋体" w:cs="宋体"/>
                <w:color w:val="auto"/>
                <w:sz w:val="21"/>
                <w:szCs w:val="21"/>
                <w:highlight w:val="none"/>
              </w:rPr>
              <w:t>）因投标人未登录</w:t>
            </w:r>
            <w:r>
              <w:rPr>
                <w:rFonts w:hint="eastAsia" w:ascii="宋体" w:hAnsi="宋体" w:eastAsia="宋体" w:cs="宋体"/>
                <w:color w:val="auto"/>
                <w:sz w:val="21"/>
                <w:szCs w:val="21"/>
                <w:highlight w:val="none"/>
                <w:lang w:val="en-US"/>
              </w:rPr>
              <w:t>网上招投标</w:t>
            </w:r>
            <w:r>
              <w:rPr>
                <w:rFonts w:hint="eastAsia" w:ascii="宋体" w:hAnsi="宋体" w:eastAsia="宋体" w:cs="宋体"/>
                <w:color w:val="auto"/>
                <w:sz w:val="21"/>
                <w:szCs w:val="21"/>
                <w:highlight w:val="none"/>
              </w:rPr>
              <w:t>系统导致无法及时接收询标函（远程网上询标）或未在规定时间内按评标委员会要求进行澄清、说明或补正内容的视同投标人放弃澄清、说明或补正内容的权利，评标委员会可按对投标人不利的解释进行判定。</w:t>
            </w:r>
          </w:p>
        </w:tc>
      </w:tr>
      <w:tr w14:paraId="2410C0F2">
        <w:tblPrEx>
          <w:tblCellMar>
            <w:top w:w="0" w:type="dxa"/>
            <w:left w:w="0" w:type="dxa"/>
            <w:bottom w:w="0" w:type="dxa"/>
            <w:right w:w="0" w:type="dxa"/>
          </w:tblCellMar>
        </w:tblPrEx>
        <w:trPr>
          <w:trHeight w:val="167" w:hRule="atLeast"/>
        </w:trPr>
        <w:tc>
          <w:tcPr>
            <w:tcW w:w="2385" w:type="dxa"/>
            <w:gridSpan w:val="2"/>
            <w:tcBorders>
              <w:top w:val="single" w:color="auto" w:sz="8" w:space="0"/>
              <w:left w:val="single" w:color="auto" w:sz="8" w:space="0"/>
              <w:bottom w:val="single" w:color="auto" w:sz="8" w:space="0"/>
              <w:right w:val="single" w:color="auto" w:sz="4" w:space="0"/>
            </w:tcBorders>
            <w:vAlign w:val="center"/>
          </w:tcPr>
          <w:p w14:paraId="7705F4D2">
            <w:pPr>
              <w:keepNext w:val="0"/>
              <w:keepLines w:val="0"/>
              <w:pageBreakBefore w:val="0"/>
              <w:widowControl/>
              <w:kinsoku/>
              <w:overflowPunct/>
              <w:topLinePunct w:val="0"/>
              <w:autoSpaceDE/>
              <w:autoSpaceDN/>
              <w:bidi w:val="0"/>
              <w:spacing w:line="480" w:lineRule="exact"/>
              <w:jc w:val="center"/>
              <w:textAlignment w:val="auto"/>
              <w:rPr>
                <w:rFonts w:hint="eastAsia" w:ascii="宋体" w:hAnsi="宋体" w:eastAsia="宋体" w:cs="宋体"/>
                <w:color w:val="auto"/>
                <w:sz w:val="21"/>
                <w:szCs w:val="21"/>
                <w:highlight w:val="none"/>
              </w:rPr>
            </w:pPr>
            <w:bookmarkStart w:id="42" w:name="_Toc13663"/>
            <w:bookmarkStart w:id="43" w:name="_Toc515"/>
            <w:r>
              <w:rPr>
                <w:rFonts w:hint="eastAsia" w:ascii="宋体" w:hAnsi="宋体" w:eastAsia="宋体" w:cs="宋体"/>
                <w:color w:val="auto"/>
                <w:sz w:val="21"/>
                <w:szCs w:val="21"/>
                <w:highlight w:val="none"/>
              </w:rPr>
              <w:t>解释权</w:t>
            </w:r>
          </w:p>
        </w:tc>
        <w:tc>
          <w:tcPr>
            <w:tcW w:w="7203" w:type="dxa"/>
            <w:tcBorders>
              <w:top w:val="single" w:color="auto" w:sz="8" w:space="0"/>
              <w:left w:val="single" w:color="auto" w:sz="4" w:space="0"/>
              <w:bottom w:val="single" w:color="auto" w:sz="8" w:space="0"/>
              <w:right w:val="single" w:color="auto" w:sz="8" w:space="0"/>
            </w:tcBorders>
            <w:vAlign w:val="center"/>
          </w:tcPr>
          <w:p w14:paraId="742D0067">
            <w:pPr>
              <w:keepNext w:val="0"/>
              <w:keepLines w:val="0"/>
              <w:pageBreakBefore w:val="0"/>
              <w:widowControl/>
              <w:kinsoku/>
              <w:wordWrap/>
              <w:overflowPunct/>
              <w:topLinePunct w:val="0"/>
              <w:autoSpaceDE/>
              <w:autoSpaceDN/>
              <w:bidi w:val="0"/>
              <w:adjustRightInd/>
              <w:snapToGrid/>
              <w:spacing w:line="440" w:lineRule="exact"/>
              <w:ind w:left="57"/>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1、构成本招标文件的各个组成文件应互为解释，互为说明；</w:t>
            </w:r>
          </w:p>
          <w:p w14:paraId="7558CB5B">
            <w:pPr>
              <w:keepNext w:val="0"/>
              <w:keepLines w:val="0"/>
              <w:pageBreakBefore w:val="0"/>
              <w:widowControl/>
              <w:kinsoku/>
              <w:wordWrap/>
              <w:overflowPunct/>
              <w:topLinePunct w:val="0"/>
              <w:autoSpaceDE/>
              <w:autoSpaceDN/>
              <w:bidi w:val="0"/>
              <w:adjustRightInd/>
              <w:snapToGrid/>
              <w:spacing w:line="440" w:lineRule="exact"/>
              <w:ind w:left="57"/>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2、同一组成文件中就同一事项的规定或约定不一致的，以编排顺序在后者为准；</w:t>
            </w:r>
          </w:p>
          <w:p w14:paraId="12A1C4B2">
            <w:pPr>
              <w:keepNext w:val="0"/>
              <w:keepLines w:val="0"/>
              <w:pageBreakBefore w:val="0"/>
              <w:widowControl/>
              <w:kinsoku/>
              <w:wordWrap/>
              <w:overflowPunct/>
              <w:topLinePunct w:val="0"/>
              <w:autoSpaceDE/>
              <w:autoSpaceDN/>
              <w:bidi w:val="0"/>
              <w:adjustRightInd/>
              <w:snapToGrid/>
              <w:spacing w:line="440" w:lineRule="exact"/>
              <w:ind w:left="57"/>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3、如有不明确或不一致，构成合同文件组成内容的，以合同文件约定内容为准，且以专用合同条款约定的合同文件优先顺序解释；</w:t>
            </w:r>
          </w:p>
          <w:p w14:paraId="166A876D">
            <w:pPr>
              <w:keepNext w:val="0"/>
              <w:keepLines w:val="0"/>
              <w:pageBreakBefore w:val="0"/>
              <w:widowControl/>
              <w:kinsoku/>
              <w:wordWrap/>
              <w:overflowPunct/>
              <w:topLinePunct w:val="0"/>
              <w:autoSpaceDE/>
              <w:autoSpaceDN/>
              <w:bidi w:val="0"/>
              <w:adjustRightInd/>
              <w:snapToGrid/>
              <w:spacing w:line="440" w:lineRule="exact"/>
              <w:ind w:left="57"/>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4、系统中提供的表格（或格式文件）与招标文件中不一致时，以招标文件中提供的为准；</w:t>
            </w:r>
          </w:p>
          <w:p w14:paraId="4FAE2F1B">
            <w:pPr>
              <w:keepNext w:val="0"/>
              <w:keepLines w:val="0"/>
              <w:pageBreakBefore w:val="0"/>
              <w:widowControl/>
              <w:kinsoku/>
              <w:wordWrap/>
              <w:overflowPunct/>
              <w:topLinePunct w:val="0"/>
              <w:autoSpaceDE/>
              <w:autoSpaceDN/>
              <w:bidi w:val="0"/>
              <w:adjustRightInd/>
              <w:snapToGrid/>
              <w:spacing w:line="440" w:lineRule="exact"/>
              <w:ind w:left="57"/>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5、按本款前述规定仍不能形成结论的，由招标人负责解释。</w:t>
            </w:r>
          </w:p>
        </w:tc>
      </w:tr>
    </w:tbl>
    <w:p w14:paraId="768D0C63">
      <w:pPr>
        <w:pStyle w:val="44"/>
        <w:rPr>
          <w:rFonts w:hint="eastAsia"/>
          <w:color w:val="auto"/>
          <w:highlight w:val="none"/>
        </w:rPr>
      </w:pPr>
    </w:p>
    <w:p w14:paraId="5115A68F">
      <w:pPr>
        <w:pStyle w:val="44"/>
        <w:rPr>
          <w:rFonts w:hint="eastAsia"/>
          <w:color w:val="auto"/>
          <w:highlight w:val="none"/>
        </w:rPr>
      </w:pPr>
    </w:p>
    <w:p w14:paraId="4F1B10CE">
      <w:pPr>
        <w:keepNext w:val="0"/>
        <w:keepLines w:val="0"/>
        <w:pageBreakBefore w:val="0"/>
        <w:widowControl w:val="0"/>
        <w:kinsoku/>
        <w:wordWrap/>
        <w:overflowPunct/>
        <w:topLinePunct w:val="0"/>
        <w:autoSpaceDE/>
        <w:autoSpaceDN/>
        <w:bidi w:val="0"/>
        <w:adjustRightInd/>
        <w:snapToGrid/>
        <w:spacing w:before="313" w:beforeLines="100" w:line="400" w:lineRule="exact"/>
        <w:jc w:val="center"/>
        <w:textAlignment w:val="auto"/>
        <w:outlineLvl w:val="1"/>
        <w:rPr>
          <w:rFonts w:hint="eastAsia" w:ascii="宋体" w:hAnsi="宋体" w:eastAsia="宋体" w:cs="宋体"/>
          <w:b/>
          <w:bCs/>
          <w:color w:val="auto"/>
          <w:sz w:val="28"/>
          <w:highlight w:val="none"/>
        </w:rPr>
      </w:pPr>
    </w:p>
    <w:p w14:paraId="727A26BE">
      <w:pPr>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br w:type="page"/>
      </w:r>
    </w:p>
    <w:p w14:paraId="6094F76D">
      <w:pPr>
        <w:keepNext w:val="0"/>
        <w:keepLines w:val="0"/>
        <w:pageBreakBefore w:val="0"/>
        <w:widowControl w:val="0"/>
        <w:kinsoku/>
        <w:wordWrap/>
        <w:overflowPunct/>
        <w:topLinePunct w:val="0"/>
        <w:autoSpaceDE/>
        <w:autoSpaceDN/>
        <w:bidi w:val="0"/>
        <w:adjustRightInd/>
        <w:snapToGrid/>
        <w:spacing w:before="313" w:beforeLines="100" w:line="400" w:lineRule="exact"/>
        <w:jc w:val="center"/>
        <w:textAlignment w:val="auto"/>
        <w:outlineLvl w:val="1"/>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t>一、总  则</w:t>
      </w:r>
      <w:bookmarkEnd w:id="42"/>
      <w:bookmarkEnd w:id="43"/>
    </w:p>
    <w:p w14:paraId="5FB33392">
      <w:pPr>
        <w:keepNext w:val="0"/>
        <w:keepLines w:val="0"/>
        <w:pageBreakBefore w:val="0"/>
        <w:widowControl w:val="0"/>
        <w:kinsoku/>
        <w:wordWrap/>
        <w:overflowPunct/>
        <w:topLinePunct w:val="0"/>
        <w:autoSpaceDE/>
        <w:autoSpaceDN/>
        <w:bidi w:val="0"/>
        <w:adjustRightInd/>
        <w:snapToGrid/>
        <w:spacing w:line="480" w:lineRule="exact"/>
        <w:jc w:val="left"/>
        <w:textAlignment w:val="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1.工程概况</w:t>
      </w:r>
    </w:p>
    <w:p w14:paraId="53A8EFA9">
      <w:pPr>
        <w:keepNext w:val="0"/>
        <w:keepLines w:val="0"/>
        <w:pageBreakBefore w:val="0"/>
        <w:widowControl w:val="0"/>
        <w:kinsoku/>
        <w:wordWrap w:val="0"/>
        <w:overflowPunct/>
        <w:topLinePunct w:val="0"/>
        <w:autoSpaceDE/>
        <w:autoSpaceDN/>
        <w:bidi w:val="0"/>
        <w:adjustRightInd/>
        <w:snapToGrid/>
        <w:spacing w:line="480" w:lineRule="exact"/>
        <w:ind w:left="0" w:leftChars="0" w:firstLine="0" w:firstLineChars="0"/>
        <w:jc w:val="left"/>
        <w:textAlignment w:val="auto"/>
        <w:rPr>
          <w:rFonts w:hint="eastAsia" w:ascii="宋体" w:hAnsi="宋体" w:eastAsia="宋体" w:cs="宋体"/>
          <w:color w:val="auto"/>
          <w:sz w:val="21"/>
          <w:szCs w:val="21"/>
          <w:highlight w:val="none"/>
          <w:u w:val="none"/>
          <w:lang w:eastAsia="zh-CN"/>
        </w:rPr>
      </w:pPr>
      <w:r>
        <w:rPr>
          <w:rFonts w:hint="eastAsia" w:ascii="宋体" w:hAnsi="宋体" w:eastAsia="宋体" w:cs="宋体"/>
          <w:color w:val="auto"/>
          <w:sz w:val="21"/>
          <w:szCs w:val="21"/>
          <w:highlight w:val="none"/>
        </w:rPr>
        <w:t>1.1</w:t>
      </w:r>
      <w:r>
        <w:rPr>
          <w:rFonts w:hint="eastAsia" w:ascii="宋体" w:hAnsi="宋体" w:eastAsia="宋体" w:cs="宋体"/>
          <w:color w:val="auto"/>
          <w:sz w:val="21"/>
          <w:szCs w:val="21"/>
          <w:highlight w:val="none"/>
          <w:lang w:val="en-US" w:eastAsia="zh-CN"/>
        </w:rPr>
        <w:t>项目</w:t>
      </w:r>
      <w:r>
        <w:rPr>
          <w:rFonts w:hint="eastAsia" w:ascii="宋体" w:hAnsi="宋体" w:eastAsia="宋体" w:cs="宋体"/>
          <w:color w:val="auto"/>
          <w:sz w:val="21"/>
          <w:szCs w:val="21"/>
          <w:highlight w:val="none"/>
        </w:rPr>
        <w:t>名称：</w:t>
      </w:r>
      <w:r>
        <w:rPr>
          <w:rFonts w:hint="eastAsia" w:ascii="宋体" w:hAnsi="宋体" w:cs="宋体"/>
          <w:color w:val="auto"/>
          <w:sz w:val="21"/>
          <w:szCs w:val="21"/>
          <w:highlight w:val="none"/>
          <w:lang w:val="en-US" w:eastAsia="zh-CN"/>
        </w:rPr>
        <w:t>2026年公园游园设施安全整治项目跟踪审计项目</w:t>
      </w:r>
    </w:p>
    <w:p w14:paraId="26F9FD99">
      <w:pPr>
        <w:keepNext w:val="0"/>
        <w:keepLines w:val="0"/>
        <w:pageBreakBefore w:val="0"/>
        <w:widowControl w:val="0"/>
        <w:kinsoku/>
        <w:wordWrap/>
        <w:overflowPunct/>
        <w:topLinePunct w:val="0"/>
        <w:autoSpaceDE/>
        <w:autoSpaceDN/>
        <w:bidi w:val="0"/>
        <w:adjustRightInd/>
        <w:snapToGrid/>
        <w:spacing w:line="480" w:lineRule="exact"/>
        <w:ind w:left="1050" w:leftChars="0" w:hanging="1050" w:hangingChars="500"/>
        <w:jc w:val="left"/>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rPr>
        <w:t>工程地址：滁州市</w:t>
      </w:r>
      <w:r>
        <w:rPr>
          <w:rFonts w:hint="eastAsia" w:ascii="宋体" w:hAnsi="宋体" w:eastAsia="宋体" w:cs="宋体"/>
          <w:color w:val="auto"/>
          <w:sz w:val="21"/>
          <w:szCs w:val="21"/>
          <w:highlight w:val="none"/>
          <w:u w:val="none"/>
          <w:lang w:val="en-US" w:eastAsia="zh-CN"/>
        </w:rPr>
        <w:t>内</w:t>
      </w:r>
    </w:p>
    <w:p w14:paraId="4E7F6254">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1"/>
          <w:szCs w:val="21"/>
          <w:highlight w:val="none"/>
          <w:u w:val="none"/>
          <w:lang w:eastAsia="zh-CN"/>
        </w:rPr>
      </w:pPr>
      <w:r>
        <w:rPr>
          <w:rFonts w:hint="eastAsia" w:ascii="宋体" w:hAnsi="宋体" w:eastAsia="宋体" w:cs="宋体"/>
          <w:color w:val="auto"/>
          <w:sz w:val="21"/>
          <w:szCs w:val="21"/>
          <w:highlight w:val="none"/>
          <w:u w:val="none"/>
          <w:lang w:val="en-US" w:eastAsia="zh-CN"/>
        </w:rPr>
        <w:t>招标</w:t>
      </w:r>
      <w:r>
        <w:rPr>
          <w:rFonts w:hint="eastAsia" w:ascii="宋体" w:hAnsi="宋体" w:eastAsia="宋体" w:cs="宋体"/>
          <w:color w:val="auto"/>
          <w:sz w:val="21"/>
          <w:szCs w:val="21"/>
          <w:highlight w:val="none"/>
          <w:u w:val="none"/>
        </w:rPr>
        <w:t>单位：</w:t>
      </w:r>
      <w:r>
        <w:rPr>
          <w:rFonts w:hint="eastAsia" w:ascii="宋体" w:hAnsi="宋体" w:cs="宋体"/>
          <w:color w:val="auto"/>
          <w:sz w:val="21"/>
          <w:szCs w:val="21"/>
          <w:highlight w:val="none"/>
          <w:u w:val="none"/>
          <w:lang w:eastAsia="zh-CN"/>
        </w:rPr>
        <w:t>滁州市园林景观管理中心</w:t>
      </w:r>
      <w:r>
        <w:rPr>
          <w:rFonts w:hint="eastAsia" w:ascii="宋体" w:hAnsi="宋体" w:eastAsia="宋体" w:cs="宋体"/>
          <w:color w:val="auto"/>
          <w:sz w:val="21"/>
          <w:szCs w:val="21"/>
          <w:highlight w:val="none"/>
          <w:u w:val="none"/>
          <w:lang w:eastAsia="zh-CN"/>
        </w:rPr>
        <w:t xml:space="preserve"> </w:t>
      </w:r>
    </w:p>
    <w:p w14:paraId="2F9C622D">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kern w:val="0"/>
          <w:sz w:val="21"/>
          <w:szCs w:val="21"/>
          <w:highlight w:val="none"/>
          <w:u w:val="none"/>
          <w:lang w:val="en-US" w:eastAsia="zh-CN"/>
        </w:rPr>
      </w:pPr>
      <w:r>
        <w:rPr>
          <w:rFonts w:hint="eastAsia" w:ascii="宋体" w:hAnsi="宋体" w:eastAsia="宋体" w:cs="宋体"/>
          <w:color w:val="auto"/>
          <w:sz w:val="21"/>
          <w:szCs w:val="21"/>
          <w:highlight w:val="none"/>
          <w:u w:val="none"/>
        </w:rPr>
        <w:t>1.2本工程建设规模：</w:t>
      </w:r>
      <w:r>
        <w:rPr>
          <w:rFonts w:hint="eastAsia" w:ascii="宋体" w:hAnsi="宋体" w:cs="宋体"/>
          <w:color w:val="auto"/>
          <w:sz w:val="21"/>
          <w:szCs w:val="21"/>
          <w:highlight w:val="none"/>
          <w:u w:val="none"/>
          <w:lang w:val="en-US" w:eastAsia="zh-CN"/>
        </w:rPr>
        <w:t>详见前附表</w:t>
      </w:r>
      <w:r>
        <w:rPr>
          <w:rFonts w:hint="eastAsia" w:ascii="宋体" w:hAnsi="宋体" w:eastAsia="宋体" w:cs="宋体"/>
          <w:color w:val="auto"/>
          <w:kern w:val="0"/>
          <w:sz w:val="21"/>
          <w:szCs w:val="21"/>
          <w:highlight w:val="none"/>
          <w:u w:val="none"/>
          <w:lang w:val="en-US" w:eastAsia="zh-CN"/>
        </w:rPr>
        <w:t>。</w:t>
      </w:r>
    </w:p>
    <w:p w14:paraId="67586197">
      <w:pPr>
        <w:keepNext w:val="0"/>
        <w:keepLines w:val="0"/>
        <w:pageBreakBefore w:val="0"/>
        <w:widowControl w:val="0"/>
        <w:kinsoku/>
        <w:wordWrap/>
        <w:overflowPunct/>
        <w:topLinePunct w:val="0"/>
        <w:autoSpaceDE/>
        <w:autoSpaceDN/>
        <w:bidi w:val="0"/>
        <w:adjustRightInd/>
        <w:snapToGrid/>
        <w:spacing w:line="480" w:lineRule="exact"/>
        <w:jc w:val="left"/>
        <w:textAlignment w:val="auto"/>
        <w:outlineLvl w:val="2"/>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 </w:t>
      </w:r>
      <w:r>
        <w:rPr>
          <w:rFonts w:hint="eastAsia" w:ascii="宋体" w:hAnsi="宋体" w:cs="宋体"/>
          <w:color w:val="auto"/>
          <w:sz w:val="21"/>
          <w:szCs w:val="21"/>
          <w:highlight w:val="none"/>
          <w:lang w:val="en-US" w:eastAsia="zh-CN"/>
        </w:rPr>
        <w:t>服务需求</w:t>
      </w:r>
    </w:p>
    <w:p w14:paraId="67DEE0C4">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w:t>
      </w:r>
      <w:r>
        <w:rPr>
          <w:rFonts w:hint="eastAsia" w:ascii="宋体" w:hAnsi="宋体" w:eastAsia="宋体" w:cs="宋体"/>
          <w:color w:val="auto"/>
          <w:sz w:val="21"/>
          <w:szCs w:val="21"/>
          <w:highlight w:val="none"/>
          <w:lang w:val="en-US" w:eastAsia="zh-CN"/>
        </w:rPr>
        <w:t>详见《</w:t>
      </w:r>
      <w:r>
        <w:rPr>
          <w:rFonts w:hint="eastAsia" w:ascii="宋体" w:hAnsi="宋体" w:cs="宋体"/>
          <w:color w:val="auto"/>
          <w:sz w:val="21"/>
          <w:szCs w:val="21"/>
          <w:highlight w:val="none"/>
          <w:lang w:val="en-US" w:eastAsia="zh-CN"/>
        </w:rPr>
        <w:t>投标人须知</w:t>
      </w:r>
      <w:r>
        <w:rPr>
          <w:rFonts w:hint="eastAsia" w:ascii="宋体" w:hAnsi="宋体" w:eastAsia="宋体" w:cs="宋体"/>
          <w:color w:val="auto"/>
          <w:sz w:val="21"/>
          <w:szCs w:val="21"/>
          <w:highlight w:val="none"/>
          <w:lang w:val="en-US" w:eastAsia="zh-CN"/>
        </w:rPr>
        <w:t>前附表》要求</w:t>
      </w:r>
    </w:p>
    <w:p w14:paraId="40FE54FE">
      <w:pPr>
        <w:keepNext w:val="0"/>
        <w:keepLines w:val="0"/>
        <w:pageBreakBefore w:val="0"/>
        <w:widowControl w:val="0"/>
        <w:kinsoku/>
        <w:wordWrap/>
        <w:overflowPunct/>
        <w:topLinePunct w:val="0"/>
        <w:autoSpaceDE/>
        <w:autoSpaceDN/>
        <w:bidi w:val="0"/>
        <w:adjustRightInd/>
        <w:snapToGrid/>
        <w:spacing w:line="480" w:lineRule="exact"/>
        <w:jc w:val="left"/>
        <w:textAlignment w:val="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3.承包方式</w:t>
      </w:r>
    </w:p>
    <w:p w14:paraId="7F965071">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3.1承包方式：</w:t>
      </w:r>
      <w:r>
        <w:rPr>
          <w:rFonts w:hint="eastAsia" w:ascii="宋体" w:hAnsi="宋体" w:eastAsia="宋体" w:cs="宋体"/>
          <w:color w:val="auto"/>
          <w:sz w:val="21"/>
          <w:szCs w:val="21"/>
          <w:highlight w:val="none"/>
          <w:lang w:val="en-US" w:eastAsia="zh-CN"/>
        </w:rPr>
        <w:t>固定</w:t>
      </w:r>
      <w:r>
        <w:rPr>
          <w:rFonts w:hint="eastAsia" w:ascii="宋体" w:hAnsi="宋体" w:cs="宋体"/>
          <w:color w:val="auto"/>
          <w:sz w:val="21"/>
          <w:szCs w:val="21"/>
          <w:highlight w:val="none"/>
          <w:lang w:val="en-US" w:eastAsia="zh-CN"/>
        </w:rPr>
        <w:t>费率</w:t>
      </w:r>
      <w:r>
        <w:rPr>
          <w:rFonts w:hint="eastAsia" w:ascii="宋体" w:hAnsi="宋体" w:eastAsia="宋体" w:cs="宋体"/>
          <w:color w:val="auto"/>
          <w:sz w:val="21"/>
          <w:szCs w:val="21"/>
          <w:highlight w:val="none"/>
        </w:rPr>
        <w:t>。</w:t>
      </w:r>
    </w:p>
    <w:p w14:paraId="06FDAF9B">
      <w:pPr>
        <w:keepNext w:val="0"/>
        <w:keepLines w:val="0"/>
        <w:pageBreakBefore w:val="0"/>
        <w:widowControl w:val="0"/>
        <w:kinsoku/>
        <w:wordWrap/>
        <w:overflowPunct/>
        <w:topLinePunct w:val="0"/>
        <w:autoSpaceDE/>
        <w:autoSpaceDN/>
        <w:bidi w:val="0"/>
        <w:adjustRightInd/>
        <w:snapToGrid/>
        <w:spacing w:line="480" w:lineRule="exact"/>
        <w:jc w:val="left"/>
        <w:textAlignment w:val="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cs="宋体"/>
          <w:color w:val="auto"/>
          <w:sz w:val="21"/>
          <w:szCs w:val="21"/>
          <w:highlight w:val="none"/>
          <w:lang w:val="en-US" w:eastAsia="zh-CN"/>
        </w:rPr>
        <w:t>服务期</w:t>
      </w:r>
      <w:r>
        <w:rPr>
          <w:rFonts w:hint="eastAsia" w:ascii="宋体" w:hAnsi="宋体" w:eastAsia="宋体" w:cs="宋体"/>
          <w:color w:val="auto"/>
          <w:sz w:val="21"/>
          <w:szCs w:val="21"/>
          <w:highlight w:val="none"/>
        </w:rPr>
        <w:t>要求</w:t>
      </w:r>
    </w:p>
    <w:p w14:paraId="2E0A7DF4">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4.1</w:t>
      </w:r>
      <w:r>
        <w:rPr>
          <w:rFonts w:hint="eastAsia" w:ascii="宋体" w:hAnsi="宋体" w:cs="宋体"/>
          <w:color w:val="auto"/>
          <w:sz w:val="21"/>
          <w:szCs w:val="21"/>
          <w:highlight w:val="none"/>
          <w:lang w:val="en-US" w:eastAsia="zh-CN"/>
        </w:rPr>
        <w:t>服务期</w:t>
      </w:r>
      <w:r>
        <w:rPr>
          <w:rFonts w:hint="eastAsia" w:ascii="宋体" w:hAnsi="宋体" w:eastAsia="宋体" w:cs="宋体"/>
          <w:color w:val="auto"/>
          <w:sz w:val="21"/>
          <w:szCs w:val="21"/>
          <w:highlight w:val="none"/>
        </w:rPr>
        <w:t>要求</w:t>
      </w:r>
      <w:r>
        <w:rPr>
          <w:rFonts w:hint="eastAsia" w:ascii="宋体" w:hAnsi="宋体" w:eastAsia="宋体" w:cs="宋体"/>
          <w:color w:val="auto"/>
          <w:kern w:val="0"/>
          <w:sz w:val="21"/>
          <w:szCs w:val="21"/>
          <w:highlight w:val="none"/>
        </w:rPr>
        <w:t>：</w:t>
      </w:r>
      <w:r>
        <w:rPr>
          <w:rFonts w:hint="eastAsia" w:ascii="宋体" w:hAnsi="宋体" w:eastAsia="宋体" w:cs="宋体"/>
          <w:color w:val="auto"/>
          <w:sz w:val="21"/>
          <w:szCs w:val="21"/>
          <w:highlight w:val="none"/>
          <w:lang w:val="en-US" w:eastAsia="zh-CN"/>
        </w:rPr>
        <w:t>详见《</w:t>
      </w:r>
      <w:r>
        <w:rPr>
          <w:rFonts w:hint="eastAsia" w:ascii="宋体" w:hAnsi="宋体" w:cs="宋体"/>
          <w:color w:val="auto"/>
          <w:sz w:val="21"/>
          <w:szCs w:val="21"/>
          <w:highlight w:val="none"/>
          <w:lang w:val="en-US" w:eastAsia="zh-CN"/>
        </w:rPr>
        <w:t>投标人须知</w:t>
      </w:r>
      <w:r>
        <w:rPr>
          <w:rFonts w:hint="eastAsia" w:ascii="宋体" w:hAnsi="宋体" w:eastAsia="宋体" w:cs="宋体"/>
          <w:color w:val="auto"/>
          <w:sz w:val="21"/>
          <w:szCs w:val="21"/>
          <w:highlight w:val="none"/>
          <w:lang w:val="en-US" w:eastAsia="zh-CN"/>
        </w:rPr>
        <w:t>前附表》要求</w:t>
      </w:r>
      <w:r>
        <w:rPr>
          <w:rFonts w:hint="eastAsia" w:ascii="宋体" w:hAnsi="宋体" w:eastAsia="宋体" w:cs="宋体"/>
          <w:color w:val="auto"/>
          <w:kern w:val="0"/>
          <w:sz w:val="21"/>
          <w:szCs w:val="21"/>
          <w:highlight w:val="none"/>
        </w:rPr>
        <w:t>。</w:t>
      </w:r>
    </w:p>
    <w:p w14:paraId="0BCBF344">
      <w:pPr>
        <w:keepNext w:val="0"/>
        <w:keepLines w:val="0"/>
        <w:pageBreakBefore w:val="0"/>
        <w:widowControl w:val="0"/>
        <w:kinsoku/>
        <w:wordWrap/>
        <w:overflowPunct/>
        <w:topLinePunct w:val="0"/>
        <w:autoSpaceDE/>
        <w:autoSpaceDN/>
        <w:bidi w:val="0"/>
        <w:adjustRightInd/>
        <w:snapToGrid/>
        <w:spacing w:line="480" w:lineRule="exact"/>
        <w:textAlignment w:val="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5.质量要求</w:t>
      </w:r>
    </w:p>
    <w:p w14:paraId="4592EB5D">
      <w:pPr>
        <w:keepNext w:val="0"/>
        <w:keepLines w:val="0"/>
        <w:pageBreakBefore w:val="0"/>
        <w:widowControl w:val="0"/>
        <w:kinsoku/>
        <w:wordWrap/>
        <w:overflowPunct/>
        <w:topLinePunct w:val="0"/>
        <w:autoSpaceDE/>
        <w:autoSpaceDN/>
        <w:bidi w:val="0"/>
        <w:adjustRightInd/>
        <w:snapToGrid/>
        <w:spacing w:line="480" w:lineRule="exact"/>
        <w:textAlignment w:val="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w:t>
      </w:r>
      <w:r>
        <w:rPr>
          <w:rFonts w:hint="eastAsia" w:ascii="宋体" w:hAnsi="宋体" w:eastAsia="宋体" w:cs="宋体"/>
          <w:color w:val="auto"/>
          <w:sz w:val="21"/>
          <w:szCs w:val="21"/>
          <w:highlight w:val="none"/>
          <w:lang w:val="en-US" w:eastAsia="zh-CN"/>
        </w:rPr>
        <w:t>详见《</w:t>
      </w:r>
      <w:r>
        <w:rPr>
          <w:rFonts w:hint="eastAsia" w:ascii="宋体" w:hAnsi="宋体" w:cs="宋体"/>
          <w:color w:val="auto"/>
          <w:sz w:val="21"/>
          <w:szCs w:val="21"/>
          <w:highlight w:val="none"/>
          <w:lang w:val="en-US" w:eastAsia="zh-CN"/>
        </w:rPr>
        <w:t>投标人须知</w:t>
      </w:r>
      <w:r>
        <w:rPr>
          <w:rFonts w:hint="eastAsia" w:ascii="宋体" w:hAnsi="宋体" w:eastAsia="宋体" w:cs="宋体"/>
          <w:color w:val="auto"/>
          <w:sz w:val="21"/>
          <w:szCs w:val="21"/>
          <w:highlight w:val="none"/>
          <w:lang w:val="en-US" w:eastAsia="zh-CN"/>
        </w:rPr>
        <w:t>前附表》要求</w:t>
      </w:r>
      <w:r>
        <w:rPr>
          <w:rFonts w:hint="eastAsia" w:ascii="宋体" w:hAnsi="宋体" w:eastAsia="宋体" w:cs="宋体"/>
          <w:color w:val="auto"/>
          <w:sz w:val="21"/>
          <w:szCs w:val="21"/>
          <w:highlight w:val="none"/>
        </w:rPr>
        <w:t>。</w:t>
      </w:r>
    </w:p>
    <w:p w14:paraId="796160D6">
      <w:pPr>
        <w:keepNext w:val="0"/>
        <w:keepLines w:val="0"/>
        <w:pageBreakBefore w:val="0"/>
        <w:widowControl w:val="0"/>
        <w:kinsoku/>
        <w:wordWrap/>
        <w:overflowPunct/>
        <w:topLinePunct w:val="0"/>
        <w:autoSpaceDE/>
        <w:autoSpaceDN/>
        <w:bidi w:val="0"/>
        <w:adjustRightInd/>
        <w:snapToGrid/>
        <w:spacing w:line="480" w:lineRule="exact"/>
        <w:jc w:val="left"/>
        <w:textAlignment w:val="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6.投标人资质等级要求</w:t>
      </w:r>
    </w:p>
    <w:p w14:paraId="1DAD49D1">
      <w:pPr>
        <w:keepNext w:val="0"/>
        <w:keepLines w:val="0"/>
        <w:pageBreakBefore w:val="0"/>
        <w:widowControl w:val="0"/>
        <w:kinsoku/>
        <w:wordWrap/>
        <w:overflowPunct/>
        <w:topLinePunct w:val="0"/>
        <w:autoSpaceDE/>
        <w:autoSpaceDN/>
        <w:bidi w:val="0"/>
        <w:adjustRightInd/>
        <w:snapToGrid/>
        <w:spacing w:line="480" w:lineRule="exact"/>
        <w:jc w:val="left"/>
        <w:textAlignment w:val="auto"/>
        <w:outlineLvl w:val="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w:t>
      </w:r>
      <w:r>
        <w:rPr>
          <w:rFonts w:hint="eastAsia" w:ascii="宋体" w:hAnsi="宋体" w:cs="宋体"/>
          <w:color w:val="auto"/>
          <w:sz w:val="21"/>
          <w:szCs w:val="21"/>
          <w:highlight w:val="none"/>
          <w:lang w:val="en-US" w:eastAsia="zh-CN"/>
        </w:rPr>
        <w:t>投标人须知</w:t>
      </w:r>
      <w:r>
        <w:rPr>
          <w:rFonts w:hint="eastAsia" w:ascii="宋体" w:hAnsi="宋体" w:eastAsia="宋体" w:cs="宋体"/>
          <w:color w:val="auto"/>
          <w:sz w:val="21"/>
          <w:szCs w:val="21"/>
          <w:highlight w:val="none"/>
          <w:lang w:val="en-US" w:eastAsia="zh-CN"/>
        </w:rPr>
        <w:t>前附表》要求。</w:t>
      </w:r>
    </w:p>
    <w:p w14:paraId="788E0003">
      <w:pPr>
        <w:keepNext w:val="0"/>
        <w:keepLines w:val="0"/>
        <w:pageBreakBefore w:val="0"/>
        <w:widowControl w:val="0"/>
        <w:kinsoku/>
        <w:wordWrap/>
        <w:overflowPunct/>
        <w:topLinePunct w:val="0"/>
        <w:autoSpaceDE/>
        <w:autoSpaceDN/>
        <w:bidi w:val="0"/>
        <w:adjustRightInd/>
        <w:snapToGrid/>
        <w:spacing w:line="480" w:lineRule="exact"/>
        <w:jc w:val="left"/>
        <w:textAlignment w:val="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7.资金来源</w:t>
      </w:r>
    </w:p>
    <w:p w14:paraId="04B3D660">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7.1资金来源：</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财政</w:t>
      </w:r>
      <w:r>
        <w:rPr>
          <w:rFonts w:hint="eastAsia" w:ascii="宋体" w:hAnsi="宋体" w:eastAsia="宋体" w:cs="宋体"/>
          <w:color w:val="auto"/>
          <w:sz w:val="21"/>
          <w:szCs w:val="21"/>
          <w:highlight w:val="none"/>
          <w:u w:val="single"/>
        </w:rPr>
        <w:t xml:space="preserve">资金 </w:t>
      </w:r>
      <w:r>
        <w:rPr>
          <w:rFonts w:hint="eastAsia" w:ascii="宋体" w:hAnsi="宋体" w:eastAsia="宋体" w:cs="宋体"/>
          <w:color w:val="auto"/>
          <w:sz w:val="21"/>
          <w:szCs w:val="21"/>
          <w:highlight w:val="none"/>
        </w:rPr>
        <w:t>；资金已落实。</w:t>
      </w:r>
    </w:p>
    <w:p w14:paraId="16562C86">
      <w:pPr>
        <w:keepNext w:val="0"/>
        <w:keepLines w:val="0"/>
        <w:pageBreakBefore w:val="0"/>
        <w:widowControl w:val="0"/>
        <w:kinsoku/>
        <w:wordWrap/>
        <w:overflowPunct/>
        <w:topLinePunct w:val="0"/>
        <w:autoSpaceDE/>
        <w:autoSpaceDN/>
        <w:bidi w:val="0"/>
        <w:adjustRightInd/>
        <w:snapToGrid/>
        <w:spacing w:line="480" w:lineRule="exact"/>
        <w:jc w:val="left"/>
        <w:textAlignment w:val="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8.标段划分</w:t>
      </w:r>
    </w:p>
    <w:p w14:paraId="2EB90A2C">
      <w:pPr>
        <w:keepNext w:val="0"/>
        <w:keepLines w:val="0"/>
        <w:pageBreakBefore w:val="0"/>
        <w:widowControl w:val="0"/>
        <w:kinsoku/>
        <w:wordWrap/>
        <w:overflowPunct/>
        <w:topLinePunct w:val="0"/>
        <w:autoSpaceDE/>
        <w:autoSpaceDN/>
        <w:bidi w:val="0"/>
        <w:adjustRightInd/>
        <w:snapToGrid/>
        <w:spacing w:line="480" w:lineRule="exact"/>
        <w:ind w:right="-155" w:rightChars="-74"/>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8.1该工程划分：</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1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个标段  </w:t>
      </w:r>
    </w:p>
    <w:p w14:paraId="084D1B0F">
      <w:pPr>
        <w:keepNext w:val="0"/>
        <w:keepLines w:val="0"/>
        <w:pageBreakBefore w:val="0"/>
        <w:widowControl w:val="0"/>
        <w:kinsoku/>
        <w:wordWrap/>
        <w:overflowPunct/>
        <w:topLinePunct w:val="0"/>
        <w:autoSpaceDE/>
        <w:autoSpaceDN/>
        <w:bidi w:val="0"/>
        <w:adjustRightInd/>
        <w:snapToGrid/>
        <w:spacing w:line="480" w:lineRule="exact"/>
        <w:jc w:val="left"/>
        <w:textAlignment w:val="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9.招标方式</w:t>
      </w:r>
    </w:p>
    <w:p w14:paraId="585C687E">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9.1本工程招标方式：</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公开</w:t>
      </w:r>
      <w:r>
        <w:rPr>
          <w:rFonts w:hint="eastAsia" w:ascii="宋体" w:hAnsi="宋体" w:eastAsia="宋体" w:cs="宋体"/>
          <w:color w:val="auto"/>
          <w:sz w:val="21"/>
          <w:szCs w:val="21"/>
          <w:highlight w:val="none"/>
          <w:u w:val="single"/>
        </w:rPr>
        <w:t xml:space="preserve">招标 </w:t>
      </w:r>
      <w:r>
        <w:rPr>
          <w:rFonts w:hint="eastAsia" w:ascii="宋体" w:hAnsi="宋体" w:eastAsia="宋体" w:cs="宋体"/>
          <w:color w:val="auto"/>
          <w:sz w:val="21"/>
          <w:szCs w:val="21"/>
          <w:highlight w:val="none"/>
        </w:rPr>
        <w:t>。</w:t>
      </w:r>
    </w:p>
    <w:p w14:paraId="4E82FFBC">
      <w:pPr>
        <w:keepNext w:val="0"/>
        <w:keepLines w:val="0"/>
        <w:pageBreakBefore w:val="0"/>
        <w:widowControl w:val="0"/>
        <w:kinsoku/>
        <w:wordWrap/>
        <w:overflowPunct/>
        <w:topLinePunct w:val="0"/>
        <w:autoSpaceDE/>
        <w:autoSpaceDN/>
        <w:bidi w:val="0"/>
        <w:adjustRightInd/>
        <w:snapToGrid/>
        <w:spacing w:line="480" w:lineRule="exact"/>
        <w:jc w:val="left"/>
        <w:textAlignment w:val="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10.计价方式</w:t>
      </w:r>
    </w:p>
    <w:p w14:paraId="7A62DB5F">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10.1本工程合同计价方式：</w:t>
      </w:r>
      <w:r>
        <w:rPr>
          <w:rFonts w:hint="eastAsia" w:ascii="宋体" w:hAnsi="宋体" w:eastAsia="宋体" w:cs="宋体"/>
          <w:color w:val="auto"/>
          <w:sz w:val="21"/>
          <w:szCs w:val="21"/>
          <w:highlight w:val="none"/>
          <w:u w:val="single"/>
          <w:lang w:val="en-US" w:eastAsia="zh-CN"/>
        </w:rPr>
        <w:t>固定费率</w:t>
      </w:r>
      <w:r>
        <w:rPr>
          <w:rFonts w:hint="eastAsia" w:ascii="宋体" w:hAnsi="宋体" w:eastAsia="宋体" w:cs="宋体"/>
          <w:color w:val="auto"/>
          <w:sz w:val="21"/>
          <w:szCs w:val="21"/>
          <w:highlight w:val="none"/>
        </w:rPr>
        <w:t>。</w:t>
      </w:r>
    </w:p>
    <w:p w14:paraId="08A7EAA4">
      <w:pPr>
        <w:keepNext w:val="0"/>
        <w:keepLines w:val="0"/>
        <w:pageBreakBefore w:val="0"/>
        <w:widowControl w:val="0"/>
        <w:kinsoku/>
        <w:wordWrap/>
        <w:overflowPunct/>
        <w:topLinePunct w:val="0"/>
        <w:autoSpaceDE/>
        <w:autoSpaceDN/>
        <w:bidi w:val="0"/>
        <w:adjustRightInd/>
        <w:snapToGrid/>
        <w:spacing w:line="480" w:lineRule="exact"/>
        <w:jc w:val="left"/>
        <w:textAlignment w:val="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11.评标办法</w:t>
      </w:r>
    </w:p>
    <w:p w14:paraId="5C11E0E5">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11.1本工程评标办法：</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综合评估法</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（详见第</w:t>
      </w:r>
      <w:r>
        <w:rPr>
          <w:rFonts w:hint="eastAsia" w:ascii="宋体" w:hAnsi="宋体" w:eastAsia="宋体" w:cs="宋体"/>
          <w:color w:val="auto"/>
          <w:sz w:val="21"/>
          <w:szCs w:val="21"/>
          <w:highlight w:val="none"/>
          <w:lang w:val="en-US" w:eastAsia="zh-CN"/>
        </w:rPr>
        <w:t>二</w:t>
      </w:r>
      <w:r>
        <w:rPr>
          <w:rFonts w:hint="eastAsia" w:ascii="宋体" w:hAnsi="宋体" w:eastAsia="宋体" w:cs="宋体"/>
          <w:color w:val="auto"/>
          <w:sz w:val="21"/>
          <w:szCs w:val="21"/>
          <w:highlight w:val="none"/>
        </w:rPr>
        <w:t>章评标办法）。</w:t>
      </w:r>
    </w:p>
    <w:p w14:paraId="2DD47ABF">
      <w:pPr>
        <w:keepNext w:val="0"/>
        <w:keepLines w:val="0"/>
        <w:pageBreakBefore w:val="0"/>
        <w:widowControl w:val="0"/>
        <w:kinsoku/>
        <w:wordWrap/>
        <w:overflowPunct/>
        <w:topLinePunct w:val="0"/>
        <w:autoSpaceDE/>
        <w:autoSpaceDN/>
        <w:bidi w:val="0"/>
        <w:adjustRightInd/>
        <w:snapToGrid/>
        <w:spacing w:before="313" w:beforeLines="100" w:line="400" w:lineRule="exact"/>
        <w:jc w:val="center"/>
        <w:textAlignment w:val="auto"/>
        <w:outlineLvl w:val="1"/>
        <w:rPr>
          <w:rFonts w:hint="eastAsia" w:ascii="宋体" w:hAnsi="宋体" w:eastAsia="宋体" w:cs="宋体"/>
          <w:b/>
          <w:bCs/>
          <w:color w:val="auto"/>
          <w:sz w:val="28"/>
          <w:highlight w:val="none"/>
        </w:rPr>
      </w:pPr>
      <w:bookmarkStart w:id="44" w:name="_Toc29988"/>
      <w:bookmarkStart w:id="45" w:name="_Toc17301"/>
      <w:r>
        <w:rPr>
          <w:rFonts w:hint="eastAsia" w:ascii="宋体" w:hAnsi="宋体" w:eastAsia="宋体" w:cs="宋体"/>
          <w:b/>
          <w:bCs/>
          <w:color w:val="auto"/>
          <w:sz w:val="28"/>
          <w:highlight w:val="none"/>
        </w:rPr>
        <w:t>二、招标文件</w:t>
      </w:r>
      <w:bookmarkEnd w:id="44"/>
      <w:bookmarkEnd w:id="45"/>
    </w:p>
    <w:p w14:paraId="62AC36E5">
      <w:pPr>
        <w:keepNext w:val="0"/>
        <w:keepLines w:val="0"/>
        <w:pageBreakBefore w:val="0"/>
        <w:widowControl w:val="0"/>
        <w:kinsoku/>
        <w:wordWrap/>
        <w:overflowPunct/>
        <w:topLinePunct w:val="0"/>
        <w:autoSpaceDE/>
        <w:autoSpaceDN/>
        <w:bidi w:val="0"/>
        <w:spacing w:line="5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12.招标文件的编制依据</w:t>
      </w:r>
    </w:p>
    <w:p w14:paraId="6640ED8C">
      <w:pPr>
        <w:keepNext w:val="0"/>
        <w:keepLines w:val="0"/>
        <w:pageBreakBefore w:val="0"/>
        <w:widowControl w:val="0"/>
        <w:kinsoku/>
        <w:wordWrap/>
        <w:overflowPunct/>
        <w:topLinePunct w:val="0"/>
        <w:autoSpaceDE/>
        <w:autoSpaceDN/>
        <w:bidi w:val="0"/>
        <w:spacing w:line="5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12.1根据相关法律法规和规章及部、省、市级规范性文件的规定，编制本招标文件。</w:t>
      </w:r>
    </w:p>
    <w:p w14:paraId="00599032">
      <w:pPr>
        <w:keepNext w:val="0"/>
        <w:keepLines w:val="0"/>
        <w:pageBreakBefore w:val="0"/>
        <w:widowControl w:val="0"/>
        <w:kinsoku/>
        <w:wordWrap/>
        <w:overflowPunct/>
        <w:topLinePunct w:val="0"/>
        <w:autoSpaceDE/>
        <w:autoSpaceDN/>
        <w:bidi w:val="0"/>
        <w:spacing w:line="500" w:lineRule="exact"/>
        <w:jc w:val="left"/>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13.</w:t>
      </w:r>
      <w:r>
        <w:rPr>
          <w:rFonts w:hint="eastAsia" w:ascii="宋体" w:hAnsi="宋体" w:eastAsia="宋体" w:cs="宋体"/>
          <w:bCs/>
          <w:color w:val="auto"/>
          <w:sz w:val="21"/>
          <w:szCs w:val="21"/>
          <w:highlight w:val="none"/>
        </w:rPr>
        <w:t>招标文件的组成</w:t>
      </w:r>
    </w:p>
    <w:p w14:paraId="3FC2C949">
      <w:pPr>
        <w:keepNext w:val="0"/>
        <w:keepLines w:val="0"/>
        <w:pageBreakBefore w:val="0"/>
        <w:widowControl w:val="0"/>
        <w:kinsoku/>
        <w:wordWrap/>
        <w:overflowPunct/>
        <w:topLinePunct w:val="0"/>
        <w:autoSpaceDE/>
        <w:autoSpaceDN/>
        <w:bidi w:val="0"/>
        <w:spacing w:line="5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13.1招标文件包括内容：</w:t>
      </w:r>
    </w:p>
    <w:p w14:paraId="27C5F634">
      <w:pPr>
        <w:keepNext w:val="0"/>
        <w:keepLines w:val="0"/>
        <w:pageBreakBefore w:val="0"/>
        <w:widowControl w:val="0"/>
        <w:kinsoku/>
        <w:wordWrap/>
        <w:overflowPunct/>
        <w:topLinePunct w:val="0"/>
        <w:autoSpaceDE/>
        <w:autoSpaceDN/>
        <w:bidi w:val="0"/>
        <w:spacing w:line="500" w:lineRule="exact"/>
        <w:ind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第一章  </w:t>
      </w:r>
      <w:r>
        <w:rPr>
          <w:rFonts w:hint="eastAsia" w:ascii="宋体" w:hAnsi="宋体" w:cs="宋体"/>
          <w:color w:val="auto"/>
          <w:sz w:val="21"/>
          <w:szCs w:val="21"/>
          <w:highlight w:val="none"/>
          <w:lang w:eastAsia="zh-CN"/>
        </w:rPr>
        <w:t>投标人须知</w:t>
      </w:r>
    </w:p>
    <w:p w14:paraId="3E882546">
      <w:pPr>
        <w:keepNext w:val="0"/>
        <w:keepLines w:val="0"/>
        <w:pageBreakBefore w:val="0"/>
        <w:widowControl w:val="0"/>
        <w:kinsoku/>
        <w:wordWrap/>
        <w:overflowPunct/>
        <w:topLinePunct w:val="0"/>
        <w:autoSpaceDE/>
        <w:autoSpaceDN/>
        <w:bidi w:val="0"/>
        <w:spacing w:line="500" w:lineRule="exact"/>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第二章  </w:t>
      </w:r>
      <w:r>
        <w:rPr>
          <w:rFonts w:hint="eastAsia" w:ascii="宋体" w:hAnsi="宋体" w:eastAsia="宋体" w:cs="宋体"/>
          <w:color w:val="auto"/>
          <w:sz w:val="21"/>
          <w:szCs w:val="21"/>
          <w:highlight w:val="none"/>
          <w:lang w:val="en-US" w:eastAsia="zh-CN"/>
        </w:rPr>
        <w:t>评标办法</w:t>
      </w:r>
    </w:p>
    <w:p w14:paraId="091E054E">
      <w:pPr>
        <w:keepNext w:val="0"/>
        <w:keepLines w:val="0"/>
        <w:pageBreakBefore w:val="0"/>
        <w:widowControl w:val="0"/>
        <w:kinsoku/>
        <w:wordWrap/>
        <w:overflowPunct/>
        <w:topLinePunct w:val="0"/>
        <w:autoSpaceDE/>
        <w:autoSpaceDN/>
        <w:bidi w:val="0"/>
        <w:spacing w:line="50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第三章  合同条款</w:t>
      </w:r>
    </w:p>
    <w:p w14:paraId="5C6D9635">
      <w:pPr>
        <w:keepNext w:val="0"/>
        <w:keepLines w:val="0"/>
        <w:pageBreakBefore w:val="0"/>
        <w:widowControl w:val="0"/>
        <w:kinsoku/>
        <w:wordWrap/>
        <w:overflowPunct/>
        <w:topLinePunct w:val="0"/>
        <w:autoSpaceDE/>
        <w:autoSpaceDN/>
        <w:bidi w:val="0"/>
        <w:spacing w:line="50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w:t>
      </w:r>
      <w:r>
        <w:rPr>
          <w:rFonts w:hint="eastAsia" w:ascii="宋体" w:hAnsi="宋体" w:eastAsia="宋体" w:cs="宋体"/>
          <w:color w:val="auto"/>
          <w:sz w:val="21"/>
          <w:szCs w:val="21"/>
          <w:highlight w:val="none"/>
          <w:lang w:val="en-US" w:eastAsia="zh-CN"/>
        </w:rPr>
        <w:t>四</w:t>
      </w:r>
      <w:r>
        <w:rPr>
          <w:rFonts w:hint="eastAsia" w:ascii="宋体" w:hAnsi="宋体" w:eastAsia="宋体" w:cs="宋体"/>
          <w:color w:val="auto"/>
          <w:sz w:val="21"/>
          <w:szCs w:val="21"/>
          <w:highlight w:val="none"/>
        </w:rPr>
        <w:t>章  投标文件格式</w:t>
      </w:r>
    </w:p>
    <w:p w14:paraId="3A70C4EA">
      <w:pPr>
        <w:keepNext w:val="0"/>
        <w:keepLines w:val="0"/>
        <w:pageBreakBefore w:val="0"/>
        <w:widowControl w:val="0"/>
        <w:kinsoku/>
        <w:wordWrap/>
        <w:overflowPunct/>
        <w:topLinePunct w:val="0"/>
        <w:autoSpaceDE/>
        <w:autoSpaceDN/>
        <w:bidi w:val="0"/>
        <w:adjustRightInd w:val="0"/>
        <w:snapToGrid w:val="0"/>
        <w:spacing w:line="500" w:lineRule="exact"/>
        <w:ind w:firstLine="420" w:firstLineChars="200"/>
        <w:textAlignment w:val="auto"/>
        <w:rPr>
          <w:rFonts w:hint="eastAsia" w:ascii="宋体" w:hAnsi="宋体" w:eastAsia="宋体" w:cs="宋体"/>
          <w:color w:val="auto"/>
          <w:spacing w:val="-20"/>
          <w:sz w:val="21"/>
          <w:szCs w:val="21"/>
          <w:highlight w:val="none"/>
        </w:rPr>
      </w:pPr>
      <w:r>
        <w:rPr>
          <w:rFonts w:hint="eastAsia" w:ascii="宋体" w:hAnsi="宋体" w:eastAsia="宋体" w:cs="宋体"/>
          <w:color w:val="auto"/>
          <w:sz w:val="21"/>
          <w:szCs w:val="21"/>
          <w:highlight w:val="none"/>
        </w:rPr>
        <w:t>第</w:t>
      </w:r>
      <w:r>
        <w:rPr>
          <w:rFonts w:hint="eastAsia" w:ascii="宋体" w:hAnsi="宋体" w:eastAsia="宋体" w:cs="宋体"/>
          <w:color w:val="auto"/>
          <w:sz w:val="21"/>
          <w:szCs w:val="21"/>
          <w:highlight w:val="none"/>
          <w:lang w:val="en-US" w:eastAsia="zh-CN"/>
        </w:rPr>
        <w:t>五</w:t>
      </w:r>
      <w:r>
        <w:rPr>
          <w:rFonts w:hint="eastAsia" w:ascii="宋体" w:hAnsi="宋体" w:eastAsia="宋体" w:cs="宋体"/>
          <w:color w:val="auto"/>
          <w:sz w:val="21"/>
          <w:szCs w:val="21"/>
          <w:highlight w:val="none"/>
        </w:rPr>
        <w:t>章  招标单位、招标代理机构对本招标文件的确认</w:t>
      </w:r>
    </w:p>
    <w:p w14:paraId="426A67FC">
      <w:pPr>
        <w:keepNext w:val="0"/>
        <w:keepLines w:val="0"/>
        <w:pageBreakBefore w:val="0"/>
        <w:widowControl w:val="0"/>
        <w:kinsoku/>
        <w:wordWrap/>
        <w:overflowPunct/>
        <w:topLinePunct w:val="0"/>
        <w:autoSpaceDE/>
        <w:autoSpaceDN/>
        <w:bidi w:val="0"/>
        <w:spacing w:line="5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w:t>
      </w:r>
      <w:r>
        <w:rPr>
          <w:rFonts w:hint="eastAsia" w:ascii="宋体" w:hAnsi="宋体" w:eastAsia="宋体" w:cs="宋体"/>
          <w:color w:val="auto"/>
          <w:spacing w:val="-10"/>
          <w:sz w:val="21"/>
          <w:szCs w:val="21"/>
          <w:highlight w:val="none"/>
        </w:rPr>
        <w:t>除13.1内容外，招标答疑亦为招标文件的组成部分，对招标人和投标人起约束作用。</w:t>
      </w:r>
    </w:p>
    <w:p w14:paraId="4DAD4163">
      <w:pPr>
        <w:keepNext w:val="0"/>
        <w:keepLines w:val="0"/>
        <w:pageBreakBefore w:val="0"/>
        <w:widowControl w:val="0"/>
        <w:kinsoku/>
        <w:wordWrap/>
        <w:overflowPunct/>
        <w:topLinePunct w:val="0"/>
        <w:autoSpaceDE/>
        <w:autoSpaceDN/>
        <w:bidi w:val="0"/>
        <w:spacing w:line="500" w:lineRule="exact"/>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sz w:val="21"/>
          <w:szCs w:val="21"/>
          <w:highlight w:val="none"/>
        </w:rPr>
        <w:t>13.3</w:t>
      </w:r>
      <w:r>
        <w:rPr>
          <w:rFonts w:hint="eastAsia" w:ascii="宋体"/>
          <w:color w:val="auto"/>
          <w:szCs w:val="21"/>
          <w:highlight w:val="none"/>
        </w:rPr>
        <w:t>投标人应仔细阅读和检查招标文件的全部内容。如发现缺页或附件不全，应及时向</w:t>
      </w:r>
      <w:r>
        <w:rPr>
          <w:rFonts w:hint="eastAsia" w:ascii="宋体"/>
          <w:color w:val="auto"/>
          <w:szCs w:val="21"/>
          <w:highlight w:val="none"/>
          <w:lang w:eastAsia="zh-CN"/>
        </w:rPr>
        <w:t>招标人</w:t>
      </w:r>
      <w:r>
        <w:rPr>
          <w:rFonts w:hint="eastAsia" w:ascii="宋体"/>
          <w:color w:val="auto"/>
          <w:szCs w:val="21"/>
          <w:highlight w:val="none"/>
        </w:rPr>
        <w:t>提出，以便补齐</w:t>
      </w:r>
      <w:r>
        <w:rPr>
          <w:rFonts w:hint="eastAsia" w:ascii="宋体" w:hAnsi="宋体" w:eastAsia="宋体" w:cs="宋体"/>
          <w:color w:val="auto"/>
          <w:kern w:val="0"/>
          <w:sz w:val="21"/>
          <w:szCs w:val="21"/>
          <w:highlight w:val="none"/>
          <w:lang w:val="zh-CN"/>
        </w:rPr>
        <w:t>。</w:t>
      </w:r>
    </w:p>
    <w:p w14:paraId="2C32EE20">
      <w:pPr>
        <w:pStyle w:val="63"/>
        <w:keepNext w:val="0"/>
        <w:keepLines w:val="0"/>
        <w:pageBreakBefore w:val="0"/>
        <w:widowControl w:val="0"/>
        <w:kinsoku/>
        <w:wordWrap w:val="0"/>
        <w:overflowPunct/>
        <w:topLinePunct w:val="0"/>
        <w:autoSpaceDE/>
        <w:autoSpaceDN/>
        <w:bidi w:val="0"/>
        <w:adjustRightInd/>
        <w:snapToGrid/>
        <w:ind w:left="0" w:leftChars="0" w:firstLine="0" w:firstLineChars="0"/>
        <w:textAlignment w:val="auto"/>
        <w:rPr>
          <w:rFonts w:hint="default" w:eastAsia="宋体"/>
          <w:color w:val="auto"/>
          <w:highlight w:val="none"/>
          <w:lang w:val="en-US" w:eastAsia="zh-CN"/>
        </w:rPr>
      </w:pPr>
      <w:r>
        <w:rPr>
          <w:rFonts w:hint="eastAsia" w:ascii="宋体" w:hAnsi="宋体" w:eastAsia="宋体" w:cs="宋体"/>
          <w:b/>
          <w:bCs/>
          <w:color w:val="auto"/>
          <w:kern w:val="0"/>
          <w:sz w:val="21"/>
          <w:szCs w:val="21"/>
          <w:highlight w:val="none"/>
          <w:lang w:val="en-US" w:eastAsia="zh-CN"/>
        </w:rPr>
        <w:t>13.4投标人可以通过新点电子交易平台【滁州专区】对招标文件提出澄清（质疑）。招标文件的澄清将在滁州市城投工程咨询管理有限公司（https://www.czctgczx.com/）、滁州市重点工程建设管理处（http://zdc.chuzhou.gov.cn/）发布，但不指明澄清问题的来源。如果澄清内容影响投标文件编制的，将相应延长投标截止时间。</w:t>
      </w:r>
    </w:p>
    <w:p w14:paraId="182D12DA">
      <w:pPr>
        <w:keepNext w:val="0"/>
        <w:keepLines w:val="0"/>
        <w:pageBreakBefore w:val="0"/>
        <w:widowControl w:val="0"/>
        <w:kinsoku/>
        <w:wordWrap w:val="0"/>
        <w:overflowPunct/>
        <w:topLinePunct w:val="0"/>
        <w:autoSpaceDE/>
        <w:autoSpaceDN/>
        <w:bidi w:val="0"/>
        <w:adjustRightInd/>
        <w:snapToGrid/>
        <w:spacing w:line="500" w:lineRule="exact"/>
        <w:jc w:val="left"/>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14.</w:t>
      </w:r>
      <w:r>
        <w:rPr>
          <w:rFonts w:hint="eastAsia" w:ascii="宋体" w:hAnsi="宋体" w:eastAsia="宋体" w:cs="宋体"/>
          <w:bCs/>
          <w:color w:val="auto"/>
          <w:sz w:val="21"/>
          <w:szCs w:val="21"/>
          <w:highlight w:val="none"/>
        </w:rPr>
        <w:t>招标文件的澄清、修改、补充、解释</w:t>
      </w:r>
    </w:p>
    <w:p w14:paraId="6B0F2D10">
      <w:pPr>
        <w:keepNext w:val="0"/>
        <w:keepLines w:val="0"/>
        <w:pageBreakBefore w:val="0"/>
        <w:widowControl w:val="0"/>
        <w:kinsoku/>
        <w:wordWrap w:val="0"/>
        <w:overflowPunct/>
        <w:topLinePunct w:val="0"/>
        <w:autoSpaceDE/>
        <w:autoSpaceDN/>
        <w:bidi w:val="0"/>
        <w:adjustRightInd/>
        <w:snapToGrid/>
        <w:spacing w:line="5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14.1</w:t>
      </w:r>
      <w:r>
        <w:rPr>
          <w:rFonts w:hint="eastAsia" w:ascii="宋体" w:hAnsi="宋体" w:eastAsia="宋体" w:cs="宋体"/>
          <w:color w:val="auto"/>
          <w:kern w:val="0"/>
          <w:sz w:val="21"/>
          <w:szCs w:val="21"/>
          <w:highlight w:val="none"/>
          <w:lang w:val="zh-CN"/>
        </w:rPr>
        <w:t>招标文件发出后</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val="zh-CN"/>
        </w:rPr>
        <w:t>招标人可对招标文件进行必要的澄清、修改和补充</w:t>
      </w:r>
      <w:r>
        <w:rPr>
          <w:rFonts w:hint="eastAsia" w:ascii="宋体" w:hAnsi="宋体" w:eastAsia="宋体" w:cs="宋体"/>
          <w:color w:val="auto"/>
          <w:kern w:val="0"/>
          <w:sz w:val="21"/>
          <w:szCs w:val="21"/>
          <w:highlight w:val="none"/>
        </w:rPr>
        <w:t>，</w:t>
      </w:r>
      <w:r>
        <w:rPr>
          <w:rFonts w:hint="eastAsia" w:ascii="宋体" w:hAnsi="宋体" w:cs="宋体"/>
          <w:color w:val="auto"/>
          <w:kern w:val="0"/>
          <w:sz w:val="21"/>
          <w:szCs w:val="21"/>
          <w:highlight w:val="none"/>
          <w:lang w:val="en-US" w:eastAsia="zh-CN"/>
        </w:rPr>
        <w:t>并在</w:t>
      </w:r>
      <w:r>
        <w:rPr>
          <w:rFonts w:hint="eastAsia" w:ascii="宋体" w:hAnsi="宋体" w:eastAsia="宋体" w:cs="宋体"/>
          <w:color w:val="auto"/>
          <w:sz w:val="21"/>
          <w:szCs w:val="21"/>
          <w:highlight w:val="none"/>
        </w:rPr>
        <w:t>滁州市城投工程咨询管理有限公司</w:t>
      </w:r>
      <w:r>
        <w:rPr>
          <w:rFonts w:hint="eastAsia"/>
          <w:color w:val="auto"/>
          <w:szCs w:val="21"/>
          <w:highlight w:val="none"/>
        </w:rPr>
        <w:t>（https://www.czctgczx.com/）</w:t>
      </w:r>
      <w:r>
        <w:rPr>
          <w:rFonts w:hint="eastAsia"/>
          <w:color w:val="auto"/>
          <w:szCs w:val="21"/>
          <w:highlight w:val="none"/>
          <w:lang w:eastAsia="zh-CN"/>
        </w:rPr>
        <w:t>、滁州市重点工程建设管理处（http://zdc.chuzhou.gov.cn/）</w:t>
      </w:r>
      <w:r>
        <w:rPr>
          <w:rFonts w:hint="eastAsia"/>
          <w:color w:val="auto"/>
          <w:szCs w:val="21"/>
          <w:highlight w:val="none"/>
          <w:lang w:val="en-US" w:eastAsia="zh-CN"/>
        </w:rPr>
        <w:t>网站发布</w:t>
      </w:r>
      <w:r>
        <w:rPr>
          <w:rFonts w:hint="eastAsia" w:ascii="宋体" w:hAnsi="宋体" w:eastAsia="宋体" w:cs="宋体"/>
          <w:color w:val="auto"/>
          <w:kern w:val="0"/>
          <w:sz w:val="21"/>
          <w:szCs w:val="21"/>
          <w:highlight w:val="none"/>
          <w:lang w:val="zh-CN"/>
        </w:rPr>
        <w:t>。招标文件的修改内容作为招标文件的组成部分，具有约束作用。</w:t>
      </w:r>
    </w:p>
    <w:p w14:paraId="291D1EEA">
      <w:pPr>
        <w:keepNext w:val="0"/>
        <w:keepLines w:val="0"/>
        <w:pageBreakBefore w:val="0"/>
        <w:widowControl w:val="0"/>
        <w:kinsoku/>
        <w:wordWrap/>
        <w:overflowPunct/>
        <w:topLinePunct w:val="0"/>
        <w:autoSpaceDE/>
        <w:autoSpaceDN/>
        <w:bidi w:val="0"/>
        <w:spacing w:line="5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本招标文件由招标人委托的招标代理机构负责解释。</w:t>
      </w:r>
    </w:p>
    <w:p w14:paraId="2B94AB1C">
      <w:pPr>
        <w:keepNext w:val="0"/>
        <w:keepLines w:val="0"/>
        <w:pageBreakBefore w:val="0"/>
        <w:widowControl w:val="0"/>
        <w:kinsoku/>
        <w:wordWrap/>
        <w:overflowPunct/>
        <w:topLinePunct w:val="0"/>
        <w:autoSpaceDE/>
        <w:autoSpaceDN/>
        <w:bidi w:val="0"/>
        <w:spacing w:line="5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15.踏勘现场及投标预备会</w:t>
      </w:r>
    </w:p>
    <w:p w14:paraId="275BCF22">
      <w:pPr>
        <w:keepNext w:val="0"/>
        <w:keepLines w:val="0"/>
        <w:pageBreakBefore w:val="0"/>
        <w:widowControl w:val="0"/>
        <w:kinsoku/>
        <w:wordWrap/>
        <w:overflowPunct/>
        <w:topLinePunct w:val="0"/>
        <w:autoSpaceDE/>
        <w:autoSpaceDN/>
        <w:bidi w:val="0"/>
        <w:spacing w:line="5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15.1 踏勘现场</w:t>
      </w:r>
    </w:p>
    <w:p w14:paraId="50495330">
      <w:pPr>
        <w:keepNext w:val="0"/>
        <w:keepLines w:val="0"/>
        <w:pageBreakBefore w:val="0"/>
        <w:widowControl w:val="0"/>
        <w:kinsoku/>
        <w:wordWrap/>
        <w:overflowPunct/>
        <w:topLinePunct w:val="0"/>
        <w:autoSpaceDE/>
        <w:autoSpaceDN/>
        <w:bidi w:val="0"/>
        <w:spacing w:line="5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15.1.1</w:t>
      </w:r>
      <w:r>
        <w:rPr>
          <w:rFonts w:hint="eastAsia" w:ascii="宋体" w:hAnsi="宋体" w:eastAsia="宋体" w:cs="宋体"/>
          <w:color w:val="auto"/>
          <w:kern w:val="0"/>
          <w:sz w:val="21"/>
          <w:szCs w:val="21"/>
          <w:highlight w:val="none"/>
        </w:rPr>
        <w:t>不再集中召开招标答疑会；投标人自行组织勘察现场。</w:t>
      </w:r>
    </w:p>
    <w:p w14:paraId="6FE74C30">
      <w:pPr>
        <w:keepNext w:val="0"/>
        <w:keepLines w:val="0"/>
        <w:pageBreakBefore w:val="0"/>
        <w:widowControl w:val="0"/>
        <w:kinsoku/>
        <w:wordWrap/>
        <w:overflowPunct/>
        <w:topLinePunct w:val="0"/>
        <w:autoSpaceDE/>
        <w:autoSpaceDN/>
        <w:bidi w:val="0"/>
        <w:spacing w:line="5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15.2投标预备会</w:t>
      </w:r>
    </w:p>
    <w:p w14:paraId="13F5946E">
      <w:pPr>
        <w:keepNext w:val="0"/>
        <w:keepLines w:val="0"/>
        <w:pageBreakBefore w:val="0"/>
        <w:widowControl w:val="0"/>
        <w:kinsoku/>
        <w:wordWrap/>
        <w:overflowPunct/>
        <w:topLinePunct w:val="0"/>
        <w:autoSpaceDE/>
        <w:autoSpaceDN/>
        <w:bidi w:val="0"/>
        <w:spacing w:line="500" w:lineRule="exact"/>
        <w:jc w:val="left"/>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15.2.1</w:t>
      </w:r>
      <w:r>
        <w:rPr>
          <w:rFonts w:hint="eastAsia" w:ascii="宋体" w:hAnsi="宋体" w:cs="宋体"/>
          <w:color w:val="auto"/>
          <w:sz w:val="21"/>
          <w:szCs w:val="21"/>
          <w:highlight w:val="none"/>
          <w:lang w:val="en-US" w:eastAsia="zh-CN"/>
        </w:rPr>
        <w:t>本项目不组织</w:t>
      </w:r>
      <w:r>
        <w:rPr>
          <w:rFonts w:hint="eastAsia" w:ascii="宋体" w:hAnsi="宋体" w:eastAsia="宋体" w:cs="宋体"/>
          <w:color w:val="auto"/>
          <w:sz w:val="21"/>
          <w:szCs w:val="21"/>
          <w:highlight w:val="none"/>
        </w:rPr>
        <w:t>投标预备会</w:t>
      </w:r>
      <w:r>
        <w:rPr>
          <w:rFonts w:hint="eastAsia" w:ascii="宋体" w:hAnsi="宋体" w:eastAsia="宋体" w:cs="宋体"/>
          <w:bCs/>
          <w:color w:val="auto"/>
          <w:sz w:val="21"/>
          <w:szCs w:val="21"/>
          <w:highlight w:val="none"/>
        </w:rPr>
        <w:t>。</w:t>
      </w:r>
    </w:p>
    <w:p w14:paraId="13802E14">
      <w:pPr>
        <w:keepNext w:val="0"/>
        <w:keepLines w:val="0"/>
        <w:pageBreakBefore w:val="0"/>
        <w:widowControl w:val="0"/>
        <w:kinsoku/>
        <w:wordWrap/>
        <w:overflowPunct/>
        <w:topLinePunct w:val="0"/>
        <w:autoSpaceDE/>
        <w:autoSpaceDN/>
        <w:bidi w:val="0"/>
        <w:spacing w:line="5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16.招标文件的发出</w:t>
      </w:r>
    </w:p>
    <w:p w14:paraId="185B78E9">
      <w:pPr>
        <w:keepNext w:val="0"/>
        <w:keepLines w:val="0"/>
        <w:pageBreakBefore w:val="0"/>
        <w:widowControl w:val="0"/>
        <w:kinsoku/>
        <w:wordWrap/>
        <w:overflowPunct/>
        <w:topLinePunct w:val="0"/>
        <w:autoSpaceDE/>
        <w:autoSpaceDN/>
        <w:bidi w:val="0"/>
        <w:spacing w:line="5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16.1招标文件、招标文件的澄清、修改、补充及招标答疑等均应报招标人备案后，方可发出。</w:t>
      </w:r>
    </w:p>
    <w:p w14:paraId="0E4E3056">
      <w:pPr>
        <w:keepNext w:val="0"/>
        <w:keepLines w:val="0"/>
        <w:pageBreakBefore w:val="0"/>
        <w:widowControl w:val="0"/>
        <w:kinsoku/>
        <w:wordWrap/>
        <w:overflowPunct/>
        <w:topLinePunct w:val="0"/>
        <w:autoSpaceDE/>
        <w:autoSpaceDN/>
        <w:bidi w:val="0"/>
        <w:spacing w:line="5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17.最高投标限价的作用和说明</w:t>
      </w:r>
    </w:p>
    <w:p w14:paraId="32E39163">
      <w:pPr>
        <w:keepNext w:val="0"/>
        <w:keepLines w:val="0"/>
        <w:pageBreakBefore w:val="0"/>
        <w:widowControl w:val="0"/>
        <w:kinsoku/>
        <w:wordWrap/>
        <w:overflowPunct/>
        <w:topLinePunct w:val="0"/>
        <w:autoSpaceDE/>
        <w:autoSpaceDN/>
        <w:bidi w:val="0"/>
        <w:spacing w:line="500" w:lineRule="exact"/>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17.1</w:t>
      </w:r>
      <w:r>
        <w:rPr>
          <w:rFonts w:hint="eastAsia" w:ascii="宋体" w:hAnsi="宋体" w:eastAsia="宋体" w:cs="宋体"/>
          <w:b/>
          <w:bCs/>
          <w:color w:val="auto"/>
          <w:sz w:val="21"/>
          <w:szCs w:val="21"/>
          <w:highlight w:val="none"/>
        </w:rPr>
        <w:t>本项目的</w:t>
      </w:r>
      <w:r>
        <w:rPr>
          <w:rFonts w:hint="eastAsia" w:ascii="宋体" w:hAnsi="宋体" w:eastAsia="宋体" w:cs="宋体"/>
          <w:b/>
          <w:bCs/>
          <w:color w:val="auto"/>
          <w:sz w:val="21"/>
          <w:szCs w:val="21"/>
          <w:highlight w:val="none"/>
          <w:lang w:val="en-US" w:eastAsia="zh-CN"/>
        </w:rPr>
        <w:t>最高限价</w:t>
      </w:r>
      <w:r>
        <w:rPr>
          <w:rFonts w:hint="eastAsia" w:ascii="宋体" w:hAnsi="宋体" w:eastAsia="宋体" w:cs="宋体"/>
          <w:b/>
          <w:bCs/>
          <w:color w:val="auto"/>
          <w:sz w:val="21"/>
          <w:szCs w:val="21"/>
          <w:highlight w:val="none"/>
        </w:rPr>
        <w:t>为基本费率</w:t>
      </w:r>
      <w:r>
        <w:rPr>
          <w:rFonts w:hint="eastAsia" w:ascii="宋体" w:hAnsi="宋体" w:cs="宋体"/>
          <w:b/>
          <w:bCs/>
          <w:color w:val="auto"/>
          <w:sz w:val="21"/>
          <w:szCs w:val="21"/>
          <w:highlight w:val="none"/>
          <w:lang w:val="en-US" w:eastAsia="zh-CN"/>
        </w:rPr>
        <w:t>3</w:t>
      </w:r>
      <w:r>
        <w:rPr>
          <w:rFonts w:hint="eastAsia" w:ascii="宋体" w:hAnsi="宋体" w:eastAsia="宋体" w:cs="宋体"/>
          <w:b/>
          <w:bCs/>
          <w:color w:val="auto"/>
          <w:sz w:val="21"/>
          <w:szCs w:val="21"/>
          <w:highlight w:val="none"/>
        </w:rPr>
        <w:t>‰</w:t>
      </w:r>
      <w:r>
        <w:rPr>
          <w:rFonts w:hint="eastAsia" w:ascii="宋体" w:hAnsi="宋体" w:cs="宋体"/>
          <w:b/>
          <w:bCs/>
          <w:color w:val="auto"/>
          <w:sz w:val="21"/>
          <w:szCs w:val="21"/>
          <w:highlight w:val="none"/>
          <w:lang w:eastAsia="zh-CN"/>
        </w:rPr>
        <w:t>、</w:t>
      </w:r>
      <w:r>
        <w:rPr>
          <w:rFonts w:hint="eastAsia" w:ascii="宋体" w:hAnsi="宋体" w:eastAsia="宋体" w:cs="宋体"/>
          <w:b/>
          <w:bCs/>
          <w:color w:val="auto"/>
          <w:sz w:val="21"/>
          <w:szCs w:val="21"/>
          <w:highlight w:val="none"/>
        </w:rPr>
        <w:t>审核成果费率</w:t>
      </w:r>
      <w:r>
        <w:rPr>
          <w:rFonts w:hint="eastAsia" w:ascii="宋体" w:hAnsi="宋体" w:cs="宋体"/>
          <w:b/>
          <w:bCs/>
          <w:color w:val="auto"/>
          <w:sz w:val="21"/>
          <w:szCs w:val="21"/>
          <w:highlight w:val="none"/>
          <w:lang w:val="en-US" w:eastAsia="zh-CN"/>
        </w:rPr>
        <w:t>4</w:t>
      </w:r>
      <w:r>
        <w:rPr>
          <w:rFonts w:hint="eastAsia" w:ascii="宋体" w:hAnsi="宋体" w:eastAsia="宋体" w:cs="宋体"/>
          <w:b/>
          <w:bCs/>
          <w:color w:val="auto"/>
          <w:sz w:val="21"/>
          <w:szCs w:val="21"/>
          <w:highlight w:val="none"/>
        </w:rPr>
        <w:t>%（审核成果费率</w:t>
      </w:r>
      <w:r>
        <w:rPr>
          <w:rFonts w:hint="eastAsia" w:ascii="宋体" w:hAnsi="宋体" w:cs="宋体"/>
          <w:b/>
          <w:bCs/>
          <w:color w:val="auto"/>
          <w:sz w:val="21"/>
          <w:szCs w:val="21"/>
          <w:highlight w:val="none"/>
          <w:lang w:val="en-US" w:eastAsia="zh-CN"/>
        </w:rPr>
        <w:t>为不可竞争费率，</w:t>
      </w:r>
      <w:r>
        <w:rPr>
          <w:rFonts w:hint="eastAsia" w:ascii="宋体" w:hAnsi="宋体" w:eastAsia="宋体" w:cs="宋体"/>
          <w:b/>
          <w:bCs/>
          <w:color w:val="auto"/>
          <w:sz w:val="21"/>
          <w:szCs w:val="21"/>
          <w:highlight w:val="none"/>
        </w:rPr>
        <w:t>固定不变）</w:t>
      </w:r>
      <w:r>
        <w:rPr>
          <w:rFonts w:hint="eastAsia" w:ascii="宋体" w:hAnsi="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基本费率由投标人自主报价，不得高于上述基本费率最高限价且不可以填报0或负数</w:t>
      </w:r>
      <w:r>
        <w:rPr>
          <w:rFonts w:hint="eastAsia" w:ascii="宋体" w:hAnsi="宋体" w:eastAsia="宋体" w:cs="宋体"/>
          <w:b/>
          <w:bCs/>
          <w:color w:val="auto"/>
          <w:sz w:val="21"/>
          <w:szCs w:val="21"/>
          <w:highlight w:val="none"/>
        </w:rPr>
        <w:t>，否则按无效标处理。</w:t>
      </w:r>
    </w:p>
    <w:p w14:paraId="344A8BB9">
      <w:pPr>
        <w:keepNext w:val="0"/>
        <w:keepLines w:val="0"/>
        <w:pageBreakBefore w:val="0"/>
        <w:widowControl w:val="0"/>
        <w:kinsoku/>
        <w:wordWrap/>
        <w:overflowPunct/>
        <w:topLinePunct w:val="0"/>
        <w:autoSpaceDE/>
        <w:autoSpaceDN/>
        <w:bidi w:val="0"/>
        <w:adjustRightInd/>
        <w:snapToGrid/>
        <w:spacing w:before="313" w:beforeLines="100" w:line="400" w:lineRule="exact"/>
        <w:jc w:val="center"/>
        <w:textAlignment w:val="auto"/>
        <w:outlineLvl w:val="1"/>
        <w:rPr>
          <w:rFonts w:hint="eastAsia" w:ascii="宋体" w:hAnsi="宋体" w:eastAsia="宋体" w:cs="宋体"/>
          <w:b/>
          <w:bCs/>
          <w:color w:val="auto"/>
          <w:sz w:val="28"/>
          <w:highlight w:val="none"/>
        </w:rPr>
      </w:pPr>
      <w:bookmarkStart w:id="46" w:name="_Toc6831"/>
      <w:bookmarkStart w:id="47" w:name="_Toc24852"/>
      <w:r>
        <w:rPr>
          <w:rFonts w:hint="eastAsia" w:ascii="宋体" w:hAnsi="宋体" w:eastAsia="宋体" w:cs="宋体"/>
          <w:b/>
          <w:bCs/>
          <w:color w:val="auto"/>
          <w:sz w:val="28"/>
          <w:highlight w:val="none"/>
        </w:rPr>
        <w:t>三、投标文件的编制</w:t>
      </w:r>
      <w:bookmarkEnd w:id="46"/>
      <w:bookmarkEnd w:id="47"/>
    </w:p>
    <w:p w14:paraId="64695F4A">
      <w:pPr>
        <w:keepNext w:val="0"/>
        <w:keepLines w:val="0"/>
        <w:pageBreakBefore w:val="0"/>
        <w:widowControl w:val="0"/>
        <w:kinsoku/>
        <w:wordWrap/>
        <w:overflowPunct/>
        <w:topLinePunct w:val="0"/>
        <w:autoSpaceDE/>
        <w:autoSpaceDN/>
        <w:bidi w:val="0"/>
        <w:spacing w:line="500" w:lineRule="exac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18</w:t>
      </w:r>
      <w:r>
        <w:rPr>
          <w:rFonts w:hint="eastAsia" w:ascii="宋体" w:hAnsi="宋体" w:eastAsia="宋体" w:cs="宋体"/>
          <w:b/>
          <w:bCs/>
          <w:color w:val="auto"/>
          <w:sz w:val="21"/>
          <w:szCs w:val="21"/>
          <w:highlight w:val="none"/>
        </w:rPr>
        <w:t>. 投标文件的组成</w:t>
      </w:r>
      <w:r>
        <w:rPr>
          <w:rFonts w:hint="eastAsia" w:ascii="宋体" w:hAnsi="宋体" w:eastAsia="宋体" w:cs="宋体"/>
          <w:b/>
          <w:bCs/>
          <w:color w:val="auto"/>
          <w:sz w:val="21"/>
          <w:szCs w:val="21"/>
          <w:highlight w:val="none"/>
          <w:lang w:val="en-US" w:eastAsia="zh-CN"/>
        </w:rPr>
        <w:t xml:space="preserve"> </w:t>
      </w:r>
    </w:p>
    <w:p w14:paraId="458D520D">
      <w:pPr>
        <w:spacing w:line="440" w:lineRule="exact"/>
        <w:rPr>
          <w:rFonts w:hint="default" w:ascii="宋体" w:hAnsi="Calibri" w:eastAsia="宋体" w:cs="Times New Roman"/>
          <w:color w:val="auto"/>
          <w:szCs w:val="21"/>
          <w:highlight w:val="none"/>
          <w:lang w:val="en-US" w:eastAsia="zh-CN"/>
        </w:rPr>
      </w:pPr>
      <w:r>
        <w:rPr>
          <w:rFonts w:hint="eastAsia" w:ascii="宋体" w:hAnsi="Calibri" w:eastAsia="宋体" w:cs="Times New Roman"/>
          <w:color w:val="auto"/>
          <w:szCs w:val="21"/>
          <w:highlight w:val="none"/>
          <w:lang w:val="en-US" w:eastAsia="zh-CN"/>
        </w:rPr>
        <w:t>具体要求详见本招标文件第四章“投标文件格式”。</w:t>
      </w:r>
    </w:p>
    <w:p w14:paraId="6CFB64B6">
      <w:pPr>
        <w:numPr>
          <w:ilvl w:val="0"/>
          <w:numId w:val="0"/>
        </w:numPr>
        <w:spacing w:line="440" w:lineRule="exact"/>
        <w:jc w:val="both"/>
        <w:rPr>
          <w:rFonts w:hint="eastAsia" w:ascii="宋体" w:hAnsi="Times New Roman" w:eastAsia="宋体" w:cs="Times New Roman"/>
          <w:b/>
          <w:color w:val="auto"/>
          <w:szCs w:val="21"/>
          <w:highlight w:val="none"/>
          <w:lang w:val="en-US" w:eastAsia="zh-CN"/>
        </w:rPr>
      </w:pPr>
      <w:r>
        <w:rPr>
          <w:rFonts w:hint="eastAsia" w:ascii="宋体" w:hAnsi="Times New Roman" w:eastAsia="宋体" w:cs="Times New Roman"/>
          <w:b/>
          <w:color w:val="auto"/>
          <w:szCs w:val="21"/>
          <w:highlight w:val="none"/>
          <w:lang w:val="en-US" w:eastAsia="zh-CN"/>
        </w:rPr>
        <w:t xml:space="preserve">19.投标文件的组成、上传说明 </w:t>
      </w:r>
    </w:p>
    <w:p w14:paraId="344E5516">
      <w:pPr>
        <w:spacing w:line="440" w:lineRule="exact"/>
        <w:rPr>
          <w:rFonts w:hint="eastAsia" w:ascii="宋体" w:hAnsi="Calibri"/>
          <w:color w:val="auto"/>
          <w:szCs w:val="21"/>
          <w:highlight w:val="none"/>
        </w:rPr>
      </w:pPr>
      <w:r>
        <w:rPr>
          <w:rFonts w:hint="eastAsia" w:ascii="宋体" w:hAnsi="Calibri"/>
          <w:color w:val="auto"/>
          <w:szCs w:val="21"/>
          <w:highlight w:val="none"/>
          <w:lang w:val="en-US" w:eastAsia="zh-CN"/>
        </w:rPr>
        <w:t xml:space="preserve">19.1 投标文件的组成 </w:t>
      </w:r>
    </w:p>
    <w:p w14:paraId="6BBBE030">
      <w:pPr>
        <w:spacing w:line="440" w:lineRule="exact"/>
        <w:rPr>
          <w:rFonts w:hint="eastAsia" w:ascii="宋体" w:hAnsi="Calibri"/>
          <w:color w:val="auto"/>
          <w:szCs w:val="21"/>
          <w:highlight w:val="none"/>
        </w:rPr>
      </w:pPr>
      <w:r>
        <w:rPr>
          <w:rFonts w:hint="eastAsia" w:ascii="宋体" w:hAnsi="Calibri"/>
          <w:color w:val="auto"/>
          <w:szCs w:val="21"/>
          <w:highlight w:val="none"/>
          <w:lang w:val="en-US" w:eastAsia="zh-CN"/>
        </w:rPr>
        <w:t xml:space="preserve">具体内容详见第四章投标文件格式内容。 </w:t>
      </w:r>
    </w:p>
    <w:p w14:paraId="559C5DB4">
      <w:pPr>
        <w:spacing w:line="440" w:lineRule="exact"/>
        <w:rPr>
          <w:rFonts w:hint="eastAsia" w:ascii="宋体" w:hAnsi="Calibri"/>
          <w:color w:val="auto"/>
          <w:szCs w:val="21"/>
          <w:highlight w:val="none"/>
        </w:rPr>
      </w:pPr>
      <w:r>
        <w:rPr>
          <w:rFonts w:hint="eastAsia" w:ascii="宋体" w:hAnsi="Calibri"/>
          <w:color w:val="auto"/>
          <w:szCs w:val="21"/>
          <w:highlight w:val="none"/>
          <w:lang w:val="en-US" w:eastAsia="zh-CN"/>
        </w:rPr>
        <w:t xml:space="preserve">19.2 投标文件的上传 </w:t>
      </w:r>
    </w:p>
    <w:p w14:paraId="276CFE5B">
      <w:pPr>
        <w:spacing w:line="440" w:lineRule="exact"/>
        <w:ind w:firstLine="420" w:firstLineChars="200"/>
        <w:rPr>
          <w:rFonts w:hint="eastAsia" w:ascii="宋体" w:hAnsi="Calibri"/>
          <w:color w:val="auto"/>
          <w:szCs w:val="21"/>
          <w:highlight w:val="none"/>
        </w:rPr>
      </w:pPr>
      <w:r>
        <w:rPr>
          <w:rFonts w:hint="eastAsia" w:ascii="宋体" w:hAnsi="Calibri"/>
          <w:color w:val="auto"/>
          <w:szCs w:val="21"/>
          <w:highlight w:val="none"/>
          <w:lang w:val="en-US" w:eastAsia="zh-CN"/>
        </w:rPr>
        <w:t>（1）</w:t>
      </w:r>
      <w:r>
        <w:rPr>
          <w:rFonts w:hint="eastAsia" w:ascii="宋体" w:hAnsi="宋体" w:cs="宋体"/>
          <w:color w:val="auto"/>
          <w:szCs w:val="21"/>
          <w:highlight w:val="none"/>
        </w:rPr>
        <w:t>请投标人通过</w:t>
      </w:r>
      <w:r>
        <w:rPr>
          <w:rFonts w:hint="eastAsia" w:ascii="宋体" w:hAnsi="宋体" w:cs="宋体"/>
          <w:color w:val="auto"/>
          <w:szCs w:val="21"/>
          <w:highlight w:val="none"/>
          <w:lang w:val="en-US" w:eastAsia="zh-CN"/>
        </w:rPr>
        <w:t>新点电子交易平台</w:t>
      </w:r>
      <w:r>
        <w:rPr>
          <w:rFonts w:hint="eastAsia" w:ascii="宋体" w:hAnsi="宋体" w:cs="宋体"/>
          <w:color w:val="auto"/>
          <w:szCs w:val="21"/>
          <w:highlight w:val="none"/>
        </w:rPr>
        <w:t>下载投标工具制作投标文件，并利用CA数字证书进行上传投标文件，上传已加密的投标文件，务必通过此方式上传投标文件</w:t>
      </w:r>
      <w:r>
        <w:rPr>
          <w:rFonts w:hint="eastAsia" w:ascii="宋体" w:hAnsi="Calibri"/>
          <w:color w:val="auto"/>
          <w:szCs w:val="21"/>
          <w:highlight w:val="none"/>
          <w:lang w:val="en-US" w:eastAsia="zh-CN"/>
        </w:rPr>
        <w:t xml:space="preserve">。 </w:t>
      </w:r>
    </w:p>
    <w:p w14:paraId="42834304">
      <w:pPr>
        <w:spacing w:line="440" w:lineRule="exact"/>
        <w:ind w:firstLine="420" w:firstLineChars="200"/>
        <w:rPr>
          <w:rFonts w:hint="eastAsia" w:ascii="宋体" w:hAnsi="Calibri"/>
          <w:color w:val="auto"/>
          <w:szCs w:val="21"/>
          <w:highlight w:val="none"/>
        </w:rPr>
      </w:pPr>
      <w:r>
        <w:rPr>
          <w:rFonts w:hint="eastAsia" w:ascii="宋体" w:hAnsi="Calibri"/>
          <w:color w:val="auto"/>
          <w:szCs w:val="21"/>
          <w:highlight w:val="none"/>
          <w:lang w:val="en-US" w:eastAsia="zh-CN"/>
        </w:rPr>
        <w:t>（2）</w:t>
      </w:r>
      <w:r>
        <w:rPr>
          <w:rFonts w:hint="eastAsia" w:ascii="宋体" w:hAnsi="Calibri"/>
          <w:b/>
          <w:bCs/>
          <w:color w:val="auto"/>
          <w:szCs w:val="21"/>
          <w:highlight w:val="none"/>
          <w:lang w:val="en-US" w:eastAsia="zh-CN"/>
        </w:rPr>
        <w:t>投标人在投标文件编制、签章、上传过程中如有任何操作的疑问请及时联系技术支持，电话：0512-58151515（工作日）或者网站首页在线客服</w:t>
      </w:r>
      <w:r>
        <w:rPr>
          <w:rFonts w:hint="eastAsia" w:ascii="宋体" w:hAnsi="Calibri"/>
          <w:color w:val="auto"/>
          <w:szCs w:val="21"/>
          <w:highlight w:val="none"/>
          <w:lang w:val="en-US" w:eastAsia="zh-CN"/>
        </w:rPr>
        <w:t xml:space="preserve">。 </w:t>
      </w:r>
    </w:p>
    <w:p w14:paraId="1EADF7E1">
      <w:pPr>
        <w:spacing w:line="440" w:lineRule="exact"/>
        <w:ind w:firstLine="420" w:firstLineChars="200"/>
        <w:rPr>
          <w:rFonts w:hint="eastAsia" w:ascii="宋体" w:hAnsi="Calibri"/>
          <w:color w:val="auto"/>
          <w:szCs w:val="21"/>
          <w:highlight w:val="none"/>
        </w:rPr>
      </w:pPr>
      <w:r>
        <w:rPr>
          <w:rFonts w:hint="eastAsia" w:ascii="宋体" w:hAnsi="Calibri"/>
          <w:color w:val="auto"/>
          <w:szCs w:val="21"/>
          <w:highlight w:val="none"/>
          <w:lang w:val="en-US" w:eastAsia="zh-CN"/>
        </w:rPr>
        <w:t xml:space="preserve">（3）如果因投标人自身原因导致投标文件在规定时间内未能解密、解密失败或解密超时，投标文件无效；因代理公司原因或网上平台发生故障，导致无法按时完成投标文件解密的，经代理公司申请后可延迟解密时间。 </w:t>
      </w:r>
    </w:p>
    <w:p w14:paraId="2A77AAEF">
      <w:pPr>
        <w:spacing w:line="440" w:lineRule="exact"/>
        <w:rPr>
          <w:rFonts w:hint="eastAsia" w:ascii="宋体" w:hAnsi="Calibri"/>
          <w:color w:val="auto"/>
          <w:szCs w:val="21"/>
          <w:highlight w:val="none"/>
        </w:rPr>
      </w:pPr>
      <w:r>
        <w:rPr>
          <w:rFonts w:hint="eastAsia" w:ascii="宋体" w:hAnsi="Calibri"/>
          <w:color w:val="auto"/>
          <w:szCs w:val="21"/>
          <w:highlight w:val="none"/>
          <w:lang w:val="en-US" w:eastAsia="zh-CN"/>
        </w:rPr>
        <w:t xml:space="preserve">19.3 投标文件的编制 </w:t>
      </w:r>
    </w:p>
    <w:p w14:paraId="64DCFAF7">
      <w:pPr>
        <w:spacing w:line="440" w:lineRule="exact"/>
        <w:ind w:firstLine="420" w:firstLineChars="200"/>
        <w:rPr>
          <w:rFonts w:hint="eastAsia" w:ascii="宋体" w:hAnsi="Calibri"/>
          <w:color w:val="auto"/>
          <w:szCs w:val="21"/>
          <w:highlight w:val="none"/>
        </w:rPr>
      </w:pPr>
      <w:r>
        <w:rPr>
          <w:rFonts w:hint="eastAsia" w:ascii="宋体" w:hAnsi="Calibri"/>
          <w:color w:val="auto"/>
          <w:szCs w:val="21"/>
          <w:highlight w:val="none"/>
          <w:lang w:val="en-US" w:eastAsia="zh-CN"/>
        </w:rPr>
        <w:t xml:space="preserve">（1）投标文件应按第四章“投标文件格式”进行编写，如有必要，可以增加附页，作为投标文件的组成部分。 </w:t>
      </w:r>
    </w:p>
    <w:p w14:paraId="6D4B70A1">
      <w:pPr>
        <w:spacing w:line="440" w:lineRule="exact"/>
        <w:ind w:firstLine="420" w:firstLineChars="200"/>
        <w:rPr>
          <w:rFonts w:hint="eastAsia" w:ascii="宋体" w:hAnsi="Calibri"/>
          <w:color w:val="auto"/>
          <w:szCs w:val="21"/>
          <w:highlight w:val="none"/>
        </w:rPr>
      </w:pPr>
      <w:r>
        <w:rPr>
          <w:rFonts w:hint="eastAsia" w:ascii="宋体" w:hAnsi="Calibri"/>
          <w:color w:val="auto"/>
          <w:szCs w:val="21"/>
          <w:highlight w:val="none"/>
          <w:lang w:val="en-US" w:eastAsia="zh-CN"/>
        </w:rPr>
        <w:t>（2）</w:t>
      </w:r>
      <w:r>
        <w:rPr>
          <w:rFonts w:hint="eastAsia" w:ascii="宋体" w:hAnsi="宋体" w:cs="宋体"/>
          <w:b/>
          <w:bCs/>
          <w:color w:val="auto"/>
          <w:szCs w:val="21"/>
          <w:highlight w:val="none"/>
        </w:rPr>
        <w:t>本次投标不需要提供纸质投标文件，投标人应按照电子招标投标的要求，在投标人的电子系统中制作、签章、上传加密的电子投标文件</w:t>
      </w:r>
      <w:r>
        <w:rPr>
          <w:rFonts w:hint="eastAsia" w:ascii="宋体" w:hAnsi="Calibri"/>
          <w:color w:val="auto"/>
          <w:szCs w:val="21"/>
          <w:highlight w:val="none"/>
          <w:lang w:val="en-US" w:eastAsia="zh-CN"/>
        </w:rPr>
        <w:t xml:space="preserve">。 </w:t>
      </w:r>
    </w:p>
    <w:p w14:paraId="12304D1D">
      <w:pPr>
        <w:spacing w:line="440" w:lineRule="exact"/>
        <w:ind w:firstLine="420" w:firstLineChars="200"/>
        <w:rPr>
          <w:rFonts w:hint="eastAsia" w:ascii="宋体" w:hAnsi="Calibri"/>
          <w:color w:val="auto"/>
          <w:szCs w:val="21"/>
          <w:highlight w:val="none"/>
        </w:rPr>
      </w:pPr>
      <w:r>
        <w:rPr>
          <w:rFonts w:hint="eastAsia" w:ascii="宋体" w:hAnsi="Calibri"/>
          <w:color w:val="auto"/>
          <w:szCs w:val="21"/>
          <w:highlight w:val="none"/>
          <w:lang w:val="en-US" w:eastAsia="zh-CN"/>
        </w:rPr>
        <w:t xml:space="preserve">（3）网上递交的电子投标文件制作工具等要求详见系统内帮助模块。 </w:t>
      </w:r>
    </w:p>
    <w:p w14:paraId="62D31D9D">
      <w:pPr>
        <w:keepNext w:val="0"/>
        <w:keepLines w:val="0"/>
        <w:pageBreakBefore w:val="0"/>
        <w:widowControl w:val="0"/>
        <w:kinsoku/>
        <w:wordWrap/>
        <w:overflowPunct/>
        <w:topLinePunct w:val="0"/>
        <w:autoSpaceDE/>
        <w:autoSpaceDN/>
        <w:bidi w:val="0"/>
        <w:spacing w:line="500" w:lineRule="exact"/>
        <w:ind w:firstLine="420" w:firstLineChars="200"/>
        <w:textAlignment w:val="auto"/>
        <w:rPr>
          <w:rFonts w:hint="eastAsia" w:ascii="宋体" w:hAnsi="Calibri"/>
          <w:color w:val="auto"/>
          <w:szCs w:val="21"/>
          <w:highlight w:val="none"/>
          <w:lang w:val="en-US" w:eastAsia="zh-CN"/>
        </w:rPr>
      </w:pPr>
      <w:r>
        <w:rPr>
          <w:rFonts w:hint="eastAsia" w:ascii="宋体" w:hAnsi="Calibri"/>
          <w:color w:val="auto"/>
          <w:szCs w:val="21"/>
          <w:highlight w:val="none"/>
          <w:lang w:val="en-US" w:eastAsia="zh-CN"/>
        </w:rPr>
        <w:t>（4）网上递交的电子投标文件应按招标文件规定的格式由投标人的法定代表人和投标人分别签章。</w:t>
      </w:r>
    </w:p>
    <w:p w14:paraId="62849197">
      <w:pPr>
        <w:pStyle w:val="44"/>
        <w:rPr>
          <w:rFonts w:hint="eastAsia" w:ascii="宋体" w:hAnsi="Calibri" w:eastAsia="宋体" w:cs="Times New Roman"/>
          <w:color w:val="auto"/>
          <w:kern w:val="2"/>
          <w:sz w:val="21"/>
          <w:szCs w:val="21"/>
          <w:highlight w:val="none"/>
          <w:lang w:val="en-US" w:eastAsia="zh-CN" w:bidi="ar-SA"/>
        </w:rPr>
      </w:pPr>
      <w:r>
        <w:rPr>
          <w:rFonts w:hint="eastAsia" w:ascii="宋体" w:hAnsi="Calibri" w:eastAsia="宋体" w:cs="Times New Roman"/>
          <w:color w:val="auto"/>
          <w:kern w:val="2"/>
          <w:sz w:val="21"/>
          <w:szCs w:val="21"/>
          <w:highlight w:val="none"/>
          <w:lang w:val="en-US" w:eastAsia="zh-CN" w:bidi="ar-SA"/>
        </w:rPr>
        <w:t>（5）招标人有权核查投标人在投标文件中提供的资料，若在评标期间发现投标人提供了虚假资料，其投标将被否决；若发现投标人以他人名义投标或者以其他方式弄虚作假骗取中标的，中标无效；如果签订合同后发现中标人提供了虚假材料，招标人有权解除合同。同时招标人将投标人上述弄虚作假行为上报公共资源交易监督管理部门处理。</w:t>
      </w:r>
    </w:p>
    <w:p w14:paraId="5A82299E">
      <w:pPr>
        <w:keepNext w:val="0"/>
        <w:keepLines w:val="0"/>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lang w:eastAsia="zh-CN"/>
        </w:rPr>
        <w:t>）</w:t>
      </w:r>
      <w:r>
        <w:rPr>
          <w:rFonts w:hint="eastAsia" w:ascii="宋体" w:hAnsi="宋体" w:cs="宋体"/>
          <w:color w:val="auto"/>
          <w:szCs w:val="21"/>
          <w:highlight w:val="none"/>
        </w:rPr>
        <w:t>投标文件的制作应满足以下规定：</w:t>
      </w:r>
    </w:p>
    <w:p w14:paraId="48490317">
      <w:pPr>
        <w:keepNext w:val="0"/>
        <w:keepLines w:val="0"/>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hint="eastAsia" w:ascii="宋体" w:hAnsi="宋体" w:cs="宋体"/>
          <w:color w:val="auto"/>
          <w:szCs w:val="21"/>
          <w:highlight w:val="none"/>
        </w:rPr>
      </w:pPr>
      <w:r>
        <w:rPr>
          <w:rFonts w:hint="eastAsia" w:ascii="宋体" w:hAnsi="宋体" w:eastAsia="宋体" w:cs="宋体"/>
          <w:color w:val="auto"/>
          <w:szCs w:val="21"/>
          <w:highlight w:val="none"/>
        </w:rPr>
        <w:t>①</w:t>
      </w:r>
      <w:r>
        <w:rPr>
          <w:rFonts w:hint="eastAsia" w:ascii="宋体" w:hAnsi="宋体" w:cs="宋体"/>
          <w:color w:val="auto"/>
          <w:szCs w:val="21"/>
          <w:highlight w:val="none"/>
        </w:rPr>
        <w:t>投标文件由投标人使用</w:t>
      </w:r>
      <w:r>
        <w:rPr>
          <w:rFonts w:hint="eastAsia" w:ascii="宋体" w:hAnsi="宋体" w:cs="宋体"/>
          <w:color w:val="auto"/>
          <w:szCs w:val="21"/>
          <w:highlight w:val="none"/>
          <w:lang w:val="en-US" w:eastAsia="zh-CN"/>
        </w:rPr>
        <w:t>新点电子交易平台</w:t>
      </w:r>
      <w:r>
        <w:rPr>
          <w:rFonts w:hint="eastAsia" w:ascii="宋体" w:hAnsi="宋体" w:cs="宋体"/>
          <w:color w:val="auto"/>
          <w:szCs w:val="21"/>
          <w:highlight w:val="none"/>
        </w:rPr>
        <w:t>提供的“投标文件制作工具”制作生成。“投标文件制作工具”可以通过电子交易系统下载。</w:t>
      </w:r>
    </w:p>
    <w:p w14:paraId="424145B6">
      <w:pPr>
        <w:keepNext w:val="0"/>
        <w:keepLines w:val="0"/>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hint="eastAsia" w:ascii="宋体" w:hAnsi="宋体" w:cs="宋体"/>
          <w:color w:val="auto"/>
          <w:szCs w:val="21"/>
          <w:highlight w:val="none"/>
        </w:rPr>
      </w:pPr>
      <w:r>
        <w:rPr>
          <w:rFonts w:hint="eastAsia" w:ascii="宋体" w:hAnsi="宋体" w:eastAsia="宋体" w:cs="宋体"/>
          <w:color w:val="auto"/>
          <w:szCs w:val="21"/>
          <w:highlight w:val="none"/>
        </w:rPr>
        <w:t>②</w:t>
      </w:r>
      <w:r>
        <w:rPr>
          <w:rFonts w:hint="eastAsia" w:ascii="宋体" w:hAnsi="宋体" w:cs="宋体"/>
          <w:b/>
          <w:color w:val="auto"/>
          <w:szCs w:val="21"/>
          <w:highlight w:val="none"/>
        </w:rPr>
        <w:t>招标文件中“签章”是指签字或盖章</w:t>
      </w:r>
      <w:r>
        <w:rPr>
          <w:rFonts w:hint="eastAsia" w:ascii="宋体" w:hAnsi="宋体" w:cs="宋体"/>
          <w:b/>
          <w:color w:val="auto"/>
          <w:szCs w:val="21"/>
          <w:highlight w:val="none"/>
          <w:lang w:val="en-US" w:eastAsia="zh-CN"/>
        </w:rPr>
        <w:t>。在“投标文件格式”中要求单位签章的，投标人应加盖投标人单位电子印章或直接上传加盖投标人单位印章原件彩色扫描件。要求个人签章的，加盖相应人员印章（或电子印章）或相应人员签字均可。</w:t>
      </w:r>
    </w:p>
    <w:p w14:paraId="52D29299">
      <w:pPr>
        <w:keepNext w:val="0"/>
        <w:keepLines w:val="0"/>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hint="eastAsia" w:ascii="宋体" w:hAnsi="宋体" w:cs="宋体"/>
          <w:color w:val="auto"/>
          <w:szCs w:val="21"/>
          <w:highlight w:val="none"/>
        </w:rPr>
      </w:pPr>
      <w:r>
        <w:rPr>
          <w:rFonts w:hint="eastAsia" w:ascii="宋体" w:hAnsi="宋体" w:eastAsia="宋体" w:cs="宋体"/>
          <w:color w:val="auto"/>
          <w:szCs w:val="21"/>
          <w:highlight w:val="none"/>
        </w:rPr>
        <w:t>③</w:t>
      </w:r>
      <w:r>
        <w:rPr>
          <w:rFonts w:hint="eastAsia" w:ascii="宋体" w:hAnsi="宋体" w:cs="宋体"/>
          <w:color w:val="auto"/>
          <w:szCs w:val="21"/>
          <w:highlight w:val="none"/>
        </w:rPr>
        <w:t>投标文件制作完成后，投标人应对投标文件进行文件加密，形成加密的投标文件。采用CA数字证书加密的，加密时投标文件的所有内容均只能使用同一把CA数字证书进行加密，否则引起的解密失败责任由投标人自行承担。</w:t>
      </w:r>
    </w:p>
    <w:p w14:paraId="0BE993A2">
      <w:pPr>
        <w:keepNext w:val="0"/>
        <w:keepLines w:val="0"/>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hint="eastAsia"/>
          <w:color w:val="auto"/>
          <w:highlight w:val="none"/>
          <w:lang w:val="en-US" w:eastAsia="zh-CN"/>
        </w:rPr>
      </w:pP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7</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rPr>
        <w:t>因投标人自身原因而导致投标文件无法导入电子交易系统电子开标、评标系统，该投标视为无效投标，投标人自行承担由此导致的全部责任。</w:t>
      </w:r>
    </w:p>
    <w:p w14:paraId="235F678A">
      <w:pPr>
        <w:keepNext w:val="0"/>
        <w:keepLines w:val="0"/>
        <w:pageBreakBefore w:val="0"/>
        <w:widowControl w:val="0"/>
        <w:kinsoku/>
        <w:wordWrap/>
        <w:overflowPunct/>
        <w:topLinePunct w:val="0"/>
        <w:autoSpaceDE/>
        <w:autoSpaceDN/>
        <w:bidi w:val="0"/>
        <w:spacing w:line="500" w:lineRule="exac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20</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投标报价</w:t>
      </w:r>
    </w:p>
    <w:p w14:paraId="05488F20">
      <w:pPr>
        <w:keepNext w:val="0"/>
        <w:keepLines w:val="0"/>
        <w:pageBreakBefore w:val="0"/>
        <w:widowControl w:val="0"/>
        <w:kinsoku/>
        <w:wordWrap/>
        <w:overflowPunct/>
        <w:topLinePunct w:val="0"/>
        <w:autoSpaceDE/>
        <w:autoSpaceDN/>
        <w:bidi w:val="0"/>
        <w:spacing w:line="500" w:lineRule="exac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20</w:t>
      </w:r>
      <w:r>
        <w:rPr>
          <w:rFonts w:hint="eastAsia" w:ascii="宋体" w:hAnsi="宋体" w:eastAsia="宋体" w:cs="宋体"/>
          <w:color w:val="auto"/>
          <w:sz w:val="21"/>
          <w:szCs w:val="21"/>
          <w:highlight w:val="none"/>
        </w:rPr>
        <w:t>.1投标人的投标报价包括按合同规定的范围所提供的全部服务所需的费用，即招标范围内人员工资、办公费用、</w:t>
      </w:r>
      <w:r>
        <w:rPr>
          <w:rFonts w:hint="eastAsia" w:ascii="宋体" w:hAnsi="宋体" w:cs="宋体"/>
          <w:color w:val="auto"/>
          <w:sz w:val="21"/>
          <w:szCs w:val="21"/>
          <w:highlight w:val="none"/>
          <w:lang w:val="en-US" w:eastAsia="zh-CN"/>
        </w:rPr>
        <w:t>招标代理费、</w:t>
      </w:r>
      <w:r>
        <w:rPr>
          <w:rFonts w:hint="eastAsia" w:ascii="宋体" w:hAnsi="宋体" w:eastAsia="宋体" w:cs="宋体"/>
          <w:color w:val="auto"/>
          <w:sz w:val="21"/>
          <w:szCs w:val="21"/>
          <w:highlight w:val="none"/>
          <w:lang w:val="en-US" w:eastAsia="zh-CN"/>
        </w:rPr>
        <w:t>专家评审费、</w:t>
      </w:r>
      <w:r>
        <w:rPr>
          <w:rFonts w:hint="eastAsia" w:ascii="宋体" w:hAnsi="宋体" w:eastAsia="宋体" w:cs="宋体"/>
          <w:color w:val="auto"/>
          <w:sz w:val="21"/>
          <w:szCs w:val="21"/>
          <w:highlight w:val="none"/>
        </w:rPr>
        <w:t>成本、利润及税金等</w:t>
      </w:r>
      <w:r>
        <w:rPr>
          <w:rFonts w:hint="eastAsia" w:ascii="宋体" w:hAnsi="宋体" w:eastAsia="宋体" w:cs="宋体"/>
          <w:color w:val="auto"/>
          <w:sz w:val="21"/>
          <w:szCs w:val="21"/>
          <w:highlight w:val="none"/>
          <w:lang w:val="en-US" w:eastAsia="zh-CN"/>
        </w:rPr>
        <w:t>完成本项目所有工作所产生的</w:t>
      </w:r>
      <w:r>
        <w:rPr>
          <w:rFonts w:hint="eastAsia" w:ascii="宋体" w:hAnsi="宋体" w:eastAsia="宋体" w:cs="宋体"/>
          <w:color w:val="auto"/>
          <w:sz w:val="21"/>
          <w:szCs w:val="21"/>
          <w:highlight w:val="none"/>
        </w:rPr>
        <w:t>全部费用。</w:t>
      </w:r>
    </w:p>
    <w:p w14:paraId="076B814B">
      <w:pPr>
        <w:keepNext w:val="0"/>
        <w:keepLines w:val="0"/>
        <w:pageBreakBefore w:val="0"/>
        <w:widowControl w:val="0"/>
        <w:kinsoku/>
        <w:wordWrap/>
        <w:overflowPunct/>
        <w:topLinePunct w:val="0"/>
        <w:autoSpaceDE/>
        <w:autoSpaceDN/>
        <w:bidi w:val="0"/>
        <w:spacing w:line="500" w:lineRule="exac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20</w:t>
      </w:r>
      <w:r>
        <w:rPr>
          <w:rFonts w:hint="eastAsia" w:ascii="宋体" w:hAnsi="宋体" w:eastAsia="宋体" w:cs="宋体"/>
          <w:color w:val="auto"/>
          <w:sz w:val="21"/>
          <w:szCs w:val="21"/>
          <w:highlight w:val="none"/>
        </w:rPr>
        <w:t>.2 投标报价不按规定报价的，其投标文件按无效标处理。</w:t>
      </w:r>
    </w:p>
    <w:p w14:paraId="79647B60">
      <w:pPr>
        <w:keepNext w:val="0"/>
        <w:keepLines w:val="0"/>
        <w:pageBreakBefore w:val="0"/>
        <w:widowControl w:val="0"/>
        <w:kinsoku/>
        <w:wordWrap/>
        <w:overflowPunct/>
        <w:topLinePunct w:val="0"/>
        <w:autoSpaceDE/>
        <w:autoSpaceDN/>
        <w:bidi w:val="0"/>
        <w:spacing w:line="5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.投标有效期</w:t>
      </w:r>
    </w:p>
    <w:p w14:paraId="6BD254F2">
      <w:pPr>
        <w:keepNext w:val="0"/>
        <w:keepLines w:val="0"/>
        <w:pageBreakBefore w:val="0"/>
        <w:widowControl w:val="0"/>
        <w:kinsoku/>
        <w:wordWrap/>
        <w:overflowPunct/>
        <w:topLinePunct w:val="0"/>
        <w:autoSpaceDE/>
        <w:autoSpaceDN/>
        <w:bidi w:val="0"/>
        <w:spacing w:line="5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.1投标有效期为</w:t>
      </w:r>
      <w:r>
        <w:rPr>
          <w:rFonts w:hint="eastAsia" w:ascii="宋体" w:hAnsi="宋体" w:eastAsia="宋体" w:cs="宋体"/>
          <w:color w:val="auto"/>
          <w:sz w:val="21"/>
          <w:szCs w:val="21"/>
          <w:highlight w:val="none"/>
          <w:u w:val="single"/>
        </w:rPr>
        <w:t>60</w:t>
      </w:r>
      <w:r>
        <w:rPr>
          <w:rFonts w:hint="eastAsia" w:ascii="宋体" w:hAnsi="宋体" w:eastAsia="宋体" w:cs="宋体"/>
          <w:color w:val="auto"/>
          <w:sz w:val="21"/>
          <w:szCs w:val="21"/>
          <w:highlight w:val="none"/>
        </w:rPr>
        <w:t>日历天（从投标截止之日算起）。在此期限内，凡符合本招标文件要求的投标文件均保持有效。</w:t>
      </w:r>
    </w:p>
    <w:p w14:paraId="3EF24EAB">
      <w:pPr>
        <w:keepNext w:val="0"/>
        <w:keepLines w:val="0"/>
        <w:pageBreakBefore w:val="0"/>
        <w:widowControl w:val="0"/>
        <w:kinsoku/>
        <w:wordWrap/>
        <w:overflowPunct/>
        <w:topLinePunct w:val="0"/>
        <w:autoSpaceDE/>
        <w:autoSpaceDN/>
        <w:bidi w:val="0"/>
        <w:spacing w:line="50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.2 在特殊情况下，招标人在原定投标有效期内，可以根据需要以书面形式向投标人提出延长投标有效期的要求，对此要求投标人须以书面形式予以答复。投标人可以拒绝招标人这种要求，而不被没收投标保证金。同意延长投标有效期的投标人既不能要求也不允许修改其投标文件，但需要相应的延长投标担保的有效期，在延长的投标有效期内，本须知关于投标担保的退还与没收的规定仍然适用</w:t>
      </w:r>
      <w:r>
        <w:rPr>
          <w:rFonts w:hint="eastAsia" w:ascii="宋体" w:hAnsi="宋体" w:eastAsia="宋体" w:cs="宋体"/>
          <w:color w:val="auto"/>
          <w:sz w:val="24"/>
          <w:highlight w:val="none"/>
        </w:rPr>
        <w:t>。</w:t>
      </w:r>
    </w:p>
    <w:p w14:paraId="0A229A7F">
      <w:pPr>
        <w:keepNext w:val="0"/>
        <w:keepLines w:val="0"/>
        <w:pageBreakBefore w:val="0"/>
        <w:widowControl w:val="0"/>
        <w:kinsoku/>
        <w:wordWrap/>
        <w:overflowPunct/>
        <w:topLinePunct w:val="0"/>
        <w:autoSpaceDE/>
        <w:autoSpaceDN/>
        <w:bidi w:val="0"/>
        <w:adjustRightInd/>
        <w:snapToGrid/>
        <w:spacing w:before="313" w:beforeLines="100" w:line="500" w:lineRule="exact"/>
        <w:jc w:val="center"/>
        <w:textAlignment w:val="auto"/>
        <w:outlineLvl w:val="1"/>
        <w:rPr>
          <w:rFonts w:hint="eastAsia" w:ascii="宋体" w:hAnsi="宋体" w:eastAsia="宋体" w:cs="宋体"/>
          <w:color w:val="auto"/>
          <w:sz w:val="28"/>
          <w:szCs w:val="28"/>
          <w:highlight w:val="none"/>
        </w:rPr>
      </w:pPr>
      <w:bookmarkStart w:id="48" w:name="_Toc27519"/>
      <w:bookmarkStart w:id="49" w:name="_Toc13407"/>
      <w:r>
        <w:rPr>
          <w:rFonts w:hint="eastAsia" w:ascii="宋体" w:hAnsi="宋体" w:eastAsia="宋体" w:cs="宋体"/>
          <w:b/>
          <w:bCs/>
          <w:color w:val="auto"/>
          <w:sz w:val="28"/>
          <w:highlight w:val="none"/>
        </w:rPr>
        <w:t>四、投标文件的递交</w:t>
      </w:r>
      <w:bookmarkEnd w:id="48"/>
      <w:bookmarkEnd w:id="49"/>
    </w:p>
    <w:p w14:paraId="3545408C">
      <w:pPr>
        <w:numPr>
          <w:ilvl w:val="0"/>
          <w:numId w:val="0"/>
        </w:numPr>
        <w:spacing w:line="440" w:lineRule="exact"/>
        <w:jc w:val="both"/>
        <w:rPr>
          <w:rFonts w:hint="eastAsia" w:ascii="宋体" w:hAnsi="Times New Roman" w:eastAsia="宋体" w:cs="Times New Roman"/>
          <w:b/>
          <w:bCs/>
          <w:color w:val="auto"/>
          <w:szCs w:val="21"/>
          <w:highlight w:val="none"/>
        </w:rPr>
      </w:pPr>
      <w:r>
        <w:rPr>
          <w:rFonts w:hint="eastAsia" w:ascii="宋体" w:hAnsi="宋体" w:cs="宋体"/>
          <w:b/>
          <w:bCs/>
          <w:color w:val="auto"/>
          <w:sz w:val="21"/>
          <w:szCs w:val="21"/>
          <w:highlight w:val="none"/>
          <w:lang w:val="en-US" w:eastAsia="zh-CN"/>
        </w:rPr>
        <w:t>22.</w:t>
      </w:r>
      <w:r>
        <w:rPr>
          <w:rFonts w:hint="eastAsia" w:ascii="宋体" w:hAnsi="Times New Roman" w:eastAsia="宋体" w:cs="Times New Roman"/>
          <w:b/>
          <w:bCs/>
          <w:color w:val="auto"/>
          <w:szCs w:val="21"/>
          <w:highlight w:val="none"/>
        </w:rPr>
        <w:t>投标文件的份数和签署</w:t>
      </w:r>
    </w:p>
    <w:p w14:paraId="0F10380A">
      <w:pPr>
        <w:spacing w:line="440" w:lineRule="exact"/>
        <w:jc w:val="left"/>
        <w:rPr>
          <w:rFonts w:hint="eastAsia" w:ascii="宋体" w:hAnsi="宋体"/>
          <w:b/>
          <w:bCs/>
          <w:color w:val="auto"/>
          <w:szCs w:val="21"/>
          <w:highlight w:val="none"/>
        </w:rPr>
      </w:pPr>
      <w:r>
        <w:rPr>
          <w:rFonts w:hint="eastAsia" w:ascii="宋体"/>
          <w:b/>
          <w:bCs/>
          <w:color w:val="auto"/>
          <w:szCs w:val="21"/>
          <w:highlight w:val="none"/>
        </w:rPr>
        <w:t>2</w:t>
      </w:r>
      <w:r>
        <w:rPr>
          <w:rFonts w:hint="eastAsia" w:ascii="宋体"/>
          <w:b/>
          <w:bCs/>
          <w:color w:val="auto"/>
          <w:szCs w:val="21"/>
          <w:highlight w:val="none"/>
          <w:lang w:val="en-US" w:eastAsia="zh-CN"/>
        </w:rPr>
        <w:t>2</w:t>
      </w:r>
      <w:r>
        <w:rPr>
          <w:rFonts w:hint="eastAsia" w:ascii="宋体"/>
          <w:b/>
          <w:bCs/>
          <w:color w:val="auto"/>
          <w:szCs w:val="21"/>
          <w:highlight w:val="none"/>
        </w:rPr>
        <w:t>.1</w:t>
      </w:r>
      <w:r>
        <w:rPr>
          <w:rFonts w:hint="eastAsia" w:ascii="宋体" w:hAnsi="宋体" w:cs="宋体"/>
          <w:color w:val="auto"/>
          <w:kern w:val="0"/>
          <w:szCs w:val="21"/>
          <w:highlight w:val="none"/>
        </w:rPr>
        <w:t>投标人中标后须递交与网上电子投标文件完全一致的纸质版投标文件，在领取中标通知书时，一并递交给招标代理机构。</w:t>
      </w:r>
    </w:p>
    <w:p w14:paraId="28A205A5">
      <w:pPr>
        <w:keepNext w:val="0"/>
        <w:keepLines w:val="0"/>
        <w:pageBreakBefore w:val="0"/>
        <w:widowControl w:val="0"/>
        <w:kinsoku/>
        <w:wordWrap/>
        <w:overflowPunct/>
        <w:topLinePunct w:val="0"/>
        <w:autoSpaceDE/>
        <w:autoSpaceDN/>
        <w:bidi w:val="0"/>
        <w:spacing w:line="500" w:lineRule="exact"/>
        <w:jc w:val="left"/>
        <w:textAlignment w:val="auto"/>
        <w:rPr>
          <w:rFonts w:hint="eastAsia" w:ascii="宋体" w:hAnsi="宋体" w:eastAsia="宋体" w:cs="宋体"/>
          <w:color w:val="auto"/>
          <w:sz w:val="21"/>
          <w:szCs w:val="21"/>
          <w:highlight w:val="none"/>
        </w:rPr>
      </w:pPr>
      <w:r>
        <w:rPr>
          <w:rFonts w:hint="eastAsia" w:ascii="宋体"/>
          <w:b/>
          <w:bCs/>
          <w:color w:val="auto"/>
          <w:szCs w:val="21"/>
          <w:highlight w:val="none"/>
        </w:rPr>
        <w:t>2</w:t>
      </w:r>
      <w:r>
        <w:rPr>
          <w:rFonts w:hint="eastAsia" w:ascii="宋体"/>
          <w:b/>
          <w:bCs/>
          <w:color w:val="auto"/>
          <w:szCs w:val="21"/>
          <w:highlight w:val="none"/>
          <w:lang w:val="en-US" w:eastAsia="zh-CN"/>
        </w:rPr>
        <w:t>2</w:t>
      </w:r>
      <w:r>
        <w:rPr>
          <w:rFonts w:hint="eastAsia" w:ascii="宋体"/>
          <w:b/>
          <w:bCs/>
          <w:color w:val="auto"/>
          <w:szCs w:val="21"/>
          <w:highlight w:val="none"/>
        </w:rPr>
        <w:t xml:space="preserve">.2 </w:t>
      </w:r>
      <w:r>
        <w:rPr>
          <w:rFonts w:hint="eastAsia" w:ascii="宋体" w:hAnsi="宋体"/>
          <w:b/>
          <w:color w:val="auto"/>
          <w:szCs w:val="21"/>
          <w:highlight w:val="none"/>
        </w:rPr>
        <w:t>电子投标文件须按格式文件要求签字或盖章（电子签章），否则经评委会一致认定后, 按照无效投标处理</w:t>
      </w:r>
      <w:r>
        <w:rPr>
          <w:rFonts w:hint="eastAsia" w:ascii="宋体" w:hAnsi="宋体" w:eastAsia="宋体" w:cs="宋体"/>
          <w:color w:val="auto"/>
          <w:sz w:val="21"/>
          <w:szCs w:val="21"/>
          <w:highlight w:val="none"/>
        </w:rPr>
        <w:t>。</w:t>
      </w:r>
    </w:p>
    <w:p w14:paraId="63552288">
      <w:pPr>
        <w:spacing w:line="440" w:lineRule="exact"/>
        <w:jc w:val="left"/>
        <w:rPr>
          <w:rFonts w:hint="eastAsia" w:ascii="宋体" w:hAnsi="宋体"/>
          <w:b/>
          <w:bCs/>
          <w:color w:val="auto"/>
          <w:szCs w:val="21"/>
          <w:highlight w:val="none"/>
        </w:rPr>
      </w:pPr>
      <w:r>
        <w:rPr>
          <w:rFonts w:hint="eastAsia" w:ascii="宋体" w:hAnsi="宋体" w:cs="宋体"/>
          <w:b/>
          <w:bCs/>
          <w:color w:val="auto"/>
          <w:sz w:val="21"/>
          <w:szCs w:val="21"/>
          <w:highlight w:val="none"/>
          <w:lang w:val="en-US" w:eastAsia="zh-CN"/>
        </w:rPr>
        <w:t>23.</w:t>
      </w:r>
      <w:r>
        <w:rPr>
          <w:rFonts w:hint="eastAsia" w:ascii="宋体" w:hAnsi="宋体"/>
          <w:b/>
          <w:bCs/>
          <w:color w:val="auto"/>
          <w:szCs w:val="21"/>
          <w:highlight w:val="none"/>
        </w:rPr>
        <w:t>投标文件的</w:t>
      </w:r>
      <w:r>
        <w:rPr>
          <w:rFonts w:hint="eastAsia" w:ascii="宋体" w:hAnsi="宋体"/>
          <w:b/>
          <w:color w:val="auto"/>
          <w:szCs w:val="21"/>
          <w:highlight w:val="none"/>
        </w:rPr>
        <w:t>递</w:t>
      </w:r>
      <w:r>
        <w:rPr>
          <w:rFonts w:hint="eastAsia" w:ascii="宋体" w:hAnsi="宋体"/>
          <w:b/>
          <w:bCs/>
          <w:color w:val="auto"/>
          <w:szCs w:val="21"/>
          <w:highlight w:val="none"/>
        </w:rPr>
        <w:t>交</w:t>
      </w:r>
    </w:p>
    <w:p w14:paraId="7F8AEA89">
      <w:pPr>
        <w:keepNext w:val="0"/>
        <w:keepLines w:val="0"/>
        <w:pageBreakBefore w:val="0"/>
        <w:widowControl w:val="0"/>
        <w:kinsoku/>
        <w:wordWrap/>
        <w:overflowPunct/>
        <w:topLinePunct w:val="0"/>
        <w:autoSpaceDE/>
        <w:autoSpaceDN/>
        <w:bidi w:val="0"/>
        <w:spacing w:line="500" w:lineRule="exact"/>
        <w:jc w:val="left"/>
        <w:textAlignment w:val="auto"/>
        <w:rPr>
          <w:rFonts w:hint="eastAsia" w:ascii="宋体" w:hAnsi="宋体" w:eastAsia="宋体" w:cs="宋体"/>
          <w:color w:val="auto"/>
          <w:sz w:val="21"/>
          <w:szCs w:val="21"/>
          <w:highlight w:val="none"/>
        </w:rPr>
      </w:pPr>
      <w:r>
        <w:rPr>
          <w:rFonts w:hint="eastAsia" w:ascii="宋体" w:hAnsi="宋体"/>
          <w:b/>
          <w:color w:val="auto"/>
          <w:szCs w:val="21"/>
          <w:highlight w:val="none"/>
        </w:rPr>
        <w:t>2</w:t>
      </w:r>
      <w:r>
        <w:rPr>
          <w:rFonts w:hint="eastAsia" w:ascii="宋体" w:hAnsi="宋体"/>
          <w:b/>
          <w:color w:val="auto"/>
          <w:szCs w:val="21"/>
          <w:highlight w:val="none"/>
          <w:lang w:val="en-US" w:eastAsia="zh-CN"/>
        </w:rPr>
        <w:t>3</w:t>
      </w:r>
      <w:r>
        <w:rPr>
          <w:rFonts w:hint="eastAsia" w:ascii="宋体" w:hAnsi="宋体"/>
          <w:b/>
          <w:color w:val="auto"/>
          <w:szCs w:val="21"/>
          <w:highlight w:val="none"/>
        </w:rPr>
        <w:t>.1 投标人应当在投标截止时间前完成投标文件的网上递交，并可以补充、修改或者撤回投标文件。投标截止时间前未完成投标文件网上递交的，视为撤回投标文件。未按规定加密或投标截止时间后通过</w:t>
      </w:r>
      <w:r>
        <w:rPr>
          <w:rFonts w:hint="eastAsia" w:ascii="宋体" w:hAnsi="宋体"/>
          <w:b/>
          <w:color w:val="auto"/>
          <w:szCs w:val="21"/>
          <w:highlight w:val="none"/>
          <w:lang w:val="en-US" w:eastAsia="zh-CN"/>
        </w:rPr>
        <w:t>新点电子交易平台</w:t>
      </w:r>
      <w:r>
        <w:rPr>
          <w:rFonts w:hint="eastAsia" w:ascii="宋体" w:hAnsi="宋体"/>
          <w:b/>
          <w:color w:val="auto"/>
          <w:szCs w:val="21"/>
          <w:highlight w:val="none"/>
        </w:rPr>
        <w:t>递交电子投标文件的，电子交易系统应当拒收，投标无效</w:t>
      </w:r>
      <w:r>
        <w:rPr>
          <w:rFonts w:hint="eastAsia" w:ascii="宋体" w:hAnsi="宋体" w:eastAsia="宋体" w:cs="宋体"/>
          <w:color w:val="auto"/>
          <w:sz w:val="21"/>
          <w:szCs w:val="21"/>
          <w:highlight w:val="none"/>
        </w:rPr>
        <w:t>。</w:t>
      </w:r>
    </w:p>
    <w:p w14:paraId="6948FF47">
      <w:pPr>
        <w:spacing w:line="440" w:lineRule="exact"/>
        <w:rPr>
          <w:rFonts w:hint="eastAsia" w:ascii="宋体"/>
          <w:b/>
          <w:color w:val="auto"/>
          <w:szCs w:val="21"/>
          <w:highlight w:val="none"/>
        </w:rPr>
      </w:pPr>
      <w:r>
        <w:rPr>
          <w:rFonts w:hint="eastAsia" w:ascii="宋体"/>
          <w:b/>
          <w:color w:val="auto"/>
          <w:szCs w:val="21"/>
          <w:highlight w:val="none"/>
        </w:rPr>
        <w:t>2</w:t>
      </w:r>
      <w:r>
        <w:rPr>
          <w:rFonts w:hint="eastAsia" w:ascii="宋体"/>
          <w:b/>
          <w:color w:val="auto"/>
          <w:szCs w:val="21"/>
          <w:highlight w:val="none"/>
          <w:lang w:val="en-US" w:eastAsia="zh-CN"/>
        </w:rPr>
        <w:t>4</w:t>
      </w:r>
      <w:r>
        <w:rPr>
          <w:rFonts w:hint="eastAsia" w:ascii="宋体"/>
          <w:b/>
          <w:color w:val="auto"/>
          <w:szCs w:val="21"/>
          <w:highlight w:val="none"/>
        </w:rPr>
        <w:t>．投标文件的修改与撤回</w:t>
      </w:r>
    </w:p>
    <w:p w14:paraId="1800A27E">
      <w:pPr>
        <w:keepNext w:val="0"/>
        <w:keepLines w:val="0"/>
        <w:pageBreakBefore w:val="0"/>
        <w:widowControl w:val="0"/>
        <w:kinsoku/>
        <w:wordWrap/>
        <w:overflowPunct/>
        <w:topLinePunct w:val="0"/>
        <w:autoSpaceDE/>
        <w:autoSpaceDN/>
        <w:bidi w:val="0"/>
        <w:spacing w:line="500" w:lineRule="exact"/>
        <w:textAlignment w:val="auto"/>
        <w:rPr>
          <w:rFonts w:hint="eastAsia" w:ascii="宋体" w:hAnsi="宋体" w:eastAsia="宋体" w:cs="宋体"/>
          <w:color w:val="auto"/>
          <w:sz w:val="28"/>
          <w:szCs w:val="28"/>
          <w:highlight w:val="none"/>
          <w:lang w:eastAsia="zh-CN"/>
        </w:rPr>
      </w:pPr>
      <w:r>
        <w:rPr>
          <w:rFonts w:hint="eastAsia" w:ascii="宋体" w:hAnsi="宋体"/>
          <w:color w:val="auto"/>
          <w:szCs w:val="21"/>
          <w:highlight w:val="none"/>
        </w:rPr>
        <w:t>2</w:t>
      </w:r>
      <w:r>
        <w:rPr>
          <w:rFonts w:hint="eastAsia" w:ascii="宋体" w:hAnsi="宋体"/>
          <w:color w:val="auto"/>
          <w:szCs w:val="21"/>
          <w:highlight w:val="none"/>
          <w:lang w:val="en-US" w:eastAsia="zh-CN"/>
        </w:rPr>
        <w:t>4</w:t>
      </w:r>
      <w:r>
        <w:rPr>
          <w:rFonts w:hint="eastAsia" w:ascii="宋体" w:hAnsi="宋体"/>
          <w:color w:val="auto"/>
          <w:szCs w:val="21"/>
          <w:highlight w:val="none"/>
        </w:rPr>
        <w:t xml:space="preserve">.1 </w:t>
      </w:r>
      <w:r>
        <w:rPr>
          <w:rFonts w:hint="eastAsia" w:ascii="宋体" w:hAnsi="宋体" w:cs="宋体"/>
          <w:color w:val="auto"/>
          <w:szCs w:val="21"/>
          <w:highlight w:val="none"/>
        </w:rPr>
        <w:t>在“招标公告”规定的投标截止时间前，投标人可以自行从网上</w:t>
      </w:r>
      <w:r>
        <w:rPr>
          <w:rFonts w:hint="eastAsia" w:ascii="宋体" w:hAnsi="宋体" w:cs="宋体"/>
          <w:color w:val="auto"/>
          <w:szCs w:val="21"/>
          <w:highlight w:val="none"/>
          <w:lang w:val="en-US" w:eastAsia="zh-CN"/>
        </w:rPr>
        <w:t>新点电子交易平台</w:t>
      </w:r>
      <w:r>
        <w:rPr>
          <w:rFonts w:hint="eastAsia" w:ascii="宋体" w:hAnsi="宋体" w:cs="宋体"/>
          <w:color w:val="auto"/>
          <w:szCs w:val="21"/>
          <w:highlight w:val="none"/>
        </w:rPr>
        <w:t>撤回已递交的投标文件，并可修改后重新加密上传，开标时以投标截止时间前投标人最终上传的投标文件为准</w:t>
      </w:r>
      <w:r>
        <w:rPr>
          <w:rFonts w:hint="eastAsia" w:ascii="宋体" w:hAnsi="宋体" w:cs="宋体"/>
          <w:color w:val="auto"/>
          <w:szCs w:val="21"/>
          <w:highlight w:val="none"/>
          <w:lang w:eastAsia="zh-CN"/>
        </w:rPr>
        <w:t>。</w:t>
      </w:r>
    </w:p>
    <w:p w14:paraId="7500E7D0">
      <w:pPr>
        <w:keepNext w:val="0"/>
        <w:keepLines w:val="0"/>
        <w:pageBreakBefore w:val="0"/>
        <w:widowControl w:val="0"/>
        <w:kinsoku/>
        <w:wordWrap/>
        <w:overflowPunct/>
        <w:topLinePunct w:val="0"/>
        <w:autoSpaceDE/>
        <w:autoSpaceDN/>
        <w:bidi w:val="0"/>
        <w:adjustRightInd/>
        <w:snapToGrid/>
        <w:spacing w:before="313" w:beforeLines="100" w:line="500" w:lineRule="exact"/>
        <w:jc w:val="center"/>
        <w:textAlignment w:val="auto"/>
        <w:outlineLvl w:val="1"/>
        <w:rPr>
          <w:rFonts w:hint="eastAsia" w:ascii="宋体" w:hAnsi="宋体" w:eastAsia="宋体" w:cs="宋体"/>
          <w:b/>
          <w:bCs/>
          <w:color w:val="auto"/>
          <w:sz w:val="28"/>
          <w:highlight w:val="none"/>
        </w:rPr>
      </w:pPr>
      <w:bookmarkStart w:id="50" w:name="_Toc24005"/>
      <w:bookmarkStart w:id="51" w:name="_Toc18173"/>
      <w:r>
        <w:rPr>
          <w:rFonts w:hint="eastAsia" w:ascii="宋体" w:hAnsi="宋体" w:eastAsia="宋体" w:cs="宋体"/>
          <w:b/>
          <w:bCs/>
          <w:color w:val="auto"/>
          <w:sz w:val="28"/>
          <w:highlight w:val="none"/>
        </w:rPr>
        <w:t>五、开标、评标和定标</w:t>
      </w:r>
      <w:bookmarkEnd w:id="50"/>
      <w:bookmarkEnd w:id="51"/>
    </w:p>
    <w:p w14:paraId="066918F9">
      <w:pPr>
        <w:keepNext w:val="0"/>
        <w:keepLines w:val="0"/>
        <w:pageBreakBefore w:val="0"/>
        <w:widowControl w:val="0"/>
        <w:kinsoku/>
        <w:wordWrap/>
        <w:overflowPunct/>
        <w:topLinePunct w:val="0"/>
        <w:autoSpaceDE/>
        <w:autoSpaceDN/>
        <w:bidi w:val="0"/>
        <w:spacing w:line="5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5</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开标</w:t>
      </w:r>
    </w:p>
    <w:p w14:paraId="4366EFD4">
      <w:pPr>
        <w:keepNext w:val="0"/>
        <w:keepLines w:val="0"/>
        <w:pageBreakBefore w:val="0"/>
        <w:widowControl w:val="0"/>
        <w:kinsoku/>
        <w:wordWrap/>
        <w:overflowPunct/>
        <w:topLinePunct w:val="0"/>
        <w:autoSpaceDE/>
        <w:autoSpaceDN/>
        <w:bidi w:val="0"/>
        <w:spacing w:line="5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.1 开标的时间和地点</w:t>
      </w:r>
    </w:p>
    <w:p w14:paraId="5776DF3D">
      <w:pPr>
        <w:keepNext w:val="0"/>
        <w:keepLines w:val="0"/>
        <w:pageBreakBefore w:val="0"/>
        <w:widowControl w:val="0"/>
        <w:kinsoku/>
        <w:wordWrap/>
        <w:overflowPunct/>
        <w:topLinePunct w:val="0"/>
        <w:autoSpaceDE/>
        <w:autoSpaceDN/>
        <w:bidi w:val="0"/>
        <w:spacing w:line="5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.1.1</w:t>
      </w:r>
      <w:r>
        <w:rPr>
          <w:rFonts w:hint="eastAsia" w:ascii="宋体" w:hAnsi="宋体" w:cs="宋体"/>
          <w:color w:val="auto"/>
          <w:szCs w:val="21"/>
          <w:highlight w:val="none"/>
        </w:rPr>
        <w:t>招标人在“招标公告”规定的投标截止时间前（开标时间）和地点</w:t>
      </w:r>
      <w:r>
        <w:rPr>
          <w:color w:val="auto"/>
          <w:highlight w:val="none"/>
        </w:rPr>
        <w:t>通过</w:t>
      </w:r>
      <w:r>
        <w:rPr>
          <w:rFonts w:hint="eastAsia"/>
          <w:color w:val="auto"/>
          <w:highlight w:val="none"/>
          <w:lang w:val="en-US" w:eastAsia="zh-CN"/>
        </w:rPr>
        <w:t>新点电子交易平台</w:t>
      </w:r>
      <w:r>
        <w:rPr>
          <w:color w:val="auto"/>
          <w:highlight w:val="none"/>
        </w:rPr>
        <w:t>公开开标</w:t>
      </w:r>
      <w:r>
        <w:rPr>
          <w:rFonts w:hint="eastAsia" w:ascii="宋体" w:hAnsi="宋体" w:eastAsia="宋体" w:cs="宋体"/>
          <w:color w:val="auto"/>
          <w:sz w:val="21"/>
          <w:szCs w:val="21"/>
          <w:highlight w:val="none"/>
        </w:rPr>
        <w:t>。</w:t>
      </w:r>
    </w:p>
    <w:p w14:paraId="1CEDA917">
      <w:pPr>
        <w:keepNext w:val="0"/>
        <w:keepLines w:val="0"/>
        <w:pageBreakBefore w:val="0"/>
        <w:widowControl w:val="0"/>
        <w:kinsoku/>
        <w:wordWrap/>
        <w:overflowPunct/>
        <w:topLinePunct w:val="0"/>
        <w:autoSpaceDE/>
        <w:autoSpaceDN/>
        <w:bidi w:val="0"/>
        <w:spacing w:line="5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.2 参与开标的相关部门：招标人等。</w:t>
      </w:r>
    </w:p>
    <w:p w14:paraId="1AB92E7B">
      <w:pPr>
        <w:keepNext w:val="0"/>
        <w:keepLines w:val="0"/>
        <w:pageBreakBefore w:val="0"/>
        <w:widowControl w:val="0"/>
        <w:kinsoku/>
        <w:wordWrap/>
        <w:overflowPunct/>
        <w:topLinePunct w:val="0"/>
        <w:autoSpaceDE/>
        <w:autoSpaceDN/>
        <w:bidi w:val="0"/>
        <w:spacing w:line="5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 xml:space="preserve"> 开标程序</w:t>
      </w:r>
    </w:p>
    <w:p w14:paraId="52832887">
      <w:pPr>
        <w:wordWrap w:val="0"/>
        <w:spacing w:line="440" w:lineRule="exact"/>
        <w:ind w:right="-155" w:rightChars="-74" w:firstLine="210" w:firstLineChars="100"/>
        <w:jc w:val="left"/>
        <w:rPr>
          <w:rFonts w:hint="eastAsia" w:ascii="宋体"/>
          <w:color w:val="auto"/>
          <w:szCs w:val="21"/>
          <w:highlight w:val="none"/>
        </w:rPr>
      </w:pPr>
      <w:r>
        <w:rPr>
          <w:rFonts w:hint="eastAsia" w:ascii="宋体"/>
          <w:color w:val="auto"/>
          <w:szCs w:val="21"/>
          <w:highlight w:val="none"/>
          <w:lang w:val="en-US" w:eastAsia="zh-CN"/>
        </w:rPr>
        <w:t xml:space="preserve">开标会议由采购代理机构主持。 </w:t>
      </w:r>
    </w:p>
    <w:p w14:paraId="04855B42">
      <w:pPr>
        <w:wordWrap w:val="0"/>
        <w:spacing w:line="440" w:lineRule="exact"/>
        <w:ind w:right="-155" w:rightChars="-74" w:firstLine="210" w:firstLineChars="100"/>
        <w:jc w:val="left"/>
        <w:rPr>
          <w:rFonts w:hint="eastAsia" w:ascii="宋体"/>
          <w:color w:val="auto"/>
          <w:szCs w:val="21"/>
          <w:highlight w:val="none"/>
          <w:lang w:val="en-US" w:eastAsia="zh-CN"/>
        </w:rPr>
      </w:pPr>
      <w:r>
        <w:rPr>
          <w:rFonts w:hint="eastAsia" w:ascii="宋体"/>
          <w:color w:val="auto"/>
          <w:szCs w:val="21"/>
          <w:highlight w:val="none"/>
          <w:lang w:val="en-US" w:eastAsia="zh-CN"/>
        </w:rPr>
        <w:t>（1）公布在投标截止时间前通过新点电子交易平台完成投标文件递交的投标人名称；</w:t>
      </w:r>
    </w:p>
    <w:p w14:paraId="7F3D1C47">
      <w:pPr>
        <w:wordWrap w:val="0"/>
        <w:spacing w:line="440" w:lineRule="exact"/>
        <w:ind w:right="-155" w:rightChars="-74" w:firstLine="210" w:firstLineChars="100"/>
        <w:jc w:val="left"/>
        <w:rPr>
          <w:rFonts w:hint="eastAsia" w:ascii="宋体"/>
          <w:color w:val="auto"/>
          <w:szCs w:val="21"/>
          <w:highlight w:val="none"/>
          <w:lang w:val="en-US" w:eastAsia="zh-CN"/>
        </w:rPr>
      </w:pPr>
      <w:r>
        <w:rPr>
          <w:rFonts w:hint="eastAsia" w:ascii="宋体"/>
          <w:color w:val="auto"/>
          <w:szCs w:val="21"/>
          <w:highlight w:val="none"/>
          <w:lang w:val="en-US" w:eastAsia="zh-CN"/>
        </w:rPr>
        <w:t>（2）投标人在投标截止时间后在投标人须知前附表规定的解密时间内完成投标文件的解密工作；</w:t>
      </w:r>
    </w:p>
    <w:p w14:paraId="160BAA64">
      <w:pPr>
        <w:wordWrap w:val="0"/>
        <w:spacing w:line="440" w:lineRule="exact"/>
        <w:ind w:right="-155" w:rightChars="-74" w:firstLine="210" w:firstLineChars="100"/>
        <w:jc w:val="left"/>
        <w:rPr>
          <w:rFonts w:hint="eastAsia" w:ascii="宋体"/>
          <w:color w:val="auto"/>
          <w:szCs w:val="21"/>
          <w:highlight w:val="none"/>
          <w:lang w:val="en-US" w:eastAsia="zh-CN"/>
        </w:rPr>
      </w:pPr>
      <w:r>
        <w:rPr>
          <w:rFonts w:hint="eastAsia" w:ascii="宋体"/>
          <w:color w:val="auto"/>
          <w:szCs w:val="21"/>
          <w:highlight w:val="none"/>
          <w:lang w:val="en-US" w:eastAsia="zh-CN"/>
        </w:rPr>
        <w:t>（3）招标人或招标代理机构完成解密工作，导入并读取所有成功解密的投标文件；</w:t>
      </w:r>
    </w:p>
    <w:p w14:paraId="223FEB96">
      <w:pPr>
        <w:wordWrap w:val="0"/>
        <w:spacing w:line="440" w:lineRule="exact"/>
        <w:ind w:right="-155" w:rightChars="-74" w:firstLine="210" w:firstLineChars="100"/>
        <w:jc w:val="left"/>
        <w:rPr>
          <w:rFonts w:hint="eastAsia" w:ascii="宋体"/>
          <w:color w:val="auto"/>
          <w:szCs w:val="21"/>
          <w:highlight w:val="none"/>
          <w:lang w:val="en-US" w:eastAsia="zh-CN"/>
        </w:rPr>
      </w:pPr>
      <w:r>
        <w:rPr>
          <w:rFonts w:hint="eastAsia" w:ascii="宋体"/>
          <w:color w:val="auto"/>
          <w:szCs w:val="21"/>
          <w:highlight w:val="none"/>
          <w:lang w:val="en-US" w:eastAsia="zh-CN"/>
        </w:rPr>
        <w:t>（4）按投标人须知前附表规定公布投标人名称、投标报价等内容；</w:t>
      </w:r>
    </w:p>
    <w:p w14:paraId="6CDC20D3">
      <w:pPr>
        <w:wordWrap w:val="0"/>
        <w:spacing w:line="440" w:lineRule="exact"/>
        <w:ind w:right="-155" w:rightChars="-74" w:firstLine="210" w:firstLineChars="100"/>
        <w:jc w:val="left"/>
        <w:rPr>
          <w:rFonts w:hint="eastAsia" w:ascii="宋体"/>
          <w:color w:val="auto"/>
          <w:szCs w:val="21"/>
          <w:highlight w:val="none"/>
          <w:lang w:val="en-US" w:eastAsia="zh-CN"/>
        </w:rPr>
      </w:pPr>
      <w:r>
        <w:rPr>
          <w:rFonts w:hint="eastAsia" w:ascii="宋体"/>
          <w:color w:val="auto"/>
          <w:szCs w:val="21"/>
          <w:highlight w:val="none"/>
          <w:lang w:val="en-US" w:eastAsia="zh-CN"/>
        </w:rPr>
        <w:t xml:space="preserve">（5）开标结束。 </w:t>
      </w:r>
    </w:p>
    <w:p w14:paraId="10B86A20">
      <w:pPr>
        <w:keepNext w:val="0"/>
        <w:keepLines w:val="0"/>
        <w:pageBreakBefore w:val="0"/>
        <w:widowControl w:val="0"/>
        <w:kinsoku/>
        <w:wordWrap/>
        <w:overflowPunct/>
        <w:topLinePunct w:val="0"/>
        <w:autoSpaceDE/>
        <w:autoSpaceDN/>
        <w:bidi w:val="0"/>
        <w:spacing w:line="5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25.4</w:t>
      </w:r>
      <w:r>
        <w:rPr>
          <w:rFonts w:hint="eastAsia" w:ascii="宋体" w:hAnsi="宋体" w:eastAsia="宋体" w:cs="宋体"/>
          <w:color w:val="auto"/>
          <w:sz w:val="21"/>
          <w:szCs w:val="21"/>
          <w:highlight w:val="none"/>
        </w:rPr>
        <w:t>开标异议</w:t>
      </w:r>
    </w:p>
    <w:p w14:paraId="742AB9AD">
      <w:pPr>
        <w:pStyle w:val="44"/>
        <w:rPr>
          <w:rFonts w:hint="default" w:ascii="宋体" w:hAnsi="Times New Roman" w:eastAsia="宋体" w:cs="Times New Roman"/>
          <w:color w:val="auto"/>
          <w:kern w:val="2"/>
          <w:sz w:val="21"/>
          <w:szCs w:val="21"/>
          <w:highlight w:val="none"/>
          <w:lang w:val="en-US" w:eastAsia="zh-CN" w:bidi="ar-SA"/>
        </w:rPr>
      </w:pPr>
      <w:r>
        <w:rPr>
          <w:rFonts w:hint="eastAsia" w:ascii="宋体" w:hAnsi="Times New Roman" w:eastAsia="宋体" w:cs="Times New Roman"/>
          <w:color w:val="auto"/>
          <w:kern w:val="2"/>
          <w:sz w:val="21"/>
          <w:szCs w:val="21"/>
          <w:highlight w:val="none"/>
          <w:lang w:val="en-US" w:eastAsia="zh-CN" w:bidi="ar-SA"/>
        </w:rPr>
        <w:t>投标人对开标有异议的，应当在开标过程中提出，招标人在开标过程中作出答复，并制作记录。异议与答复应通过新点电子交易平台进行。</w:t>
      </w:r>
    </w:p>
    <w:p w14:paraId="5F39FAB5">
      <w:pPr>
        <w:spacing w:line="440" w:lineRule="exact"/>
        <w:jc w:val="left"/>
        <w:rPr>
          <w:rFonts w:hint="eastAsia" w:ascii="宋体"/>
          <w:b/>
          <w:color w:val="auto"/>
          <w:szCs w:val="21"/>
          <w:highlight w:val="none"/>
        </w:rPr>
      </w:pPr>
      <w:r>
        <w:rPr>
          <w:rFonts w:hint="eastAsia" w:ascii="宋体" w:hAnsi="宋体" w:cs="宋体"/>
          <w:color w:val="auto"/>
          <w:sz w:val="21"/>
          <w:szCs w:val="21"/>
          <w:highlight w:val="none"/>
          <w:lang w:val="en-US" w:eastAsia="zh-CN"/>
        </w:rPr>
        <w:t>26.</w:t>
      </w:r>
      <w:r>
        <w:rPr>
          <w:rFonts w:hint="eastAsia" w:ascii="宋体"/>
          <w:b/>
          <w:color w:val="auto"/>
          <w:szCs w:val="21"/>
          <w:highlight w:val="none"/>
          <w:lang w:val="en-US" w:eastAsia="zh-CN"/>
        </w:rPr>
        <w:t xml:space="preserve">评标委员会 </w:t>
      </w:r>
    </w:p>
    <w:p w14:paraId="614AC1B9">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.1 评标委员会的组成</w:t>
      </w:r>
    </w:p>
    <w:p w14:paraId="34BBFEB7">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.1.1评标由</w:t>
      </w:r>
      <w:r>
        <w:rPr>
          <w:rFonts w:hint="eastAsia" w:ascii="宋体" w:hAnsi="宋体" w:eastAsia="宋体" w:cs="宋体"/>
          <w:color w:val="auto"/>
          <w:szCs w:val="21"/>
          <w:highlight w:val="none"/>
          <w:lang w:val="en-US" w:eastAsia="zh-CN"/>
        </w:rPr>
        <w:t>招标</w:t>
      </w:r>
      <w:r>
        <w:rPr>
          <w:rFonts w:hint="eastAsia" w:ascii="宋体" w:hAnsi="宋体" w:eastAsia="宋体" w:cs="宋体"/>
          <w:color w:val="auto"/>
          <w:szCs w:val="21"/>
          <w:highlight w:val="none"/>
        </w:rPr>
        <w:t>人依法组建的评标委员会负责。</w:t>
      </w:r>
    </w:p>
    <w:p w14:paraId="6BFAB9B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.1.2评标委员会负责人依法推荐或确定。</w:t>
      </w:r>
    </w:p>
    <w:p w14:paraId="516CBD5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.2 评标委员会成员名单在中标结果确定前应当保密</w:t>
      </w:r>
      <w:r>
        <w:rPr>
          <w:rFonts w:hint="eastAsia" w:ascii="宋体" w:hAnsi="宋体" w:eastAsia="宋体" w:cs="宋体"/>
          <w:color w:val="auto"/>
          <w:szCs w:val="21"/>
          <w:highlight w:val="none"/>
          <w:lang w:eastAsia="zh-CN"/>
        </w:rPr>
        <w:t>。</w:t>
      </w:r>
    </w:p>
    <w:p w14:paraId="34B9A83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 xml:space="preserve">3 </w:t>
      </w:r>
      <w:r>
        <w:rPr>
          <w:rFonts w:hint="eastAsia" w:ascii="宋体" w:hAnsi="宋体" w:eastAsia="宋体" w:cs="宋体"/>
          <w:color w:val="auto"/>
          <w:szCs w:val="21"/>
          <w:highlight w:val="none"/>
          <w:lang w:eastAsia="zh-CN"/>
        </w:rPr>
        <w:t>招标人</w:t>
      </w:r>
      <w:r>
        <w:rPr>
          <w:rFonts w:hint="eastAsia" w:ascii="宋体" w:hAnsi="宋体" w:eastAsia="宋体" w:cs="宋体"/>
          <w:color w:val="auto"/>
          <w:szCs w:val="21"/>
          <w:highlight w:val="none"/>
        </w:rPr>
        <w:t>授权评标委员会对投标人资格进行审查。</w:t>
      </w:r>
    </w:p>
    <w:p w14:paraId="694DE14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.4 评标委员会应当向</w:t>
      </w:r>
      <w:r>
        <w:rPr>
          <w:rFonts w:hint="eastAsia" w:ascii="宋体" w:hAnsi="宋体" w:eastAsia="宋体" w:cs="宋体"/>
          <w:color w:val="auto"/>
          <w:szCs w:val="21"/>
          <w:highlight w:val="none"/>
          <w:lang w:eastAsia="zh-CN"/>
        </w:rPr>
        <w:t>招标人</w:t>
      </w:r>
      <w:r>
        <w:rPr>
          <w:rFonts w:hint="eastAsia" w:ascii="宋体" w:hAnsi="宋体" w:eastAsia="宋体" w:cs="宋体"/>
          <w:color w:val="auto"/>
          <w:szCs w:val="21"/>
          <w:highlight w:val="none"/>
        </w:rPr>
        <w:t>提出书面评标报告，并抄送有关行政监督部门。评标报告应当如实记载以下内容：</w:t>
      </w:r>
    </w:p>
    <w:p w14:paraId="362811A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（1）基本情况和数据表；</w:t>
      </w:r>
    </w:p>
    <w:p w14:paraId="1D23577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（2）评标委员会成员名单；</w:t>
      </w:r>
    </w:p>
    <w:p w14:paraId="31A7EEF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（3）开标记录；</w:t>
      </w:r>
    </w:p>
    <w:p w14:paraId="0D99B7E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（4）符合要求的投标人一览表；</w:t>
      </w:r>
    </w:p>
    <w:p w14:paraId="0F8B767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（5）无效情况说明；</w:t>
      </w:r>
    </w:p>
    <w:p w14:paraId="4FC8D2B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（6）评标标准、评标方法或者评标因素一览表；</w:t>
      </w:r>
    </w:p>
    <w:p w14:paraId="792874D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（7）经评审的价格或者评分比较一览表；</w:t>
      </w:r>
    </w:p>
    <w:p w14:paraId="33EDF46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（8）投标人串标、围标等违规行为的确认报告；</w:t>
      </w:r>
    </w:p>
    <w:p w14:paraId="378AB27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（9）经评审的投标人排序；</w:t>
      </w:r>
    </w:p>
    <w:p w14:paraId="4B027C5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（10）推荐的中标候选人名单；</w:t>
      </w:r>
    </w:p>
    <w:p w14:paraId="59D25F2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（11）澄清、说明、补正事项纪要。</w:t>
      </w:r>
    </w:p>
    <w:p w14:paraId="4331CA60">
      <w:pPr>
        <w:spacing w:line="440" w:lineRule="exact"/>
        <w:ind w:firstLine="205" w:firstLineChars="98"/>
        <w:jc w:val="left"/>
        <w:rPr>
          <w:rFonts w:hint="eastAsia" w:ascii="宋体"/>
          <w:b w:val="0"/>
          <w:bCs/>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6.5</w:t>
      </w:r>
      <w:r>
        <w:rPr>
          <w:rFonts w:hint="eastAsia" w:ascii="宋体" w:hAnsi="宋体" w:eastAsia="宋体" w:cs="宋体"/>
          <w:color w:val="auto"/>
          <w:szCs w:val="21"/>
          <w:highlight w:val="none"/>
        </w:rPr>
        <w:t>评标委员会应自觉接受有关监督管理部门的现场监督，评标委员会成员与评标活动有关的工作人员和监督人员不得向他人透露对投标文件的评审和比较、中标候选人的推荐以及与评标有关的其他情况。投标文件及与评标有关的资料应当保密</w:t>
      </w:r>
      <w:r>
        <w:rPr>
          <w:rFonts w:hint="eastAsia" w:ascii="宋体"/>
          <w:b w:val="0"/>
          <w:bCs/>
          <w:color w:val="auto"/>
          <w:szCs w:val="21"/>
          <w:highlight w:val="none"/>
          <w:lang w:val="en-US" w:eastAsia="zh-CN"/>
        </w:rPr>
        <w:t xml:space="preserve">。 </w:t>
      </w:r>
    </w:p>
    <w:p w14:paraId="256E6BE5">
      <w:pPr>
        <w:spacing w:line="440" w:lineRule="exact"/>
        <w:jc w:val="left"/>
        <w:rPr>
          <w:rFonts w:hint="eastAsia" w:ascii="宋体"/>
          <w:b/>
          <w:color w:val="auto"/>
          <w:szCs w:val="21"/>
          <w:highlight w:val="none"/>
        </w:rPr>
      </w:pPr>
      <w:r>
        <w:rPr>
          <w:rFonts w:hint="eastAsia" w:ascii="宋体"/>
          <w:b/>
          <w:color w:val="auto"/>
          <w:szCs w:val="21"/>
          <w:highlight w:val="none"/>
          <w:lang w:val="en-US" w:eastAsia="zh-CN"/>
        </w:rPr>
        <w:t xml:space="preserve">27. 评标 </w:t>
      </w:r>
    </w:p>
    <w:p w14:paraId="3113249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27.1  评标准备工作</w:t>
      </w:r>
    </w:p>
    <w:p w14:paraId="7BDC760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27.1.1阅读由招标人或招标代理单位编写的招标项目情况的说明材料；</w:t>
      </w:r>
    </w:p>
    <w:p w14:paraId="001C443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27.1.2阅读、研究招标文件和相关评标资料，获取评标所需要的重要信息和数据；</w:t>
      </w:r>
    </w:p>
    <w:p w14:paraId="299648D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27.1.3熟悉招标文件规定的评标方法及在评标过程中需要考虑的相关因素；</w:t>
      </w:r>
    </w:p>
    <w:p w14:paraId="169461A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27.1.4核对评标工作用表。</w:t>
      </w:r>
    </w:p>
    <w:p w14:paraId="6D87DD6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27.2  评标办法</w:t>
      </w:r>
    </w:p>
    <w:p w14:paraId="4ABF6CE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27.2.1评标委员会按照第二章“评标办法”规定的方法、评审因素、标准和程序对投标文件进行评审。第二章“评标办法”没有规定的方法、评审因素和标准，不作为评标依据。</w:t>
      </w:r>
    </w:p>
    <w:p w14:paraId="5E75C0D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27.3评标原则：</w:t>
      </w:r>
    </w:p>
    <w:p w14:paraId="27CFAFC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遵循公平、公正、科学和择优的原则。</w:t>
      </w:r>
    </w:p>
    <w:p w14:paraId="4E4A2BF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27.4 投标文件的澄清</w:t>
      </w:r>
    </w:p>
    <w:p w14:paraId="2A215DB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27.4.1 在评标过程中，评标委员会认为需要，可要求投标人对投标文件中的有关问题进行澄清或提供补充说明及有关资料，投标人应做出答复，答复将视为投标文件的组成部分，答复中不得变更价格、服务期、自报质量等实质性内容。</w:t>
      </w:r>
      <w:r>
        <w:rPr>
          <w:rFonts w:hint="eastAsia" w:ascii="宋体" w:hAnsi="宋体" w:eastAsia="宋体" w:cs="宋体"/>
          <w:b/>
          <w:bCs/>
          <w:color w:val="auto"/>
          <w:szCs w:val="21"/>
          <w:highlight w:val="none"/>
          <w:lang w:val="en-US" w:eastAsia="zh-CN"/>
        </w:rPr>
        <w:t>本项目采用远程开标，具体操作方法详见服务指南&gt;交易须知&gt;开标大厅远程解密、质疑(异议)及回复以及评标过程中询标流程操作手册。</w:t>
      </w:r>
    </w:p>
    <w:p w14:paraId="196EDBA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27.4.2投标截止时间后，投标人对投标报价或其它实质性内容修正的函件和增加的任何优惠条件，一律不得作为评标、定标的依据。</w:t>
      </w:r>
    </w:p>
    <w:p w14:paraId="379380B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27.4.3 招标人不接受投标人主动提出的澄清。</w:t>
      </w:r>
    </w:p>
    <w:p w14:paraId="06F0B09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27.5评审意见分歧的处理办法</w:t>
      </w:r>
    </w:p>
    <w:p w14:paraId="69F124AD">
      <w:pPr>
        <w:spacing w:line="440" w:lineRule="exact"/>
        <w:ind w:firstLine="205" w:firstLineChars="98"/>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评标委员会应当对投标人提供的报告、证明材料及详细说明认真研究。对存在意见分歧的，可采用投票方式表决决定（按多数评委意见为准）。</w:t>
      </w:r>
    </w:p>
    <w:p w14:paraId="630F06F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27.6评标报告的签署</w:t>
      </w:r>
    </w:p>
    <w:p w14:paraId="2A2F608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27.6.1 评标委员会应当编制书面评标报告,所有成员应签字确认。对评标结论持有异议的评标委员会成员可以书面方式阐述其不同意见和理由。评标委员会成员拒绝在评标报告上签字且不陈述其不同意见和理由的，视为同意评标结论。</w:t>
      </w:r>
    </w:p>
    <w:p w14:paraId="13A9682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27.7评标过程的保密</w:t>
      </w:r>
    </w:p>
    <w:p w14:paraId="4E822EA3">
      <w:pPr>
        <w:spacing w:line="440" w:lineRule="exact"/>
        <w:ind w:firstLine="205" w:firstLineChars="98"/>
        <w:jc w:val="left"/>
        <w:rPr>
          <w:rFonts w:hint="eastAsia" w:ascii="宋体" w:hAnsi="Times New Roman" w:eastAsia="宋体" w:cs="Times New Roman"/>
          <w:b w:val="0"/>
          <w:bCs/>
          <w:color w:val="auto"/>
          <w:szCs w:val="21"/>
          <w:highlight w:val="none"/>
          <w:lang w:val="en-US" w:eastAsia="zh-CN"/>
        </w:rPr>
      </w:pPr>
      <w:r>
        <w:rPr>
          <w:rFonts w:hint="eastAsia" w:ascii="宋体" w:hAnsi="宋体" w:eastAsia="宋体" w:cs="宋体"/>
          <w:color w:val="auto"/>
          <w:szCs w:val="21"/>
          <w:highlight w:val="none"/>
          <w:lang w:val="en-US" w:eastAsia="zh-CN"/>
        </w:rPr>
        <w:t> 评标委员会成员和与评标活动有关的工作人员不得透露对投标文件的评审和比较、中标候选人的推荐情况以及与评标有关的其他情况</w:t>
      </w:r>
      <w:r>
        <w:rPr>
          <w:rFonts w:hint="eastAsia" w:ascii="宋体" w:hAnsi="Times New Roman" w:eastAsia="宋体" w:cs="Times New Roman"/>
          <w:b w:val="0"/>
          <w:bCs/>
          <w:color w:val="auto"/>
          <w:szCs w:val="21"/>
          <w:highlight w:val="none"/>
          <w:lang w:val="en-US" w:eastAsia="zh-CN"/>
        </w:rPr>
        <w:t xml:space="preserve">。 </w:t>
      </w:r>
    </w:p>
    <w:p w14:paraId="67425CE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27.8评标结果公告</w:t>
      </w:r>
    </w:p>
    <w:p w14:paraId="002C3227">
      <w:pPr>
        <w:spacing w:line="440" w:lineRule="exact"/>
        <w:ind w:firstLine="422" w:firstLineChars="200"/>
        <w:jc w:val="left"/>
        <w:rPr>
          <w:rFonts w:hint="eastAsia" w:ascii="宋体" w:hAnsi="Times New Roman" w:eastAsia="宋体" w:cs="Times New Roman"/>
          <w:b w:val="0"/>
          <w:bCs/>
          <w:color w:val="auto"/>
          <w:szCs w:val="21"/>
          <w:highlight w:val="none"/>
          <w:lang w:val="en-US" w:eastAsia="zh-CN"/>
        </w:rPr>
      </w:pPr>
      <w:r>
        <w:rPr>
          <w:rFonts w:hint="eastAsia" w:ascii="宋体" w:hAnsi="宋体" w:eastAsia="宋体" w:cs="宋体"/>
          <w:b/>
          <w:bCs/>
          <w:color w:val="auto"/>
          <w:szCs w:val="21"/>
          <w:highlight w:val="none"/>
          <w:lang w:val="en-US" w:eastAsia="zh-CN"/>
        </w:rPr>
        <w:t>招标人应将中标人的情况在滁州市城投工程咨询管理有限公司（https://www.czctgczx.com/）、滁州市重点工程建设管理处（http://zdc.chuzhou.gov.cn/）等网站上予以公告，公告期为3日</w:t>
      </w:r>
      <w:r>
        <w:rPr>
          <w:rFonts w:hint="eastAsia" w:ascii="宋体" w:hAnsi="Times New Roman" w:eastAsia="宋体" w:cs="Times New Roman"/>
          <w:b w:val="0"/>
          <w:bCs/>
          <w:color w:val="auto"/>
          <w:szCs w:val="21"/>
          <w:highlight w:val="none"/>
          <w:lang w:val="en-US" w:eastAsia="zh-CN"/>
        </w:rPr>
        <w:t xml:space="preserve">。 </w:t>
      </w:r>
    </w:p>
    <w:p w14:paraId="7B732A45">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w:t>
      </w:r>
      <w:r>
        <w:rPr>
          <w:rFonts w:hint="eastAsia" w:ascii="宋体" w:hAnsi="宋体" w:eastAsia="宋体" w:cs="宋体"/>
          <w:b/>
          <w:color w:val="auto"/>
          <w:szCs w:val="21"/>
          <w:highlight w:val="none"/>
          <w:lang w:val="en-US" w:eastAsia="zh-CN"/>
        </w:rPr>
        <w:t>8</w:t>
      </w:r>
      <w:r>
        <w:rPr>
          <w:rFonts w:hint="eastAsia" w:ascii="宋体" w:hAnsi="宋体" w:eastAsia="宋体" w:cs="宋体"/>
          <w:b/>
          <w:color w:val="auto"/>
          <w:szCs w:val="21"/>
          <w:highlight w:val="none"/>
        </w:rPr>
        <w:t>. 定标</w:t>
      </w:r>
    </w:p>
    <w:p w14:paraId="7CBC244B">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.1 中标人的确定</w:t>
      </w:r>
    </w:p>
    <w:p w14:paraId="312012EC">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.1.1除投标人须知前附表规定评标委员会直接确定中标人外，</w:t>
      </w:r>
      <w:r>
        <w:rPr>
          <w:rFonts w:hint="eastAsia" w:ascii="宋体" w:hAnsi="宋体" w:eastAsia="宋体" w:cs="宋体"/>
          <w:color w:val="auto"/>
          <w:szCs w:val="21"/>
          <w:highlight w:val="none"/>
          <w:lang w:val="en-US" w:eastAsia="zh-CN"/>
        </w:rPr>
        <w:t>招标</w:t>
      </w:r>
      <w:r>
        <w:rPr>
          <w:rFonts w:hint="eastAsia" w:ascii="宋体" w:hAnsi="宋体" w:eastAsia="宋体" w:cs="宋体"/>
          <w:color w:val="auto"/>
          <w:szCs w:val="21"/>
          <w:highlight w:val="none"/>
        </w:rPr>
        <w:t>人依据评标委员会推荐的中标候选人确定中标人，评标委员会推荐中标候选人的人数见投标人须知前附表。</w:t>
      </w:r>
    </w:p>
    <w:p w14:paraId="7A869D92">
      <w:pPr>
        <w:pStyle w:val="15"/>
        <w:keepNext w:val="0"/>
        <w:keepLines w:val="0"/>
        <w:pageBreakBefore w:val="0"/>
        <w:widowControl w:val="0"/>
        <w:kinsoku/>
        <w:wordWrap w:val="0"/>
        <w:overflowPunct/>
        <w:topLinePunct w:val="0"/>
        <w:autoSpaceDE/>
        <w:autoSpaceDN/>
        <w:bidi w:val="0"/>
        <w:adjustRightInd/>
        <w:snapToGrid/>
        <w:spacing w:line="440" w:lineRule="exac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28</w:t>
      </w:r>
      <w:r>
        <w:rPr>
          <w:rFonts w:hint="eastAsia" w:ascii="宋体" w:hAnsi="宋体" w:eastAsia="宋体" w:cs="宋体"/>
          <w:color w:val="auto"/>
          <w:szCs w:val="21"/>
          <w:highlight w:val="none"/>
        </w:rPr>
        <w:t>.1.2中标人确定后，</w:t>
      </w:r>
      <w:r>
        <w:rPr>
          <w:rFonts w:hint="eastAsia" w:ascii="宋体" w:hAnsi="宋体" w:eastAsia="宋体" w:cs="宋体"/>
          <w:color w:val="auto"/>
          <w:szCs w:val="21"/>
          <w:highlight w:val="none"/>
          <w:lang w:eastAsia="zh-CN"/>
        </w:rPr>
        <w:t>招标人</w:t>
      </w:r>
      <w:r>
        <w:rPr>
          <w:rFonts w:hint="eastAsia" w:ascii="宋体" w:hAnsi="宋体" w:eastAsia="宋体" w:cs="宋体"/>
          <w:color w:val="auto"/>
          <w:szCs w:val="21"/>
          <w:highlight w:val="none"/>
        </w:rPr>
        <w:t>应将中标信息在</w:t>
      </w:r>
      <w:r>
        <w:rPr>
          <w:rFonts w:hint="eastAsia" w:ascii="宋体" w:hAnsi="宋体" w:eastAsia="宋体" w:cs="宋体"/>
          <w:color w:val="auto"/>
          <w:szCs w:val="21"/>
          <w:highlight w:val="none"/>
          <w:lang w:val="en-US" w:eastAsia="zh-CN"/>
        </w:rPr>
        <w:t>滁州市城投工程咨询管理有限公司（https://www.czctgczx.com/）、滁州市重点工程建设管理处（http://zdc.chuzhou.gov.cn/）等</w:t>
      </w:r>
      <w:r>
        <w:rPr>
          <w:rFonts w:hint="eastAsia" w:ascii="宋体" w:hAnsi="宋体" w:eastAsia="宋体" w:cs="宋体"/>
          <w:color w:val="auto"/>
          <w:szCs w:val="21"/>
          <w:highlight w:val="none"/>
        </w:rPr>
        <w:t>网站上公告。</w:t>
      </w:r>
    </w:p>
    <w:p w14:paraId="5604CD8A">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.2 中标通知书</w:t>
      </w:r>
    </w:p>
    <w:p w14:paraId="240A53A8">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.2.1</w:t>
      </w:r>
      <w:r>
        <w:rPr>
          <w:rFonts w:hint="eastAsia" w:ascii="宋体" w:hAnsi="宋体" w:eastAsia="宋体" w:cs="宋体"/>
          <w:color w:val="auto"/>
          <w:szCs w:val="21"/>
          <w:highlight w:val="none"/>
          <w:lang w:val="en-US" w:eastAsia="zh-CN"/>
        </w:rPr>
        <w:t>招标</w:t>
      </w:r>
      <w:r>
        <w:rPr>
          <w:rFonts w:hint="eastAsia" w:ascii="宋体" w:hAnsi="宋体" w:eastAsia="宋体" w:cs="宋体"/>
          <w:color w:val="auto"/>
          <w:szCs w:val="21"/>
          <w:highlight w:val="none"/>
        </w:rPr>
        <w:t>人或</w:t>
      </w:r>
      <w:r>
        <w:rPr>
          <w:rFonts w:hint="eastAsia" w:ascii="宋体" w:hAnsi="宋体" w:eastAsia="宋体" w:cs="宋体"/>
          <w:color w:val="auto"/>
          <w:szCs w:val="21"/>
          <w:highlight w:val="none"/>
          <w:lang w:val="en-US" w:eastAsia="zh-CN"/>
        </w:rPr>
        <w:t>招标</w:t>
      </w:r>
      <w:r>
        <w:rPr>
          <w:rFonts w:hint="eastAsia" w:ascii="宋体" w:hAnsi="宋体" w:eastAsia="宋体" w:cs="宋体"/>
          <w:color w:val="auto"/>
          <w:szCs w:val="21"/>
          <w:highlight w:val="none"/>
        </w:rPr>
        <w:t>代理机构应在中标人确定之日起2个工作日内，向中标人发出中标通知书。</w:t>
      </w:r>
    </w:p>
    <w:p w14:paraId="6292799B">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.2.2中标通知书须加盖</w:t>
      </w:r>
      <w:r>
        <w:rPr>
          <w:rFonts w:hint="eastAsia" w:ascii="宋体" w:hAnsi="宋体" w:eastAsia="宋体" w:cs="宋体"/>
          <w:color w:val="auto"/>
          <w:szCs w:val="21"/>
          <w:highlight w:val="none"/>
          <w:lang w:val="en-US" w:eastAsia="zh-CN"/>
        </w:rPr>
        <w:t>招标</w:t>
      </w:r>
      <w:r>
        <w:rPr>
          <w:rFonts w:hint="eastAsia" w:ascii="宋体" w:hAnsi="宋体" w:eastAsia="宋体" w:cs="宋体"/>
          <w:color w:val="auto"/>
          <w:szCs w:val="21"/>
          <w:highlight w:val="none"/>
        </w:rPr>
        <w:t>人、</w:t>
      </w:r>
      <w:r>
        <w:rPr>
          <w:rFonts w:hint="eastAsia" w:ascii="宋体" w:hAnsi="宋体" w:eastAsia="宋体" w:cs="宋体"/>
          <w:color w:val="auto"/>
          <w:szCs w:val="21"/>
          <w:highlight w:val="none"/>
          <w:lang w:val="en-US" w:eastAsia="zh-CN"/>
        </w:rPr>
        <w:t>招标</w:t>
      </w:r>
      <w:r>
        <w:rPr>
          <w:rFonts w:hint="eastAsia" w:ascii="宋体" w:hAnsi="宋体" w:eastAsia="宋体" w:cs="宋体"/>
          <w:color w:val="auto"/>
          <w:szCs w:val="21"/>
          <w:highlight w:val="none"/>
        </w:rPr>
        <w:t>代理机构公章后，方可发出。</w:t>
      </w:r>
    </w:p>
    <w:p w14:paraId="13613C44">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29</w:t>
      </w:r>
      <w:r>
        <w:rPr>
          <w:rFonts w:hint="eastAsia" w:ascii="宋体" w:hAnsi="宋体" w:eastAsia="宋体" w:cs="宋体"/>
          <w:b/>
          <w:color w:val="auto"/>
          <w:szCs w:val="21"/>
          <w:highlight w:val="none"/>
        </w:rPr>
        <w:t>. 开评标异常情况处理</w:t>
      </w:r>
    </w:p>
    <w:p w14:paraId="5C9BE4A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10"/>
          <w:szCs w:val="21"/>
          <w:highlight w:val="none"/>
        </w:rPr>
      </w:pPr>
      <w:r>
        <w:rPr>
          <w:rFonts w:hint="eastAsia" w:ascii="宋体" w:hAnsi="宋体" w:eastAsia="宋体" w:cs="宋体"/>
          <w:color w:val="auto"/>
          <w:kern w:val="10"/>
          <w:szCs w:val="21"/>
          <w:highlight w:val="none"/>
          <w:lang w:val="en-US" w:eastAsia="zh-CN"/>
        </w:rPr>
        <w:t>29</w:t>
      </w:r>
      <w:r>
        <w:rPr>
          <w:rFonts w:hint="eastAsia" w:ascii="宋体" w:hAnsi="宋体" w:eastAsia="宋体" w:cs="宋体"/>
          <w:color w:val="auto"/>
          <w:kern w:val="10"/>
          <w:szCs w:val="21"/>
          <w:highlight w:val="none"/>
        </w:rPr>
        <w:t xml:space="preserve">.1重新招标 </w:t>
      </w:r>
    </w:p>
    <w:p w14:paraId="446F54D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kern w:val="10"/>
          <w:szCs w:val="21"/>
          <w:highlight w:val="none"/>
        </w:rPr>
      </w:pPr>
      <w:r>
        <w:rPr>
          <w:rFonts w:hint="eastAsia" w:ascii="宋体" w:hAnsi="宋体" w:eastAsia="宋体" w:cs="宋体"/>
          <w:color w:val="auto"/>
          <w:kern w:val="10"/>
          <w:szCs w:val="21"/>
          <w:highlight w:val="none"/>
        </w:rPr>
        <w:t>有下列情形之一的，</w:t>
      </w:r>
      <w:r>
        <w:rPr>
          <w:rFonts w:hint="eastAsia" w:ascii="宋体" w:hAnsi="宋体" w:eastAsia="宋体" w:cs="宋体"/>
          <w:color w:val="auto"/>
          <w:kern w:val="10"/>
          <w:szCs w:val="21"/>
          <w:highlight w:val="none"/>
          <w:lang w:eastAsia="zh-CN"/>
        </w:rPr>
        <w:t>招标人</w:t>
      </w:r>
      <w:r>
        <w:rPr>
          <w:rFonts w:hint="eastAsia" w:ascii="宋体" w:hAnsi="宋体" w:eastAsia="宋体" w:cs="宋体"/>
          <w:color w:val="auto"/>
          <w:kern w:val="10"/>
          <w:szCs w:val="21"/>
          <w:highlight w:val="none"/>
        </w:rPr>
        <w:t>将重新招标：</w:t>
      </w:r>
    </w:p>
    <w:p w14:paraId="3E17D152">
      <w:pPr>
        <w:adjustRightInd w:val="0"/>
        <w:snapToGrid w:val="0"/>
        <w:spacing w:line="460" w:lineRule="exact"/>
        <w:ind w:firstLine="420" w:firstLineChars="200"/>
        <w:rPr>
          <w:rFonts w:hint="eastAsia" w:ascii="宋体" w:hAnsi="宋体" w:eastAsia="宋体" w:cs="宋体"/>
          <w:color w:val="auto"/>
          <w:kern w:val="10"/>
          <w:szCs w:val="21"/>
          <w:highlight w:val="none"/>
        </w:rPr>
      </w:pPr>
      <w:r>
        <w:rPr>
          <w:rFonts w:hint="eastAsia" w:ascii="宋体" w:hAnsi="宋体" w:eastAsia="宋体" w:cs="宋体"/>
          <w:color w:val="auto"/>
          <w:kern w:val="10"/>
          <w:szCs w:val="21"/>
          <w:highlight w:val="none"/>
        </w:rPr>
        <w:t xml:space="preserve">(1)投标截止时间止，投标人少于三个的； </w:t>
      </w:r>
    </w:p>
    <w:p w14:paraId="556D50B6">
      <w:pPr>
        <w:adjustRightInd w:val="0"/>
        <w:snapToGrid w:val="0"/>
        <w:spacing w:line="460" w:lineRule="exact"/>
        <w:ind w:firstLine="420" w:firstLineChars="200"/>
        <w:rPr>
          <w:rFonts w:hint="eastAsia" w:ascii="宋体" w:hAnsi="宋体" w:eastAsia="宋体" w:cs="宋体"/>
          <w:color w:val="auto"/>
          <w:kern w:val="10"/>
          <w:szCs w:val="21"/>
          <w:highlight w:val="none"/>
        </w:rPr>
      </w:pPr>
      <w:r>
        <w:rPr>
          <w:rFonts w:hint="eastAsia" w:ascii="宋体" w:hAnsi="宋体" w:eastAsia="宋体" w:cs="宋体"/>
          <w:color w:val="auto"/>
          <w:kern w:val="10"/>
          <w:szCs w:val="21"/>
          <w:highlight w:val="none"/>
        </w:rPr>
        <w:t>(2)经评标委员会评审后否决所有投标的；</w:t>
      </w:r>
    </w:p>
    <w:p w14:paraId="750F8A2C">
      <w:pPr>
        <w:adjustRightInd w:val="0"/>
        <w:snapToGrid w:val="0"/>
        <w:spacing w:line="460" w:lineRule="exact"/>
        <w:ind w:firstLine="420" w:firstLineChars="200"/>
        <w:rPr>
          <w:rFonts w:hint="eastAsia" w:ascii="宋体" w:hAnsi="宋体" w:eastAsia="宋体" w:cs="宋体"/>
          <w:color w:val="auto"/>
          <w:kern w:val="10"/>
          <w:szCs w:val="21"/>
          <w:highlight w:val="none"/>
        </w:rPr>
      </w:pPr>
      <w:r>
        <w:rPr>
          <w:rFonts w:hint="eastAsia" w:ascii="宋体" w:hAnsi="宋体" w:eastAsia="宋体" w:cs="宋体"/>
          <w:color w:val="auto"/>
          <w:kern w:val="10"/>
          <w:szCs w:val="21"/>
          <w:highlight w:val="none"/>
        </w:rPr>
        <w:t>(3)出现影响采购公正的违法、违规行为的；</w:t>
      </w:r>
    </w:p>
    <w:p w14:paraId="02A4A144">
      <w:pPr>
        <w:adjustRightInd w:val="0"/>
        <w:snapToGrid w:val="0"/>
        <w:spacing w:line="460" w:lineRule="exact"/>
        <w:ind w:firstLine="420" w:firstLineChars="200"/>
        <w:rPr>
          <w:rFonts w:hint="eastAsia" w:ascii="宋体" w:hAnsi="宋体" w:eastAsia="宋体" w:cs="宋体"/>
          <w:color w:val="auto"/>
          <w:kern w:val="10"/>
          <w:szCs w:val="21"/>
          <w:highlight w:val="none"/>
        </w:rPr>
      </w:pPr>
      <w:r>
        <w:rPr>
          <w:rFonts w:hint="eastAsia" w:ascii="宋体" w:hAnsi="宋体" w:eastAsia="宋体" w:cs="宋体"/>
          <w:color w:val="auto"/>
          <w:kern w:val="10"/>
          <w:szCs w:val="21"/>
          <w:highlight w:val="none"/>
        </w:rPr>
        <w:t>(4)投标人的报价均脱离实际且无充分证据的；</w:t>
      </w:r>
    </w:p>
    <w:p w14:paraId="4C565AB0">
      <w:pPr>
        <w:adjustRightInd w:val="0"/>
        <w:snapToGrid w:val="0"/>
        <w:spacing w:line="460" w:lineRule="exact"/>
        <w:ind w:firstLine="420" w:firstLineChars="200"/>
        <w:rPr>
          <w:rFonts w:hint="eastAsia" w:ascii="宋体" w:hAnsi="宋体" w:eastAsia="宋体" w:cs="宋体"/>
          <w:color w:val="auto"/>
          <w:kern w:val="10"/>
          <w:szCs w:val="21"/>
          <w:highlight w:val="none"/>
        </w:rPr>
      </w:pPr>
      <w:r>
        <w:rPr>
          <w:rFonts w:hint="eastAsia" w:ascii="宋体" w:hAnsi="宋体" w:eastAsia="宋体" w:cs="宋体"/>
          <w:color w:val="auto"/>
          <w:kern w:val="10"/>
          <w:szCs w:val="21"/>
          <w:highlight w:val="none"/>
        </w:rPr>
        <w:t>(5)因重大变故，采购任务取消的。</w:t>
      </w:r>
    </w:p>
    <w:p w14:paraId="44A10C6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10"/>
          <w:szCs w:val="21"/>
          <w:highlight w:val="none"/>
        </w:rPr>
      </w:pPr>
      <w:r>
        <w:rPr>
          <w:rFonts w:hint="eastAsia" w:ascii="宋体" w:hAnsi="宋体" w:eastAsia="宋体" w:cs="宋体"/>
          <w:color w:val="auto"/>
          <w:kern w:val="10"/>
          <w:szCs w:val="21"/>
          <w:highlight w:val="none"/>
          <w:lang w:val="en-US" w:eastAsia="zh-CN"/>
        </w:rPr>
        <w:t>29</w:t>
      </w:r>
      <w:r>
        <w:rPr>
          <w:rFonts w:hint="eastAsia" w:ascii="宋体" w:hAnsi="宋体" w:eastAsia="宋体" w:cs="宋体"/>
          <w:color w:val="auto"/>
          <w:kern w:val="10"/>
          <w:szCs w:val="21"/>
          <w:highlight w:val="none"/>
        </w:rPr>
        <w:t>.2变更采购方式</w:t>
      </w:r>
    </w:p>
    <w:p w14:paraId="7295FCC4">
      <w:pPr>
        <w:spacing w:line="440" w:lineRule="exact"/>
        <w:ind w:firstLine="625" w:firstLineChars="298"/>
        <w:jc w:val="left"/>
        <w:rPr>
          <w:rFonts w:hint="eastAsia" w:ascii="宋体" w:hAnsi="Times New Roman" w:eastAsia="宋体" w:cs="Times New Roman"/>
          <w:b w:val="0"/>
          <w:bCs/>
          <w:color w:val="auto"/>
          <w:szCs w:val="21"/>
          <w:highlight w:val="none"/>
          <w:lang w:val="en-US" w:eastAsia="zh-CN"/>
        </w:rPr>
      </w:pPr>
      <w:r>
        <w:rPr>
          <w:rFonts w:hint="eastAsia" w:ascii="宋体" w:hAnsi="Times New Roman" w:eastAsia="宋体" w:cs="Times New Roman"/>
          <w:b w:val="0"/>
          <w:bCs/>
          <w:color w:val="auto"/>
          <w:szCs w:val="21"/>
          <w:highlight w:val="none"/>
          <w:lang w:val="en-US" w:eastAsia="zh-CN"/>
        </w:rPr>
        <w:t xml:space="preserve">/。 </w:t>
      </w:r>
    </w:p>
    <w:p w14:paraId="6CB16242">
      <w:pPr>
        <w:keepNext w:val="0"/>
        <w:keepLines w:val="0"/>
        <w:pageBreakBefore w:val="0"/>
        <w:widowControl w:val="0"/>
        <w:kinsoku/>
        <w:wordWrap/>
        <w:overflowPunct/>
        <w:topLinePunct w:val="0"/>
        <w:autoSpaceDE/>
        <w:autoSpaceDN/>
        <w:bidi w:val="0"/>
        <w:adjustRightInd/>
        <w:snapToGrid/>
        <w:spacing w:before="313" w:beforeLines="100" w:line="500" w:lineRule="exact"/>
        <w:jc w:val="center"/>
        <w:textAlignment w:val="auto"/>
        <w:outlineLvl w:val="1"/>
        <w:rPr>
          <w:rFonts w:hint="eastAsia" w:ascii="宋体" w:hAnsi="宋体" w:eastAsia="宋体" w:cs="宋体"/>
          <w:b/>
          <w:bCs/>
          <w:color w:val="auto"/>
          <w:sz w:val="28"/>
          <w:highlight w:val="none"/>
        </w:rPr>
      </w:pPr>
      <w:bookmarkStart w:id="52" w:name="_Toc22926"/>
      <w:bookmarkStart w:id="53" w:name="_Toc21491"/>
      <w:r>
        <w:rPr>
          <w:rFonts w:hint="eastAsia" w:ascii="宋体" w:hAnsi="宋体" w:eastAsia="宋体" w:cs="宋体"/>
          <w:b/>
          <w:bCs/>
          <w:color w:val="auto"/>
          <w:sz w:val="28"/>
          <w:highlight w:val="none"/>
        </w:rPr>
        <w:t>六、合同的授予</w:t>
      </w:r>
      <w:bookmarkEnd w:id="52"/>
      <w:bookmarkEnd w:id="53"/>
    </w:p>
    <w:p w14:paraId="2EDC141E">
      <w:pPr>
        <w:keepNext w:val="0"/>
        <w:keepLines w:val="0"/>
        <w:pageBreakBefore w:val="0"/>
        <w:widowControl w:val="0"/>
        <w:kinsoku/>
        <w:wordWrap/>
        <w:overflowPunct/>
        <w:topLinePunct w:val="0"/>
        <w:autoSpaceDE/>
        <w:autoSpaceDN/>
        <w:bidi w:val="0"/>
        <w:spacing w:line="500" w:lineRule="exact"/>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30</w:t>
      </w:r>
      <w:r>
        <w:rPr>
          <w:rFonts w:hint="eastAsia" w:ascii="宋体" w:hAnsi="宋体" w:eastAsia="宋体" w:cs="宋体"/>
          <w:color w:val="auto"/>
          <w:sz w:val="21"/>
          <w:szCs w:val="21"/>
          <w:highlight w:val="none"/>
        </w:rPr>
        <w:t>.合同授予标准</w:t>
      </w:r>
    </w:p>
    <w:p w14:paraId="282F2584">
      <w:pPr>
        <w:keepNext w:val="0"/>
        <w:keepLines w:val="0"/>
        <w:pageBreakBefore w:val="0"/>
        <w:widowControl w:val="0"/>
        <w:kinsoku/>
        <w:wordWrap/>
        <w:overflowPunct/>
        <w:topLinePunct w:val="0"/>
        <w:autoSpaceDE/>
        <w:autoSpaceDN/>
        <w:bidi w:val="0"/>
        <w:spacing w:line="500" w:lineRule="exact"/>
        <w:jc w:val="left"/>
        <w:textAlignment w:val="auto"/>
        <w:rPr>
          <w:rFonts w:hint="eastAsia" w:ascii="宋体" w:hAnsi="宋体" w:eastAsia="宋体" w:cs="宋体"/>
          <w:b/>
          <w:bCs/>
          <w:color w:val="auto"/>
          <w:sz w:val="21"/>
          <w:szCs w:val="21"/>
          <w:highlight w:val="none"/>
        </w:rPr>
      </w:pPr>
      <w:r>
        <w:rPr>
          <w:rFonts w:hint="eastAsia" w:ascii="宋体" w:hAnsi="宋体" w:cs="宋体"/>
          <w:color w:val="auto"/>
          <w:sz w:val="21"/>
          <w:szCs w:val="21"/>
          <w:highlight w:val="none"/>
          <w:lang w:val="en-US" w:eastAsia="zh-CN"/>
        </w:rPr>
        <w:t>30</w:t>
      </w:r>
      <w:r>
        <w:rPr>
          <w:rFonts w:hint="eastAsia" w:ascii="宋体" w:hAnsi="宋体" w:eastAsia="宋体" w:cs="宋体"/>
          <w:color w:val="auto"/>
          <w:sz w:val="21"/>
          <w:szCs w:val="21"/>
          <w:highlight w:val="none"/>
        </w:rPr>
        <w:t>.1本招标工程的合同授予按本须知第</w:t>
      </w:r>
      <w:r>
        <w:rPr>
          <w:rFonts w:hint="eastAsia" w:ascii="宋体" w:hAnsi="宋体" w:eastAsia="宋体" w:cs="宋体"/>
          <w:color w:val="auto"/>
          <w:sz w:val="21"/>
          <w:szCs w:val="21"/>
          <w:highlight w:val="none"/>
          <w:lang w:val="en-US" w:eastAsia="zh-CN"/>
        </w:rPr>
        <w:t>28</w:t>
      </w:r>
      <w:r>
        <w:rPr>
          <w:rFonts w:hint="eastAsia" w:ascii="宋体" w:hAnsi="宋体" w:eastAsia="宋体" w:cs="宋体"/>
          <w:color w:val="auto"/>
          <w:sz w:val="21"/>
          <w:szCs w:val="21"/>
          <w:highlight w:val="none"/>
        </w:rPr>
        <w:t>条规定所确定的中标人。</w:t>
      </w:r>
    </w:p>
    <w:p w14:paraId="3811C16F">
      <w:pPr>
        <w:keepNext w:val="0"/>
        <w:keepLines w:val="0"/>
        <w:pageBreakBefore w:val="0"/>
        <w:widowControl w:val="0"/>
        <w:kinsoku/>
        <w:wordWrap/>
        <w:overflowPunct/>
        <w:topLinePunct w:val="0"/>
        <w:autoSpaceDE/>
        <w:autoSpaceDN/>
        <w:bidi w:val="0"/>
        <w:spacing w:line="500" w:lineRule="exact"/>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31</w:t>
      </w:r>
      <w:r>
        <w:rPr>
          <w:rFonts w:hint="eastAsia" w:ascii="宋体" w:hAnsi="宋体" w:eastAsia="宋体" w:cs="宋体"/>
          <w:color w:val="auto"/>
          <w:sz w:val="21"/>
          <w:szCs w:val="21"/>
          <w:highlight w:val="none"/>
        </w:rPr>
        <w:t>.合同协议书的签订</w:t>
      </w:r>
    </w:p>
    <w:p w14:paraId="65ADE3E6">
      <w:pPr>
        <w:keepNext w:val="0"/>
        <w:keepLines w:val="0"/>
        <w:pageBreakBefore w:val="0"/>
        <w:widowControl w:val="0"/>
        <w:kinsoku/>
        <w:wordWrap/>
        <w:overflowPunct/>
        <w:topLinePunct w:val="0"/>
        <w:autoSpaceDE/>
        <w:autoSpaceDN/>
        <w:bidi w:val="0"/>
        <w:spacing w:line="500" w:lineRule="exact"/>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31</w:t>
      </w:r>
      <w:r>
        <w:rPr>
          <w:rFonts w:hint="eastAsia" w:ascii="宋体" w:hAnsi="宋体" w:eastAsia="宋体" w:cs="宋体"/>
          <w:color w:val="auto"/>
          <w:sz w:val="21"/>
          <w:szCs w:val="21"/>
          <w:highlight w:val="none"/>
        </w:rPr>
        <w:t>.1中标通知书发放后3</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日内，按照招标文件和中标人的投标文件订立书面合同。招标人和中标人不得再行订立背离合同实质性内容的其他协议。</w:t>
      </w:r>
    </w:p>
    <w:p w14:paraId="433C1E40">
      <w:pPr>
        <w:keepNext w:val="0"/>
        <w:keepLines w:val="0"/>
        <w:pageBreakBefore w:val="0"/>
        <w:widowControl w:val="0"/>
        <w:kinsoku/>
        <w:wordWrap/>
        <w:overflowPunct/>
        <w:topLinePunct w:val="0"/>
        <w:autoSpaceDE/>
        <w:autoSpaceDN/>
        <w:bidi w:val="0"/>
        <w:spacing w:line="500" w:lineRule="exact"/>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31</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中标人如不按本</w:t>
      </w:r>
      <w:r>
        <w:rPr>
          <w:rFonts w:hint="eastAsia" w:ascii="宋体" w:hAnsi="宋体" w:cs="宋体"/>
          <w:color w:val="auto"/>
          <w:sz w:val="21"/>
          <w:szCs w:val="21"/>
          <w:highlight w:val="none"/>
          <w:lang w:eastAsia="zh-CN"/>
        </w:rPr>
        <w:t>投标人须知</w:t>
      </w:r>
      <w:r>
        <w:rPr>
          <w:rFonts w:hint="eastAsia" w:ascii="宋体" w:hAnsi="宋体" w:eastAsia="宋体" w:cs="宋体"/>
          <w:color w:val="auto"/>
          <w:sz w:val="21"/>
          <w:szCs w:val="21"/>
          <w:highlight w:val="none"/>
        </w:rPr>
        <w:t>第</w:t>
      </w:r>
      <w:r>
        <w:rPr>
          <w:rFonts w:hint="eastAsia" w:ascii="宋体" w:hAnsi="宋体" w:eastAsia="宋体" w:cs="宋体"/>
          <w:color w:val="auto"/>
          <w:sz w:val="21"/>
          <w:szCs w:val="21"/>
          <w:highlight w:val="none"/>
          <w:lang w:val="en-US" w:eastAsia="zh-CN"/>
        </w:rPr>
        <w:t>28</w:t>
      </w:r>
      <w:r>
        <w:rPr>
          <w:rFonts w:hint="eastAsia" w:ascii="宋体" w:hAnsi="宋体" w:eastAsia="宋体" w:cs="宋体"/>
          <w:color w:val="auto"/>
          <w:sz w:val="21"/>
          <w:szCs w:val="21"/>
          <w:highlight w:val="none"/>
        </w:rPr>
        <w:t>条的规定与招标人订立合同，则招标人将取消其中标资格，给招标人造成的损失超过投标担保数额的，还应当对超过部分予以赔偿，同时依法承担相应法律责任。</w:t>
      </w:r>
    </w:p>
    <w:p w14:paraId="6CA53D95">
      <w:pPr>
        <w:keepNext w:val="0"/>
        <w:keepLines w:val="0"/>
        <w:pageBreakBefore w:val="0"/>
        <w:widowControl w:val="0"/>
        <w:kinsoku/>
        <w:wordWrap/>
        <w:overflowPunct/>
        <w:topLinePunct w:val="0"/>
        <w:autoSpaceDE/>
        <w:autoSpaceDN/>
        <w:bidi w:val="0"/>
        <w:spacing w:line="500" w:lineRule="exact"/>
        <w:jc w:val="left"/>
        <w:textAlignment w:val="auto"/>
        <w:rPr>
          <w:rFonts w:hint="eastAsia" w:ascii="宋体" w:hAnsi="宋体" w:eastAsia="宋体" w:cs="宋体"/>
          <w:color w:val="auto"/>
          <w:highlight w:val="none"/>
          <w:lang w:val="en-US" w:eastAsia="zh-CN"/>
        </w:rPr>
      </w:pPr>
      <w:r>
        <w:rPr>
          <w:rFonts w:hint="eastAsia" w:ascii="宋体" w:hAnsi="宋体" w:cs="宋体"/>
          <w:color w:val="auto"/>
          <w:sz w:val="21"/>
          <w:szCs w:val="21"/>
          <w:highlight w:val="none"/>
          <w:lang w:val="en-US" w:eastAsia="zh-CN"/>
        </w:rPr>
        <w:t>31.</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中标人应当按照合同约定履行义务，完成中标项目的实施，不得将中标项目转让（转包）给他人。</w:t>
      </w:r>
      <w:r>
        <w:rPr>
          <w:rFonts w:hint="eastAsia" w:ascii="宋体" w:hAnsi="宋体" w:eastAsia="宋体" w:cs="宋体"/>
          <w:color w:val="auto"/>
          <w:highlight w:val="none"/>
          <w:lang w:val="en-US" w:eastAsia="zh-CN"/>
        </w:rPr>
        <w:t xml:space="preserve"> </w:t>
      </w:r>
      <w:bookmarkStart w:id="54" w:name="_Toc3222"/>
      <w:bookmarkStart w:id="55" w:name="_Toc31589_WPSOffice_Level1"/>
      <w:r>
        <w:rPr>
          <w:rFonts w:hint="eastAsia" w:ascii="宋体" w:hAnsi="宋体" w:eastAsia="宋体" w:cs="宋体"/>
          <w:color w:val="auto"/>
          <w:highlight w:val="none"/>
          <w:lang w:val="en-US" w:eastAsia="zh-CN"/>
        </w:rPr>
        <w:t xml:space="preserve"> </w:t>
      </w:r>
    </w:p>
    <w:p w14:paraId="1A0FFB64">
      <w:pPr>
        <w:keepNext w:val="0"/>
        <w:keepLines w:val="0"/>
        <w:pageBreakBefore w:val="0"/>
        <w:widowControl w:val="0"/>
        <w:kinsoku/>
        <w:wordWrap/>
        <w:overflowPunct/>
        <w:topLinePunct w:val="0"/>
        <w:autoSpaceDE/>
        <w:autoSpaceDN/>
        <w:bidi w:val="0"/>
        <w:adjustRightInd/>
        <w:snapToGrid/>
        <w:spacing w:before="313" w:beforeLines="100" w:line="500" w:lineRule="exact"/>
        <w:jc w:val="center"/>
        <w:textAlignment w:val="auto"/>
        <w:outlineLvl w:val="1"/>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t>七</w:t>
      </w:r>
      <w:r>
        <w:rPr>
          <w:rFonts w:hint="eastAsia" w:ascii="宋体" w:hAnsi="宋体" w:eastAsia="宋体" w:cs="宋体"/>
          <w:b/>
          <w:bCs/>
          <w:color w:val="auto"/>
          <w:sz w:val="28"/>
          <w:highlight w:val="none"/>
          <w:lang w:eastAsia="zh-CN"/>
        </w:rPr>
        <w:t>、</w:t>
      </w:r>
      <w:r>
        <w:rPr>
          <w:rFonts w:hint="eastAsia" w:ascii="宋体" w:hAnsi="宋体" w:eastAsia="宋体" w:cs="宋体"/>
          <w:b/>
          <w:bCs/>
          <w:color w:val="auto"/>
          <w:sz w:val="28"/>
          <w:highlight w:val="none"/>
        </w:rPr>
        <w:t>纪律和监督</w:t>
      </w:r>
    </w:p>
    <w:p w14:paraId="4D39E8B8">
      <w:pPr>
        <w:keepNext w:val="0"/>
        <w:keepLines w:val="0"/>
        <w:pageBreakBefore w:val="0"/>
        <w:widowControl w:val="0"/>
        <w:kinsoku/>
        <w:wordWrap/>
        <w:overflowPunct/>
        <w:topLinePunct w:val="0"/>
        <w:autoSpaceDE/>
        <w:autoSpaceDN/>
        <w:bidi w:val="0"/>
        <w:spacing w:line="440" w:lineRule="exact"/>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32</w:t>
      </w:r>
      <w:r>
        <w:rPr>
          <w:rFonts w:hint="eastAsia" w:ascii="宋体" w:hAnsi="宋体" w:eastAsia="宋体" w:cs="宋体"/>
          <w:b/>
          <w:color w:val="auto"/>
          <w:sz w:val="21"/>
          <w:szCs w:val="21"/>
          <w:highlight w:val="none"/>
        </w:rPr>
        <w:t>. 对</w:t>
      </w:r>
      <w:r>
        <w:rPr>
          <w:rFonts w:hint="eastAsia" w:ascii="宋体" w:hAnsi="宋体" w:eastAsia="宋体" w:cs="宋体"/>
          <w:b/>
          <w:color w:val="auto"/>
          <w:sz w:val="21"/>
          <w:szCs w:val="21"/>
          <w:highlight w:val="none"/>
          <w:lang w:val="en-US" w:eastAsia="zh-CN"/>
        </w:rPr>
        <w:t>招标</w:t>
      </w:r>
      <w:r>
        <w:rPr>
          <w:rFonts w:hint="eastAsia" w:ascii="宋体" w:hAnsi="宋体" w:eastAsia="宋体" w:cs="宋体"/>
          <w:b/>
          <w:color w:val="auto"/>
          <w:sz w:val="21"/>
          <w:szCs w:val="21"/>
          <w:highlight w:val="none"/>
        </w:rPr>
        <w:t xml:space="preserve">人的纪律要求 </w:t>
      </w:r>
    </w:p>
    <w:p w14:paraId="4F26488C">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eastAsia="宋体" w:cs="宋体"/>
          <w:color w:val="auto"/>
          <w:kern w:val="10"/>
          <w:sz w:val="21"/>
          <w:szCs w:val="21"/>
          <w:highlight w:val="none"/>
        </w:rPr>
      </w:pPr>
      <w:r>
        <w:rPr>
          <w:rFonts w:hint="eastAsia" w:ascii="宋体" w:hAnsi="宋体" w:eastAsia="宋体" w:cs="宋体"/>
          <w:color w:val="auto"/>
          <w:kern w:val="10"/>
          <w:sz w:val="21"/>
          <w:szCs w:val="21"/>
          <w:highlight w:val="none"/>
        </w:rPr>
        <w:t>3</w:t>
      </w:r>
      <w:r>
        <w:rPr>
          <w:rFonts w:hint="eastAsia" w:ascii="宋体" w:hAnsi="宋体" w:eastAsia="宋体" w:cs="宋体"/>
          <w:color w:val="auto"/>
          <w:kern w:val="10"/>
          <w:sz w:val="21"/>
          <w:szCs w:val="21"/>
          <w:highlight w:val="none"/>
          <w:lang w:val="en-US" w:eastAsia="zh-CN"/>
        </w:rPr>
        <w:t>2</w:t>
      </w:r>
      <w:r>
        <w:rPr>
          <w:rFonts w:hint="eastAsia" w:ascii="宋体" w:hAnsi="宋体" w:eastAsia="宋体" w:cs="宋体"/>
          <w:color w:val="auto"/>
          <w:kern w:val="10"/>
          <w:sz w:val="21"/>
          <w:szCs w:val="21"/>
          <w:highlight w:val="none"/>
        </w:rPr>
        <w:t>.1</w:t>
      </w:r>
      <w:r>
        <w:rPr>
          <w:rFonts w:hint="eastAsia" w:ascii="宋体" w:hAnsi="宋体" w:eastAsia="宋体" w:cs="宋体"/>
          <w:color w:val="auto"/>
          <w:kern w:val="10"/>
          <w:sz w:val="21"/>
          <w:szCs w:val="21"/>
          <w:highlight w:val="none"/>
          <w:lang w:val="en-US" w:eastAsia="zh-CN"/>
        </w:rPr>
        <w:t>招标</w:t>
      </w:r>
      <w:r>
        <w:rPr>
          <w:rFonts w:hint="eastAsia" w:ascii="宋体" w:hAnsi="宋体" w:eastAsia="宋体" w:cs="宋体"/>
          <w:color w:val="auto"/>
          <w:kern w:val="10"/>
          <w:sz w:val="21"/>
          <w:szCs w:val="21"/>
          <w:highlight w:val="none"/>
        </w:rPr>
        <w:t xml:space="preserve">人不得泄漏招标投标活动中应当保密的情况和资料，不得与投标人串通损害国家利益，社会公共利益或者他人合法权益。 </w:t>
      </w:r>
    </w:p>
    <w:p w14:paraId="5551F485">
      <w:pPr>
        <w:keepNext w:val="0"/>
        <w:keepLines w:val="0"/>
        <w:pageBreakBefore w:val="0"/>
        <w:widowControl w:val="0"/>
        <w:kinsoku/>
        <w:wordWrap/>
        <w:overflowPunct/>
        <w:topLinePunct w:val="0"/>
        <w:autoSpaceDE/>
        <w:autoSpaceDN/>
        <w:bidi w:val="0"/>
        <w:spacing w:line="440" w:lineRule="exact"/>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w:t>
      </w:r>
      <w:r>
        <w:rPr>
          <w:rFonts w:hint="eastAsia" w:ascii="宋体" w:hAnsi="宋体" w:eastAsia="宋体" w:cs="宋体"/>
          <w:b/>
          <w:color w:val="auto"/>
          <w:sz w:val="21"/>
          <w:szCs w:val="21"/>
          <w:highlight w:val="none"/>
          <w:lang w:val="en-US" w:eastAsia="zh-CN"/>
        </w:rPr>
        <w:t>3</w:t>
      </w:r>
      <w:r>
        <w:rPr>
          <w:rFonts w:hint="eastAsia" w:ascii="宋体" w:hAnsi="宋体" w:eastAsia="宋体" w:cs="宋体"/>
          <w:b/>
          <w:color w:val="auto"/>
          <w:sz w:val="21"/>
          <w:szCs w:val="21"/>
          <w:highlight w:val="none"/>
        </w:rPr>
        <w:t xml:space="preserve">. 对投标人的纪律要求 </w:t>
      </w:r>
    </w:p>
    <w:p w14:paraId="7504D9C8">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eastAsia="宋体" w:cs="宋体"/>
          <w:color w:val="auto"/>
          <w:kern w:val="10"/>
          <w:sz w:val="21"/>
          <w:szCs w:val="21"/>
          <w:highlight w:val="none"/>
        </w:rPr>
      </w:pPr>
      <w:r>
        <w:rPr>
          <w:rFonts w:hint="eastAsia" w:ascii="宋体" w:hAnsi="宋体" w:eastAsia="宋体" w:cs="宋体"/>
          <w:color w:val="auto"/>
          <w:kern w:val="10"/>
          <w:sz w:val="21"/>
          <w:szCs w:val="21"/>
          <w:highlight w:val="none"/>
        </w:rPr>
        <w:t>3</w:t>
      </w:r>
      <w:r>
        <w:rPr>
          <w:rFonts w:hint="eastAsia" w:ascii="宋体" w:hAnsi="宋体" w:eastAsia="宋体" w:cs="宋体"/>
          <w:color w:val="auto"/>
          <w:kern w:val="10"/>
          <w:sz w:val="21"/>
          <w:szCs w:val="21"/>
          <w:highlight w:val="none"/>
          <w:lang w:val="en-US" w:eastAsia="zh-CN"/>
        </w:rPr>
        <w:t>3</w:t>
      </w:r>
      <w:r>
        <w:rPr>
          <w:rFonts w:hint="eastAsia" w:ascii="宋体" w:hAnsi="宋体" w:eastAsia="宋体" w:cs="宋体"/>
          <w:color w:val="auto"/>
          <w:kern w:val="10"/>
          <w:sz w:val="21"/>
          <w:szCs w:val="21"/>
          <w:highlight w:val="none"/>
        </w:rPr>
        <w:t>.1投标人不得相互串通投标或者与</w:t>
      </w:r>
      <w:r>
        <w:rPr>
          <w:rFonts w:hint="eastAsia" w:ascii="宋体" w:hAnsi="宋体" w:eastAsia="宋体" w:cs="宋体"/>
          <w:color w:val="auto"/>
          <w:kern w:val="10"/>
          <w:sz w:val="21"/>
          <w:szCs w:val="21"/>
          <w:highlight w:val="none"/>
          <w:lang w:val="en-US" w:eastAsia="zh-CN"/>
        </w:rPr>
        <w:t>招标</w:t>
      </w:r>
      <w:r>
        <w:rPr>
          <w:rFonts w:hint="eastAsia" w:ascii="宋体" w:hAnsi="宋体" w:eastAsia="宋体" w:cs="宋体"/>
          <w:color w:val="auto"/>
          <w:kern w:val="10"/>
          <w:sz w:val="21"/>
          <w:szCs w:val="21"/>
          <w:highlight w:val="none"/>
        </w:rPr>
        <w:t>人串通投标，不得向</w:t>
      </w:r>
      <w:r>
        <w:rPr>
          <w:rFonts w:hint="eastAsia" w:ascii="宋体" w:hAnsi="宋体" w:eastAsia="宋体" w:cs="宋体"/>
          <w:color w:val="auto"/>
          <w:kern w:val="10"/>
          <w:sz w:val="21"/>
          <w:szCs w:val="21"/>
          <w:highlight w:val="none"/>
          <w:lang w:val="en-US" w:eastAsia="zh-CN"/>
        </w:rPr>
        <w:t>招标</w:t>
      </w:r>
      <w:r>
        <w:rPr>
          <w:rFonts w:hint="eastAsia" w:ascii="宋体" w:hAnsi="宋体" w:eastAsia="宋体" w:cs="宋体"/>
          <w:color w:val="auto"/>
          <w:kern w:val="10"/>
          <w:sz w:val="21"/>
          <w:szCs w:val="21"/>
          <w:highlight w:val="none"/>
        </w:rPr>
        <w:t>人或者评标委员会成员行贿谋取中标，不得以他人名义投标或者以其他方式弄虚作假骗取中标；投标人不得以任何方式干扰、影响评标工作。</w:t>
      </w:r>
    </w:p>
    <w:p w14:paraId="7BDEB768">
      <w:pPr>
        <w:keepNext w:val="0"/>
        <w:keepLines w:val="0"/>
        <w:pageBreakBefore w:val="0"/>
        <w:widowControl w:val="0"/>
        <w:kinsoku/>
        <w:wordWrap/>
        <w:overflowPunct/>
        <w:topLinePunct w:val="0"/>
        <w:autoSpaceDE/>
        <w:autoSpaceDN/>
        <w:bidi w:val="0"/>
        <w:spacing w:line="440" w:lineRule="exact"/>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w:t>
      </w:r>
      <w:r>
        <w:rPr>
          <w:rFonts w:hint="eastAsia" w:ascii="宋体" w:hAnsi="宋体" w:eastAsia="宋体" w:cs="宋体"/>
          <w:b/>
          <w:color w:val="auto"/>
          <w:sz w:val="21"/>
          <w:szCs w:val="21"/>
          <w:highlight w:val="none"/>
          <w:lang w:val="en-US" w:eastAsia="zh-CN"/>
        </w:rPr>
        <w:t>4</w:t>
      </w:r>
      <w:r>
        <w:rPr>
          <w:rFonts w:hint="eastAsia" w:ascii="宋体" w:hAnsi="宋体" w:eastAsia="宋体" w:cs="宋体"/>
          <w:b/>
          <w:color w:val="auto"/>
          <w:sz w:val="21"/>
          <w:szCs w:val="21"/>
          <w:highlight w:val="none"/>
        </w:rPr>
        <w:t xml:space="preserve">. 对评标委员会成员的纪律要求 </w:t>
      </w:r>
    </w:p>
    <w:p w14:paraId="6CB3C107">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eastAsia="宋体" w:cs="宋体"/>
          <w:color w:val="auto"/>
          <w:kern w:val="10"/>
          <w:sz w:val="21"/>
          <w:szCs w:val="21"/>
          <w:highlight w:val="none"/>
        </w:rPr>
      </w:pPr>
      <w:r>
        <w:rPr>
          <w:rFonts w:hint="eastAsia" w:ascii="宋体" w:hAnsi="宋体" w:eastAsia="宋体" w:cs="宋体"/>
          <w:color w:val="auto"/>
          <w:kern w:val="10"/>
          <w:sz w:val="21"/>
          <w:szCs w:val="21"/>
          <w:highlight w:val="none"/>
        </w:rPr>
        <w:t>3</w:t>
      </w:r>
      <w:r>
        <w:rPr>
          <w:rFonts w:hint="eastAsia" w:ascii="宋体" w:hAnsi="宋体" w:eastAsia="宋体" w:cs="宋体"/>
          <w:color w:val="auto"/>
          <w:kern w:val="10"/>
          <w:sz w:val="21"/>
          <w:szCs w:val="21"/>
          <w:highlight w:val="none"/>
          <w:lang w:val="en-US" w:eastAsia="zh-CN"/>
        </w:rPr>
        <w:t>4</w:t>
      </w:r>
      <w:r>
        <w:rPr>
          <w:rFonts w:hint="eastAsia" w:ascii="宋体" w:hAnsi="宋体" w:eastAsia="宋体" w:cs="宋体"/>
          <w:color w:val="auto"/>
          <w:kern w:val="10"/>
          <w:sz w:val="21"/>
          <w:szCs w:val="21"/>
          <w:highlight w:val="none"/>
        </w:rPr>
        <w:t>.1评标委员会成员不得收受他人的财物或者其他好处，不得向他人透漏对投标文件的评审和比较、中标候选人的推荐情况以及评标有关的其他情况。</w:t>
      </w:r>
    </w:p>
    <w:p w14:paraId="03E470DE">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eastAsia="宋体" w:cs="宋体"/>
          <w:color w:val="auto"/>
          <w:kern w:val="10"/>
          <w:sz w:val="21"/>
          <w:szCs w:val="21"/>
          <w:highlight w:val="none"/>
        </w:rPr>
      </w:pPr>
      <w:r>
        <w:rPr>
          <w:rFonts w:hint="eastAsia" w:ascii="宋体" w:hAnsi="宋体" w:eastAsia="宋体" w:cs="宋体"/>
          <w:color w:val="auto"/>
          <w:kern w:val="10"/>
          <w:sz w:val="21"/>
          <w:szCs w:val="21"/>
          <w:highlight w:val="none"/>
        </w:rPr>
        <w:t>3</w:t>
      </w:r>
      <w:r>
        <w:rPr>
          <w:rFonts w:hint="eastAsia" w:ascii="宋体" w:hAnsi="宋体" w:eastAsia="宋体" w:cs="宋体"/>
          <w:color w:val="auto"/>
          <w:kern w:val="10"/>
          <w:sz w:val="21"/>
          <w:szCs w:val="21"/>
          <w:highlight w:val="none"/>
          <w:lang w:val="en-US" w:eastAsia="zh-CN"/>
        </w:rPr>
        <w:t>4</w:t>
      </w:r>
      <w:r>
        <w:rPr>
          <w:rFonts w:hint="eastAsia" w:ascii="宋体" w:hAnsi="宋体" w:eastAsia="宋体" w:cs="宋体"/>
          <w:color w:val="auto"/>
          <w:kern w:val="10"/>
          <w:sz w:val="21"/>
          <w:szCs w:val="21"/>
          <w:highlight w:val="none"/>
        </w:rPr>
        <w:t>.2在评标活动中，评标委员会成员不得擅离职守，影响评标程序正常进行，不得使用第</w:t>
      </w:r>
      <w:r>
        <w:rPr>
          <w:rFonts w:hint="eastAsia" w:ascii="宋体" w:hAnsi="宋体" w:cs="宋体"/>
          <w:color w:val="auto"/>
          <w:kern w:val="10"/>
          <w:sz w:val="21"/>
          <w:szCs w:val="21"/>
          <w:highlight w:val="none"/>
          <w:lang w:eastAsia="zh-CN"/>
        </w:rPr>
        <w:t>二</w:t>
      </w:r>
      <w:r>
        <w:rPr>
          <w:rFonts w:hint="eastAsia" w:ascii="宋体" w:hAnsi="宋体" w:eastAsia="宋体" w:cs="宋体"/>
          <w:color w:val="auto"/>
          <w:kern w:val="10"/>
          <w:sz w:val="21"/>
          <w:szCs w:val="21"/>
          <w:highlight w:val="none"/>
        </w:rPr>
        <w:t xml:space="preserve">章“评标办法”没有规定的评审因素和标准进行评标。 </w:t>
      </w:r>
    </w:p>
    <w:p w14:paraId="72153F7E">
      <w:pPr>
        <w:keepNext w:val="0"/>
        <w:keepLines w:val="0"/>
        <w:pageBreakBefore w:val="0"/>
        <w:widowControl w:val="0"/>
        <w:kinsoku/>
        <w:wordWrap/>
        <w:overflowPunct/>
        <w:topLinePunct w:val="0"/>
        <w:autoSpaceDE/>
        <w:autoSpaceDN/>
        <w:bidi w:val="0"/>
        <w:spacing w:line="440" w:lineRule="exact"/>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35</w:t>
      </w:r>
      <w:r>
        <w:rPr>
          <w:rFonts w:hint="eastAsia" w:ascii="宋体" w:hAnsi="宋体" w:eastAsia="宋体" w:cs="宋体"/>
          <w:b/>
          <w:color w:val="auto"/>
          <w:sz w:val="21"/>
          <w:szCs w:val="21"/>
          <w:highlight w:val="none"/>
        </w:rPr>
        <w:t xml:space="preserve">. 对与评标活动有关的工作人员的纪律要求 </w:t>
      </w:r>
    </w:p>
    <w:p w14:paraId="27E68A89">
      <w:pPr>
        <w:adjustRightInd w:val="0"/>
        <w:snapToGrid w:val="0"/>
        <w:spacing w:line="440" w:lineRule="exact"/>
        <w:rPr>
          <w:rFonts w:hint="eastAsia" w:ascii="宋体"/>
          <w:color w:val="auto"/>
          <w:kern w:val="10"/>
          <w:szCs w:val="21"/>
          <w:highlight w:val="none"/>
        </w:rPr>
      </w:pPr>
      <w:r>
        <w:rPr>
          <w:rFonts w:hint="eastAsia" w:ascii="宋体" w:hAnsi="宋体" w:eastAsia="宋体" w:cs="宋体"/>
          <w:color w:val="auto"/>
          <w:kern w:val="10"/>
          <w:sz w:val="21"/>
          <w:szCs w:val="21"/>
          <w:highlight w:val="none"/>
          <w:lang w:val="en-US" w:eastAsia="zh-CN"/>
        </w:rPr>
        <w:t>35.1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r>
        <w:rPr>
          <w:rFonts w:hint="eastAsia" w:ascii="宋体"/>
          <w:color w:val="auto"/>
          <w:kern w:val="10"/>
          <w:szCs w:val="21"/>
          <w:highlight w:val="none"/>
        </w:rPr>
        <w:t>。</w:t>
      </w:r>
    </w:p>
    <w:p w14:paraId="5F5F9D3C">
      <w:pPr>
        <w:keepNext w:val="0"/>
        <w:keepLines w:val="0"/>
        <w:pageBreakBefore w:val="0"/>
        <w:widowControl w:val="0"/>
        <w:kinsoku/>
        <w:wordWrap/>
        <w:overflowPunct/>
        <w:topLinePunct w:val="0"/>
        <w:autoSpaceDE/>
        <w:autoSpaceDN/>
        <w:bidi w:val="0"/>
        <w:adjustRightInd/>
        <w:snapToGrid/>
        <w:spacing w:before="313" w:beforeLines="100" w:line="500" w:lineRule="exact"/>
        <w:jc w:val="center"/>
        <w:textAlignment w:val="auto"/>
        <w:outlineLvl w:val="1"/>
        <w:rPr>
          <w:rFonts w:hint="eastAsia" w:ascii="宋体" w:hAnsi="宋体" w:eastAsia="宋体" w:cs="宋体"/>
          <w:b/>
          <w:bCs/>
          <w:color w:val="auto"/>
          <w:sz w:val="28"/>
          <w:highlight w:val="none"/>
        </w:rPr>
      </w:pPr>
      <w:bookmarkStart w:id="56" w:name="_Toc449028875"/>
      <w:r>
        <w:rPr>
          <w:rFonts w:hint="eastAsia" w:ascii="宋体" w:hAnsi="宋体" w:eastAsia="宋体" w:cs="宋体"/>
          <w:b/>
          <w:bCs/>
          <w:color w:val="auto"/>
          <w:sz w:val="28"/>
          <w:highlight w:val="none"/>
          <w:lang w:val="en-US" w:eastAsia="zh-CN"/>
        </w:rPr>
        <w:t>八、</w:t>
      </w:r>
      <w:r>
        <w:rPr>
          <w:rFonts w:hint="eastAsia" w:ascii="宋体" w:hAnsi="宋体" w:eastAsia="宋体" w:cs="宋体"/>
          <w:b/>
          <w:bCs/>
          <w:color w:val="auto"/>
          <w:sz w:val="28"/>
          <w:highlight w:val="none"/>
        </w:rPr>
        <w:t>质疑</w:t>
      </w:r>
      <w:bookmarkEnd w:id="56"/>
    </w:p>
    <w:p w14:paraId="1CD4C1C5">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36</w:t>
      </w:r>
      <w:r>
        <w:rPr>
          <w:rFonts w:hint="eastAsia" w:ascii="宋体" w:hAnsi="宋体" w:eastAsia="宋体" w:cs="宋体"/>
          <w:b/>
          <w:color w:val="auto"/>
          <w:sz w:val="21"/>
          <w:szCs w:val="21"/>
          <w:highlight w:val="none"/>
        </w:rPr>
        <w:t>. 询问、质疑</w:t>
      </w:r>
    </w:p>
    <w:p w14:paraId="2E4B5FF5">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36.1 投标人对招标活动事项有疑问的，可以向招标人提出询问，招标人将在三日内作出答复，但答复的内容不涉及商业秘密。</w:t>
      </w:r>
    </w:p>
    <w:p w14:paraId="0294DB2C">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36.2 </w:t>
      </w:r>
      <w:r>
        <w:rPr>
          <w:rFonts w:hint="eastAsia" w:ascii="宋体" w:hAnsi="宋体" w:eastAsia="宋体" w:cs="宋体"/>
          <w:color w:val="auto"/>
          <w:sz w:val="21"/>
          <w:szCs w:val="21"/>
          <w:highlight w:val="none"/>
        </w:rPr>
        <w:t>投标人和其他利害关系人认为本次招标活动违反法律、法规和规章规定的，有权向有关行政监督部门投诉。投诉应当有明确的请求和必要的证明材料。</w:t>
      </w:r>
    </w:p>
    <w:p w14:paraId="4AC960A2">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36.3</w:t>
      </w:r>
      <w:r>
        <w:rPr>
          <w:rFonts w:hint="eastAsia" w:ascii="宋体" w:hAnsi="宋体" w:eastAsia="宋体" w:cs="宋体"/>
          <w:color w:val="auto"/>
          <w:sz w:val="21"/>
          <w:szCs w:val="21"/>
          <w:highlight w:val="none"/>
        </w:rPr>
        <w:t>投标人或其他利害关系人对评标结果有异议的，应在公示期间提出。招标人将在收到异议之日起3日内作出答复；作出答复前，将暂停招标投标活动。</w:t>
      </w:r>
      <w:r>
        <w:rPr>
          <w:rFonts w:hint="eastAsia" w:ascii="宋体" w:hAnsi="宋体" w:eastAsia="宋体" w:cs="宋体"/>
          <w:b/>
          <w:bCs/>
          <w:color w:val="auto"/>
          <w:sz w:val="21"/>
          <w:szCs w:val="21"/>
          <w:highlight w:val="none"/>
          <w:lang w:val="en-US" w:eastAsia="zh-CN"/>
        </w:rPr>
        <w:t>注：</w:t>
      </w:r>
      <w:r>
        <w:rPr>
          <w:rFonts w:hint="eastAsia" w:ascii="宋体" w:hAnsi="宋体" w:eastAsia="宋体" w:cs="宋体"/>
          <w:b/>
          <w:bCs/>
          <w:color w:val="auto"/>
          <w:sz w:val="21"/>
          <w:szCs w:val="21"/>
          <w:highlight w:val="none"/>
        </w:rPr>
        <w:t>一份质疑（异议）函只能针对一个项目提出质疑（异议），且针对同一招标采购程序环节的质疑（异议）应当一次性提出</w:t>
      </w:r>
      <w:r>
        <w:rPr>
          <w:rFonts w:hint="eastAsia" w:ascii="宋体" w:hAnsi="宋体" w:eastAsia="宋体" w:cs="宋体"/>
          <w:b/>
          <w:bCs/>
          <w:color w:val="auto"/>
          <w:sz w:val="21"/>
          <w:szCs w:val="21"/>
          <w:highlight w:val="none"/>
          <w:lang w:eastAsia="zh-CN"/>
        </w:rPr>
        <w:t>。</w:t>
      </w:r>
    </w:p>
    <w:p w14:paraId="358F522D">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36.4参与投标的投标人对中标公告提出的质疑，负有举证的责任。投标人提出质疑应当提交质疑函和必要的证明材料。质疑函应当包括下列内容：</w:t>
      </w:r>
    </w:p>
    <w:p w14:paraId="1CBAEEF6">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（一）投标人的姓名或者名称、地址、邮编、联系人及联系电话；</w:t>
      </w:r>
    </w:p>
    <w:p w14:paraId="7763497A">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（二）质疑项目的名称、编号；</w:t>
      </w:r>
    </w:p>
    <w:p w14:paraId="2B5293BB">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（三）具体、明确的质疑事项和与质疑事项相关的请求；</w:t>
      </w:r>
    </w:p>
    <w:p w14:paraId="0CC942E4">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（四）事实依据；</w:t>
      </w:r>
    </w:p>
    <w:p w14:paraId="0F584D02">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（五）必要的法律依据；</w:t>
      </w:r>
    </w:p>
    <w:p w14:paraId="615070B5">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（六）提出质疑的日期。</w:t>
      </w:r>
    </w:p>
    <w:p w14:paraId="07F11C0E">
      <w:pPr>
        <w:keepNext w:val="0"/>
        <w:keepLines w:val="0"/>
        <w:pageBreakBefore w:val="0"/>
        <w:widowControl w:val="0"/>
        <w:kinsoku/>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投标人为自然人的，应当由本人签字；投标人为法人或者其他组织的，应当由法定代表人、主要负责人，或者其授权代表签字或者盖章，并加盖公章。</w:t>
      </w:r>
    </w:p>
    <w:p w14:paraId="26A452B3">
      <w:pPr>
        <w:keepNext w:val="0"/>
        <w:keepLines w:val="0"/>
        <w:pageBreakBefore w:val="0"/>
        <w:widowControl w:val="0"/>
        <w:kinsoku/>
        <w:overflowPunct/>
        <w:topLinePunct w:val="0"/>
        <w:autoSpaceDE/>
        <w:autoSpaceDN/>
        <w:bidi w:val="0"/>
        <w:adjustRightInd/>
        <w:snapToGrid/>
        <w:spacing w:line="44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36.5</w:t>
      </w:r>
      <w:r>
        <w:rPr>
          <w:rFonts w:hint="eastAsia" w:ascii="宋体" w:hAnsi="宋体" w:eastAsia="宋体" w:cs="宋体"/>
          <w:color w:val="auto"/>
          <w:kern w:val="10"/>
          <w:sz w:val="21"/>
          <w:szCs w:val="21"/>
          <w:highlight w:val="none"/>
          <w:lang w:eastAsia="zh-CN"/>
        </w:rPr>
        <w:t>招标人</w:t>
      </w:r>
      <w:r>
        <w:rPr>
          <w:rFonts w:hint="eastAsia" w:ascii="宋体" w:hAnsi="宋体" w:eastAsia="宋体" w:cs="宋体"/>
          <w:color w:val="auto"/>
          <w:kern w:val="10"/>
          <w:sz w:val="21"/>
          <w:szCs w:val="21"/>
          <w:highlight w:val="none"/>
        </w:rPr>
        <w:t>或</w:t>
      </w:r>
      <w:r>
        <w:rPr>
          <w:rFonts w:hint="eastAsia" w:ascii="宋体" w:hAnsi="宋体" w:eastAsia="宋体" w:cs="宋体"/>
          <w:color w:val="auto"/>
          <w:kern w:val="10"/>
          <w:sz w:val="21"/>
          <w:szCs w:val="21"/>
          <w:highlight w:val="none"/>
          <w:lang w:eastAsia="zh-CN"/>
        </w:rPr>
        <w:t>招标代理机构</w:t>
      </w:r>
      <w:r>
        <w:rPr>
          <w:rFonts w:hint="eastAsia" w:ascii="宋体" w:hAnsi="宋体" w:eastAsia="宋体" w:cs="宋体"/>
          <w:color w:val="auto"/>
          <w:kern w:val="10"/>
          <w:sz w:val="21"/>
          <w:szCs w:val="21"/>
          <w:highlight w:val="none"/>
        </w:rPr>
        <w:t>在收到投标人的质疑函后，将审查质疑函的格式、内容以及所附的证明文件是否符合要求。如不符合，说明原因退回投标人；如符合要求，则接受该质疑函并向投标人出具受理证明</w:t>
      </w:r>
      <w:r>
        <w:rPr>
          <w:rFonts w:hint="eastAsia" w:ascii="宋体" w:hAnsi="宋体" w:eastAsia="宋体" w:cs="宋体"/>
          <w:color w:val="auto"/>
          <w:sz w:val="21"/>
          <w:szCs w:val="21"/>
          <w:highlight w:val="none"/>
          <w:lang w:val="en-US" w:eastAsia="zh-CN"/>
        </w:rPr>
        <w:t>。</w:t>
      </w:r>
    </w:p>
    <w:p w14:paraId="65F1D038">
      <w:pPr>
        <w:keepNext w:val="0"/>
        <w:keepLines w:val="0"/>
        <w:pageBreakBefore w:val="0"/>
        <w:widowControl w:val="0"/>
        <w:kinsoku/>
        <w:overflowPunct/>
        <w:topLinePunct w:val="0"/>
        <w:autoSpaceDE/>
        <w:autoSpaceDN/>
        <w:bidi w:val="0"/>
        <w:adjustRightInd/>
        <w:snapToGrid/>
        <w:spacing w:line="440" w:lineRule="exact"/>
        <w:jc w:val="left"/>
        <w:textAlignment w:val="auto"/>
        <w:rPr>
          <w:rFonts w:hint="eastAsia" w:ascii="宋体" w:hAnsi="宋体" w:eastAsia="宋体" w:cs="宋体"/>
          <w:color w:val="auto"/>
          <w:kern w:val="10"/>
          <w:sz w:val="21"/>
          <w:szCs w:val="21"/>
          <w:highlight w:val="none"/>
        </w:rPr>
      </w:pPr>
      <w:r>
        <w:rPr>
          <w:rFonts w:hint="eastAsia" w:ascii="宋体" w:hAnsi="宋体" w:eastAsia="宋体" w:cs="宋体"/>
          <w:color w:val="auto"/>
          <w:sz w:val="21"/>
          <w:szCs w:val="21"/>
          <w:highlight w:val="none"/>
          <w:lang w:val="en-US" w:eastAsia="zh-CN"/>
        </w:rPr>
        <w:t>36.6处理质疑的时间，从实际接受投标人质疑函的时间开始计算</w:t>
      </w:r>
      <w:r>
        <w:rPr>
          <w:rFonts w:hint="eastAsia" w:ascii="宋体" w:hAnsi="宋体" w:eastAsia="宋体" w:cs="宋体"/>
          <w:color w:val="auto"/>
          <w:kern w:val="10"/>
          <w:sz w:val="21"/>
          <w:szCs w:val="21"/>
          <w:highlight w:val="none"/>
        </w:rPr>
        <w:t>。</w:t>
      </w:r>
    </w:p>
    <w:p w14:paraId="2DFD0EC6">
      <w:pPr>
        <w:pStyle w:val="2"/>
        <w:spacing w:before="0" w:after="0"/>
        <w:rPr>
          <w:rFonts w:hint="eastAsia" w:ascii="宋体" w:hAnsi="宋体" w:eastAsia="宋体" w:cs="宋体"/>
          <w:color w:val="auto"/>
          <w:highlight w:val="none"/>
          <w:lang w:val="en-US" w:eastAsia="zh-CN"/>
        </w:rPr>
      </w:pPr>
    </w:p>
    <w:p w14:paraId="32EDDA19">
      <w:pPr>
        <w:pStyle w:val="2"/>
        <w:keepNext/>
        <w:keepLines/>
        <w:pageBreakBefore/>
        <w:widowControl w:val="0"/>
        <w:kinsoku/>
        <w:wordWrap/>
        <w:overflowPunct/>
        <w:topLinePunct w:val="0"/>
        <w:autoSpaceDE/>
        <w:autoSpaceDN/>
        <w:bidi w:val="0"/>
        <w:adjustRightInd/>
        <w:snapToGrid/>
        <w:spacing w:before="0" w:after="0"/>
        <w:textAlignment w:val="auto"/>
        <w:rPr>
          <w:rFonts w:hint="eastAsia" w:ascii="宋体" w:hAnsi="宋体" w:eastAsia="宋体" w:cs="宋体"/>
          <w:color w:val="auto"/>
          <w:highlight w:val="none"/>
          <w:lang w:val="en-US" w:eastAsia="zh-CN"/>
        </w:rPr>
      </w:pPr>
      <w:bookmarkStart w:id="57" w:name="_Toc13234"/>
      <w:r>
        <w:rPr>
          <w:rFonts w:hint="eastAsia" w:ascii="宋体" w:hAnsi="宋体" w:eastAsia="宋体" w:cs="宋体"/>
          <w:color w:val="auto"/>
          <w:highlight w:val="none"/>
          <w:lang w:val="en-US" w:eastAsia="zh-CN"/>
        </w:rPr>
        <w:t>第二章 评标办法</w:t>
      </w:r>
      <w:bookmarkEnd w:id="57"/>
    </w:p>
    <w:p w14:paraId="4E420EF5">
      <w:pPr>
        <w:keepNext w:val="0"/>
        <w:keepLines w:val="0"/>
        <w:pageBreakBefore w:val="0"/>
        <w:widowControl w:val="0"/>
        <w:kinsoku/>
        <w:wordWrap/>
        <w:overflowPunct/>
        <w:topLinePunct w:val="0"/>
        <w:autoSpaceDE/>
        <w:autoSpaceDN/>
        <w:bidi w:val="0"/>
        <w:adjustRightInd/>
        <w:snapToGrid/>
        <w:spacing w:line="340" w:lineRule="exact"/>
        <w:jc w:val="center"/>
        <w:textAlignment w:val="auto"/>
        <w:outlineLvl w:val="1"/>
        <w:rPr>
          <w:rFonts w:hint="eastAsia" w:ascii="宋体" w:hAnsi="宋体" w:eastAsia="宋体" w:cs="宋体"/>
          <w:b/>
          <w:bCs/>
          <w:color w:val="auto"/>
          <w:sz w:val="24"/>
          <w:szCs w:val="24"/>
          <w:highlight w:val="none"/>
          <w:lang w:val="en-US" w:eastAsia="zh-CN"/>
        </w:rPr>
      </w:pPr>
      <w:bookmarkStart w:id="58" w:name="_Toc14912"/>
      <w:r>
        <w:rPr>
          <w:rFonts w:hint="eastAsia" w:ascii="宋体" w:hAnsi="宋体" w:eastAsia="宋体" w:cs="宋体"/>
          <w:b/>
          <w:bCs/>
          <w:color w:val="auto"/>
          <w:sz w:val="24"/>
          <w:szCs w:val="24"/>
          <w:highlight w:val="none"/>
          <w:lang w:val="en-US" w:eastAsia="zh-CN"/>
        </w:rPr>
        <w:t>一、总则</w:t>
      </w:r>
      <w:bookmarkEnd w:id="58"/>
    </w:p>
    <w:p w14:paraId="068C5033">
      <w:pPr>
        <w:keepNext w:val="0"/>
        <w:keepLines w:val="0"/>
        <w:pageBreakBefore w:val="0"/>
        <w:widowControl w:val="0"/>
        <w:kinsoku/>
        <w:wordWrap/>
        <w:overflowPunct/>
        <w:topLinePunct w:val="0"/>
        <w:autoSpaceDE/>
        <w:autoSpaceDN/>
        <w:bidi w:val="0"/>
        <w:adjustRightInd/>
        <w:snapToGrid/>
        <w:spacing w:line="460" w:lineRule="exact"/>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 本次评标采用</w:t>
      </w:r>
      <w:r>
        <w:rPr>
          <w:rFonts w:hint="eastAsia" w:ascii="宋体" w:hAnsi="宋体" w:cs="宋体"/>
          <w:b/>
          <w:bCs/>
          <w:color w:val="auto"/>
          <w:sz w:val="21"/>
          <w:szCs w:val="21"/>
          <w:highlight w:val="none"/>
          <w:lang w:val="en-US" w:eastAsia="zh-CN"/>
        </w:rPr>
        <w:t>综合评估法</w:t>
      </w:r>
    </w:p>
    <w:p w14:paraId="64AB08B2">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w:t>
      </w:r>
      <w:r>
        <w:rPr>
          <w:rFonts w:hint="eastAsia" w:ascii="宋体" w:hAnsi="宋体" w:cs="宋体"/>
          <w:color w:val="auto"/>
          <w:sz w:val="21"/>
          <w:szCs w:val="21"/>
          <w:highlight w:val="none"/>
          <w:lang w:val="en-US" w:eastAsia="zh-CN"/>
        </w:rPr>
        <w:t>综合评估法</w:t>
      </w:r>
      <w:r>
        <w:rPr>
          <w:rFonts w:hint="eastAsia" w:ascii="宋体" w:hAnsi="宋体" w:eastAsia="宋体" w:cs="宋体"/>
          <w:color w:val="auto"/>
          <w:sz w:val="21"/>
          <w:szCs w:val="21"/>
          <w:highlight w:val="none"/>
          <w:lang w:val="en-US" w:eastAsia="zh-CN"/>
        </w:rPr>
        <w:t>，评标委员会按照本章规定的评分标准进行打分，</w:t>
      </w:r>
      <w:r>
        <w:rPr>
          <w:rFonts w:hint="eastAsia" w:ascii="宋体" w:hAnsi="宋体" w:cs="宋体"/>
          <w:b/>
          <w:bCs/>
          <w:color w:val="auto"/>
          <w:szCs w:val="21"/>
          <w:highlight w:val="none"/>
        </w:rPr>
        <w:t>并按总得分由高到低顺序推荐</w:t>
      </w:r>
      <w:r>
        <w:rPr>
          <w:rFonts w:hint="eastAsia" w:ascii="宋体" w:hAnsi="宋体" w:cs="宋体"/>
          <w:b/>
          <w:bCs/>
          <w:color w:val="auto"/>
          <w:szCs w:val="21"/>
          <w:highlight w:val="none"/>
          <w:lang w:val="en-US" w:eastAsia="zh-CN"/>
        </w:rPr>
        <w:t>2</w:t>
      </w:r>
      <w:r>
        <w:rPr>
          <w:rFonts w:hint="eastAsia" w:ascii="宋体" w:hAnsi="宋体" w:cs="宋体"/>
          <w:b/>
          <w:bCs/>
          <w:color w:val="auto"/>
          <w:szCs w:val="21"/>
          <w:highlight w:val="none"/>
        </w:rPr>
        <w:t>名中标候选人，并标明排序</w:t>
      </w:r>
      <w:r>
        <w:rPr>
          <w:rFonts w:hint="eastAsia" w:ascii="宋体" w:hAnsi="宋体" w:cs="宋体"/>
          <w:b/>
          <w:bCs/>
          <w:color w:val="auto"/>
          <w:szCs w:val="21"/>
          <w:highlight w:val="none"/>
          <w:lang w:eastAsia="zh-CN"/>
        </w:rPr>
        <w:t>，但投标报价低于其成本的除外</w:t>
      </w:r>
      <w:r>
        <w:rPr>
          <w:rFonts w:hint="eastAsia" w:ascii="宋体" w:hAnsi="宋体" w:eastAsia="宋体" w:cs="宋体"/>
          <w:color w:val="auto"/>
          <w:sz w:val="21"/>
          <w:szCs w:val="21"/>
          <w:highlight w:val="none"/>
          <w:lang w:val="en-US" w:eastAsia="zh-CN"/>
        </w:rPr>
        <w:t>。得分最高的为第一中标候选人，第二高的为第二中标候选人。</w:t>
      </w:r>
      <w:r>
        <w:rPr>
          <w:rFonts w:hint="eastAsia" w:ascii="宋体" w:hAnsi="宋体" w:eastAsia="宋体" w:cs="宋体"/>
          <w:b/>
          <w:bCs/>
          <w:color w:val="auto"/>
          <w:sz w:val="21"/>
          <w:szCs w:val="21"/>
          <w:highlight w:val="none"/>
        </w:rPr>
        <w:t>如总得分相等，以投标报价低的优先，投标报价仍相等，由评标委员会或招标人随机抽取确定排名，不得并列</w:t>
      </w:r>
      <w:r>
        <w:rPr>
          <w:rFonts w:hint="eastAsia" w:ascii="宋体" w:hAnsi="宋体" w:eastAsia="宋体" w:cs="宋体"/>
          <w:color w:val="auto"/>
          <w:sz w:val="21"/>
          <w:szCs w:val="21"/>
          <w:highlight w:val="none"/>
        </w:rPr>
        <w:t>。</w:t>
      </w:r>
    </w:p>
    <w:p w14:paraId="403526C3">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2．评标程序</w:t>
      </w:r>
    </w:p>
    <w:p w14:paraId="59C70429">
      <w:pPr>
        <w:keepNext w:val="0"/>
        <w:keepLines w:val="0"/>
        <w:pageBreakBefore w:val="0"/>
        <w:widowControl w:val="0"/>
        <w:kinsoku/>
        <w:wordWrap/>
        <w:overflowPunct/>
        <w:topLinePunct w:val="0"/>
        <w:autoSpaceDE/>
        <w:autoSpaceDN/>
        <w:bidi w:val="0"/>
        <w:adjustRightInd/>
        <w:snapToGrid/>
        <w:spacing w:line="460" w:lineRule="exact"/>
        <w:ind w:firstLine="422" w:firstLineChars="200"/>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先对投标人报价</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以投标文件投标函中填写报价为准</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按计算标准计算得分，得分按照从高到低进行排序（如总得分相等，以投标报价低的优先，投标报价仍相等，由招标人</w:t>
      </w:r>
      <w:r>
        <w:rPr>
          <w:rFonts w:hint="eastAsia" w:ascii="宋体" w:hAnsi="宋体" w:eastAsia="宋体" w:cs="宋体"/>
          <w:b/>
          <w:bCs/>
          <w:color w:val="auto"/>
          <w:sz w:val="21"/>
          <w:szCs w:val="21"/>
          <w:highlight w:val="none"/>
          <w:lang w:val="en-US" w:eastAsia="zh-CN"/>
        </w:rPr>
        <w:t>或评标委员会</w:t>
      </w:r>
      <w:r>
        <w:rPr>
          <w:rFonts w:hint="eastAsia" w:ascii="宋体" w:hAnsi="宋体" w:eastAsia="宋体" w:cs="宋体"/>
          <w:b/>
          <w:bCs/>
          <w:color w:val="auto"/>
          <w:sz w:val="21"/>
          <w:szCs w:val="21"/>
          <w:highlight w:val="none"/>
        </w:rPr>
        <w:t>随机抽取确定排名，不得并列）。对排序前</w:t>
      </w:r>
      <w:r>
        <w:rPr>
          <w:rFonts w:hint="eastAsia" w:ascii="宋体" w:hAnsi="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名的投标人投标文件进行评审并确定中标候选人。若排序前</w:t>
      </w:r>
      <w:r>
        <w:rPr>
          <w:rFonts w:hint="eastAsia" w:ascii="宋体" w:hAnsi="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名的投标人</w:t>
      </w:r>
      <w:r>
        <w:rPr>
          <w:rFonts w:hint="eastAsia" w:ascii="宋体" w:hAnsi="宋体" w:cs="宋体"/>
          <w:b/>
          <w:bCs/>
          <w:color w:val="auto"/>
          <w:sz w:val="21"/>
          <w:szCs w:val="21"/>
          <w:highlight w:val="none"/>
          <w:lang w:val="en-US" w:eastAsia="zh-CN"/>
        </w:rPr>
        <w:t>投标</w:t>
      </w:r>
      <w:r>
        <w:rPr>
          <w:rFonts w:hint="eastAsia" w:ascii="宋体" w:hAnsi="宋体" w:eastAsia="宋体" w:cs="宋体"/>
          <w:b/>
          <w:bCs/>
          <w:color w:val="auto"/>
          <w:sz w:val="21"/>
          <w:szCs w:val="21"/>
          <w:highlight w:val="none"/>
        </w:rPr>
        <w:t>文件评审不通过，则按得分排序递补至</w:t>
      </w:r>
      <w:r>
        <w:rPr>
          <w:rFonts w:hint="eastAsia" w:ascii="宋体" w:hAnsi="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家投标人进行</w:t>
      </w:r>
      <w:r>
        <w:rPr>
          <w:rFonts w:hint="eastAsia" w:ascii="宋体" w:hAnsi="宋体" w:cs="宋体"/>
          <w:b/>
          <w:bCs/>
          <w:color w:val="auto"/>
          <w:sz w:val="21"/>
          <w:szCs w:val="21"/>
          <w:highlight w:val="none"/>
          <w:lang w:val="en-US" w:eastAsia="zh-CN"/>
        </w:rPr>
        <w:t>投标文件</w:t>
      </w:r>
      <w:r>
        <w:rPr>
          <w:rFonts w:hint="eastAsia" w:ascii="宋体" w:hAnsi="宋体" w:eastAsia="宋体" w:cs="宋体"/>
          <w:b/>
          <w:bCs/>
          <w:color w:val="auto"/>
          <w:sz w:val="21"/>
          <w:szCs w:val="21"/>
          <w:highlight w:val="none"/>
        </w:rPr>
        <w:t>评审</w:t>
      </w:r>
      <w:r>
        <w:rPr>
          <w:rFonts w:hint="eastAsia" w:ascii="宋体" w:hAnsi="宋体" w:eastAsia="宋体" w:cs="宋体"/>
          <w:b/>
          <w:bCs/>
          <w:color w:val="auto"/>
          <w:sz w:val="21"/>
          <w:szCs w:val="21"/>
          <w:highlight w:val="none"/>
          <w:lang w:eastAsia="zh-CN"/>
        </w:rPr>
        <w:t>。</w:t>
      </w:r>
    </w:p>
    <w:p w14:paraId="591D37D6">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2.1投标文件的初审</w:t>
      </w:r>
    </w:p>
    <w:p w14:paraId="29ADB920">
      <w:pPr>
        <w:keepNext w:val="0"/>
        <w:keepLines w:val="0"/>
        <w:pageBreakBefore w:val="0"/>
        <w:widowControl w:val="0"/>
        <w:kinsoku/>
        <w:wordWrap/>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2.1.1资格性检查。依据法律法规和</w:t>
      </w:r>
      <w:r>
        <w:rPr>
          <w:rFonts w:hint="eastAsia" w:ascii="宋体" w:hAnsi="宋体" w:eastAsia="宋体" w:cs="宋体"/>
          <w:color w:val="auto"/>
          <w:sz w:val="21"/>
          <w:szCs w:val="21"/>
          <w:highlight w:val="none"/>
          <w:lang w:eastAsia="zh-CN"/>
        </w:rPr>
        <w:t>招标文件</w:t>
      </w:r>
      <w:r>
        <w:rPr>
          <w:rFonts w:hint="eastAsia" w:ascii="宋体" w:hAnsi="宋体" w:eastAsia="宋体" w:cs="宋体"/>
          <w:color w:val="auto"/>
          <w:sz w:val="21"/>
          <w:szCs w:val="21"/>
          <w:highlight w:val="none"/>
        </w:rPr>
        <w:t>的规定，对投标文件中的资格证明</w:t>
      </w:r>
      <w:r>
        <w:rPr>
          <w:rFonts w:hint="eastAsia" w:ascii="宋体" w:hAnsi="宋体" w:eastAsia="宋体" w:cs="宋体"/>
          <w:color w:val="auto"/>
          <w:sz w:val="21"/>
          <w:szCs w:val="21"/>
          <w:highlight w:val="none"/>
          <w:lang w:val="en-US" w:eastAsia="zh-CN"/>
        </w:rPr>
        <w:t>材料</w:t>
      </w:r>
      <w:r>
        <w:rPr>
          <w:rFonts w:hint="eastAsia" w:ascii="宋体" w:hAnsi="宋体" w:eastAsia="宋体" w:cs="宋体"/>
          <w:color w:val="auto"/>
          <w:sz w:val="21"/>
          <w:szCs w:val="21"/>
          <w:highlight w:val="none"/>
        </w:rPr>
        <w:t>等进行审查，以确定投标人是否具备投标资格。</w:t>
      </w:r>
    </w:p>
    <w:p w14:paraId="0B195F56">
      <w:pPr>
        <w:keepNext w:val="0"/>
        <w:keepLines w:val="0"/>
        <w:pageBreakBefore w:val="0"/>
        <w:widowControl w:val="0"/>
        <w:kinsoku/>
        <w:wordWrap/>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2.1.2符合性检查。依据</w:t>
      </w:r>
      <w:r>
        <w:rPr>
          <w:rFonts w:hint="eastAsia" w:ascii="宋体" w:hAnsi="宋体" w:eastAsia="宋体" w:cs="宋体"/>
          <w:color w:val="auto"/>
          <w:sz w:val="21"/>
          <w:szCs w:val="21"/>
          <w:highlight w:val="none"/>
          <w:lang w:eastAsia="zh-CN"/>
        </w:rPr>
        <w:t>招标文件</w:t>
      </w:r>
      <w:r>
        <w:rPr>
          <w:rFonts w:hint="eastAsia" w:ascii="宋体" w:hAnsi="宋体" w:eastAsia="宋体" w:cs="宋体"/>
          <w:color w:val="auto"/>
          <w:sz w:val="21"/>
          <w:szCs w:val="21"/>
          <w:highlight w:val="none"/>
        </w:rPr>
        <w:t>的规定，从投标文件的有效性、完整性和对</w:t>
      </w:r>
      <w:r>
        <w:rPr>
          <w:rFonts w:hint="eastAsia" w:ascii="宋体" w:hAnsi="宋体" w:eastAsia="宋体" w:cs="宋体"/>
          <w:color w:val="auto"/>
          <w:sz w:val="21"/>
          <w:szCs w:val="21"/>
          <w:highlight w:val="none"/>
          <w:lang w:eastAsia="zh-CN"/>
        </w:rPr>
        <w:t>招标文件</w:t>
      </w:r>
      <w:r>
        <w:rPr>
          <w:rFonts w:hint="eastAsia" w:ascii="宋体" w:hAnsi="宋体" w:eastAsia="宋体" w:cs="宋体"/>
          <w:color w:val="auto"/>
          <w:sz w:val="21"/>
          <w:szCs w:val="21"/>
          <w:highlight w:val="none"/>
        </w:rPr>
        <w:t>的响应程度进行审查，以确定投标人是否对</w:t>
      </w:r>
      <w:r>
        <w:rPr>
          <w:rFonts w:hint="eastAsia" w:ascii="宋体" w:hAnsi="宋体" w:eastAsia="宋体" w:cs="宋体"/>
          <w:color w:val="auto"/>
          <w:sz w:val="21"/>
          <w:szCs w:val="21"/>
          <w:highlight w:val="none"/>
          <w:lang w:eastAsia="zh-CN"/>
        </w:rPr>
        <w:t>招标文件</w:t>
      </w:r>
      <w:r>
        <w:rPr>
          <w:rFonts w:hint="eastAsia" w:ascii="宋体" w:hAnsi="宋体" w:eastAsia="宋体" w:cs="宋体"/>
          <w:color w:val="auto"/>
          <w:sz w:val="21"/>
          <w:szCs w:val="21"/>
          <w:highlight w:val="none"/>
        </w:rPr>
        <w:t>的实质性要求作出响应。</w:t>
      </w:r>
    </w:p>
    <w:p w14:paraId="7593A8C1">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2.2投标文件的澄清</w:t>
      </w:r>
    </w:p>
    <w:p w14:paraId="11B3623F">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在评标过程中，评标委员会认为需要，可要求投标单位对投标文件中的有关问题进行澄清或提供补充说明及有关资料，投标单位应做出书面答复。书面答复中不得变更价格、供货（服务）期、自报质量等实质性内容。</w:t>
      </w:r>
    </w:p>
    <w:p w14:paraId="0684D5D4">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书面答复须经投标单位法定代理人或其授权委托代理人的签字或印鉴，签字或盖印鉴的书面答复将视为投标文件的组成部分。投标截止时间后，投标人对投标报价或其它实质性内容修正的函件和增加的任何优惠条件，一律不得作为评标、定标的依据。</w:t>
      </w:r>
    </w:p>
    <w:p w14:paraId="79CAB15D">
      <w:pPr>
        <w:keepNext w:val="0"/>
        <w:keepLines w:val="0"/>
        <w:pageBreakBefore w:val="0"/>
        <w:widowControl w:val="0"/>
        <w:kinsoku/>
        <w:wordWrap/>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bCs/>
          <w:color w:val="auto"/>
          <w:kern w:val="0"/>
          <w:sz w:val="21"/>
          <w:szCs w:val="21"/>
          <w:highlight w:val="none"/>
          <w:lang w:eastAsia="zh-CN"/>
        </w:rPr>
      </w:pPr>
      <w:r>
        <w:rPr>
          <w:rFonts w:hint="eastAsia" w:ascii="宋体" w:hAnsi="宋体" w:eastAsia="宋体" w:cs="宋体"/>
          <w:color w:val="auto"/>
          <w:sz w:val="21"/>
          <w:szCs w:val="21"/>
          <w:highlight w:val="none"/>
        </w:rPr>
        <w:t>2.2.3  招标人不接受投标单位主动提出的澄清。</w:t>
      </w:r>
    </w:p>
    <w:p w14:paraId="34335270">
      <w:pPr>
        <w:keepNext w:val="0"/>
        <w:keepLines w:val="0"/>
        <w:pageBreakBefore w:val="0"/>
        <w:widowControl w:val="0"/>
        <w:kinsoku/>
        <w:wordWrap/>
        <w:overflowPunct/>
        <w:topLinePunct w:val="0"/>
        <w:autoSpaceDE/>
        <w:autoSpaceDN/>
        <w:bidi w:val="0"/>
        <w:adjustRightInd/>
        <w:snapToGrid/>
        <w:spacing w:before="313" w:beforeLines="100"/>
        <w:jc w:val="center"/>
        <w:textAlignment w:val="auto"/>
        <w:outlineLvl w:val="1"/>
        <w:rPr>
          <w:rFonts w:hint="eastAsia" w:ascii="宋体"/>
          <w:b/>
          <w:color w:val="auto"/>
          <w:sz w:val="28"/>
          <w:szCs w:val="28"/>
          <w:highlight w:val="none"/>
        </w:rPr>
      </w:pPr>
      <w:bookmarkStart w:id="59" w:name="_Toc449028878"/>
      <w:bookmarkStart w:id="60" w:name="_Toc58430318"/>
      <w:bookmarkStart w:id="61" w:name="_Toc29779"/>
      <w:r>
        <w:rPr>
          <w:rFonts w:hint="eastAsia" w:ascii="宋体"/>
          <w:b/>
          <w:color w:val="auto"/>
          <w:sz w:val="28"/>
          <w:szCs w:val="28"/>
          <w:highlight w:val="none"/>
        </w:rPr>
        <w:t>二、投标文件初审</w:t>
      </w:r>
      <w:bookmarkEnd w:id="59"/>
      <w:bookmarkEnd w:id="60"/>
    </w:p>
    <w:p w14:paraId="60FE3D0D">
      <w:pPr>
        <w:ind w:firstLine="310" w:firstLineChars="147"/>
        <w:rPr>
          <w:rFonts w:hint="eastAsia" w:ascii="宋体"/>
          <w:b/>
          <w:color w:val="auto"/>
          <w:szCs w:val="21"/>
          <w:highlight w:val="none"/>
        </w:rPr>
      </w:pPr>
      <w:r>
        <w:rPr>
          <w:rFonts w:hint="eastAsia" w:ascii="宋体"/>
          <w:b/>
          <w:color w:val="auto"/>
          <w:szCs w:val="21"/>
          <w:highlight w:val="none"/>
        </w:rPr>
        <w:t>3.资格性审查:</w:t>
      </w:r>
    </w:p>
    <w:p w14:paraId="31119948">
      <w:pPr>
        <w:spacing w:line="400" w:lineRule="exact"/>
        <w:ind w:firstLine="308" w:firstLineChars="147"/>
        <w:rPr>
          <w:rFonts w:hint="eastAsia"/>
          <w:color w:val="auto"/>
          <w:szCs w:val="21"/>
          <w:highlight w:val="none"/>
        </w:rPr>
      </w:pPr>
      <w:r>
        <w:rPr>
          <w:rFonts w:hint="eastAsia" w:ascii="宋体"/>
          <w:color w:val="auto"/>
          <w:szCs w:val="21"/>
          <w:highlight w:val="none"/>
        </w:rPr>
        <w:t>3.1</w:t>
      </w:r>
      <w:r>
        <w:rPr>
          <w:rFonts w:hint="eastAsia"/>
          <w:color w:val="auto"/>
          <w:szCs w:val="21"/>
          <w:highlight w:val="none"/>
        </w:rPr>
        <w:t>评审细则</w:t>
      </w:r>
    </w:p>
    <w:tbl>
      <w:tblPr>
        <w:tblStyle w:val="45"/>
        <w:tblW w:w="100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5"/>
        <w:gridCol w:w="1235"/>
        <w:gridCol w:w="5296"/>
        <w:gridCol w:w="2757"/>
      </w:tblGrid>
      <w:tr w14:paraId="1697F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725" w:type="dxa"/>
            <w:noWrap w:val="0"/>
            <w:vAlign w:val="center"/>
          </w:tcPr>
          <w:p w14:paraId="7CC68F38">
            <w:pPr>
              <w:spacing w:line="320" w:lineRule="exact"/>
              <w:jc w:val="center"/>
              <w:rPr>
                <w:rFonts w:hint="eastAsia"/>
                <w:color w:val="auto"/>
                <w:highlight w:val="none"/>
              </w:rPr>
            </w:pPr>
            <w:r>
              <w:rPr>
                <w:rFonts w:hint="eastAsia" w:ascii="黑体" w:eastAsia="黑体" w:cs="黑体"/>
                <w:b/>
                <w:bCs/>
                <w:color w:val="auto"/>
                <w:szCs w:val="21"/>
                <w:highlight w:val="none"/>
              </w:rPr>
              <w:t>序号</w:t>
            </w:r>
          </w:p>
        </w:tc>
        <w:tc>
          <w:tcPr>
            <w:tcW w:w="6531" w:type="dxa"/>
            <w:gridSpan w:val="2"/>
            <w:noWrap w:val="0"/>
            <w:vAlign w:val="center"/>
          </w:tcPr>
          <w:p w14:paraId="7F5E48E7">
            <w:pPr>
              <w:spacing w:line="320" w:lineRule="exact"/>
              <w:jc w:val="center"/>
              <w:rPr>
                <w:rFonts w:hint="eastAsia"/>
                <w:color w:val="auto"/>
                <w:highlight w:val="none"/>
              </w:rPr>
            </w:pPr>
            <w:r>
              <w:rPr>
                <w:rFonts w:hint="eastAsia" w:ascii="宋体" w:hAnsi="宋体"/>
                <w:color w:val="auto"/>
                <w:szCs w:val="21"/>
                <w:highlight w:val="none"/>
              </w:rPr>
              <w:t>评审因素</w:t>
            </w:r>
          </w:p>
        </w:tc>
        <w:tc>
          <w:tcPr>
            <w:tcW w:w="2757" w:type="dxa"/>
            <w:noWrap w:val="0"/>
            <w:vAlign w:val="center"/>
          </w:tcPr>
          <w:p w14:paraId="52F81DF4">
            <w:pPr>
              <w:spacing w:line="320" w:lineRule="exact"/>
              <w:jc w:val="center"/>
              <w:rPr>
                <w:rFonts w:hint="eastAsia"/>
                <w:color w:val="auto"/>
                <w:highlight w:val="none"/>
              </w:rPr>
            </w:pPr>
            <w:r>
              <w:rPr>
                <w:rFonts w:hint="eastAsia" w:ascii="宋体" w:hAnsi="宋体"/>
                <w:color w:val="auto"/>
                <w:szCs w:val="21"/>
                <w:highlight w:val="none"/>
              </w:rPr>
              <w:t>评审标准</w:t>
            </w:r>
          </w:p>
        </w:tc>
      </w:tr>
      <w:tr w14:paraId="5D788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725" w:type="dxa"/>
            <w:noWrap w:val="0"/>
            <w:vAlign w:val="center"/>
          </w:tcPr>
          <w:p w14:paraId="0B9A4B5D">
            <w:pPr>
              <w:spacing w:line="320" w:lineRule="exact"/>
              <w:jc w:val="center"/>
              <w:rPr>
                <w:rFonts w:hint="eastAsia" w:ascii="宋体" w:hAnsi="宋体"/>
                <w:color w:val="auto"/>
                <w:szCs w:val="21"/>
                <w:highlight w:val="none"/>
              </w:rPr>
            </w:pPr>
            <w:r>
              <w:rPr>
                <w:rFonts w:hint="eastAsia" w:ascii="宋体" w:hAnsi="宋体"/>
                <w:color w:val="auto"/>
                <w:szCs w:val="21"/>
                <w:highlight w:val="none"/>
              </w:rPr>
              <w:t>1</w:t>
            </w:r>
          </w:p>
        </w:tc>
        <w:tc>
          <w:tcPr>
            <w:tcW w:w="1235" w:type="dxa"/>
            <w:noWrap w:val="0"/>
            <w:vAlign w:val="center"/>
          </w:tcPr>
          <w:p w14:paraId="3034F54A">
            <w:pPr>
              <w:spacing w:line="320" w:lineRule="exact"/>
              <w:jc w:val="center"/>
              <w:rPr>
                <w:rFonts w:hint="eastAsia" w:ascii="宋体" w:hAnsi="宋体"/>
                <w:color w:val="auto"/>
                <w:szCs w:val="21"/>
                <w:highlight w:val="none"/>
              </w:rPr>
            </w:pPr>
            <w:r>
              <w:rPr>
                <w:rFonts w:hint="eastAsia" w:ascii="宋体"/>
                <w:color w:val="auto"/>
                <w:szCs w:val="21"/>
                <w:highlight w:val="none"/>
              </w:rPr>
              <w:t>重要要求</w:t>
            </w:r>
          </w:p>
        </w:tc>
        <w:tc>
          <w:tcPr>
            <w:tcW w:w="5296" w:type="dxa"/>
            <w:noWrap w:val="0"/>
            <w:vAlign w:val="center"/>
          </w:tcPr>
          <w:p w14:paraId="79A38230">
            <w:pPr>
              <w:spacing w:line="320" w:lineRule="exact"/>
              <w:rPr>
                <w:rFonts w:hint="eastAsia" w:ascii="宋体" w:hAnsi="宋体"/>
                <w:color w:val="auto"/>
                <w:szCs w:val="21"/>
                <w:highlight w:val="none"/>
              </w:rPr>
            </w:pPr>
            <w:r>
              <w:rPr>
                <w:rFonts w:hint="eastAsia"/>
                <w:color w:val="auto"/>
                <w:highlight w:val="none"/>
              </w:rPr>
              <w:t>（1）法定代表人身份证明和本人有效身份证(或法定代表人授权委托书和委托代理人有效身份证)</w:t>
            </w:r>
          </w:p>
        </w:tc>
        <w:tc>
          <w:tcPr>
            <w:tcW w:w="2757" w:type="dxa"/>
            <w:noWrap w:val="0"/>
            <w:vAlign w:val="center"/>
          </w:tcPr>
          <w:p w14:paraId="27142348">
            <w:pPr>
              <w:spacing w:line="320" w:lineRule="exact"/>
              <w:jc w:val="left"/>
              <w:rPr>
                <w:rFonts w:hint="eastAsia" w:ascii="宋体" w:hAnsi="宋体"/>
                <w:color w:val="auto"/>
                <w:szCs w:val="21"/>
                <w:highlight w:val="none"/>
              </w:rPr>
            </w:pPr>
            <w:r>
              <w:rPr>
                <w:rFonts w:hint="eastAsia"/>
                <w:color w:val="auto"/>
                <w:highlight w:val="none"/>
              </w:rPr>
              <w:t>检验电子标书。</w:t>
            </w:r>
          </w:p>
        </w:tc>
      </w:tr>
      <w:tr w14:paraId="206B4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3" w:hRule="atLeast"/>
        </w:trPr>
        <w:tc>
          <w:tcPr>
            <w:tcW w:w="725" w:type="dxa"/>
            <w:vMerge w:val="restart"/>
            <w:noWrap w:val="0"/>
            <w:vAlign w:val="center"/>
          </w:tcPr>
          <w:p w14:paraId="399706DB">
            <w:pPr>
              <w:spacing w:line="320" w:lineRule="exact"/>
              <w:jc w:val="center"/>
              <w:rPr>
                <w:rFonts w:hint="eastAsia" w:ascii="宋体" w:hAnsi="宋体"/>
                <w:color w:val="auto"/>
                <w:szCs w:val="21"/>
                <w:highlight w:val="none"/>
              </w:rPr>
            </w:pPr>
            <w:r>
              <w:rPr>
                <w:rFonts w:hint="eastAsia" w:ascii="宋体" w:hAnsi="宋体"/>
                <w:color w:val="auto"/>
                <w:szCs w:val="21"/>
                <w:highlight w:val="none"/>
              </w:rPr>
              <w:t>2</w:t>
            </w:r>
          </w:p>
        </w:tc>
        <w:tc>
          <w:tcPr>
            <w:tcW w:w="1235" w:type="dxa"/>
            <w:vMerge w:val="restart"/>
            <w:noWrap w:val="0"/>
            <w:vAlign w:val="center"/>
          </w:tcPr>
          <w:p w14:paraId="5C913C04">
            <w:pPr>
              <w:spacing w:line="320" w:lineRule="exact"/>
              <w:rPr>
                <w:rFonts w:hint="eastAsia" w:ascii="宋体" w:hAnsi="宋体"/>
                <w:color w:val="auto"/>
                <w:szCs w:val="21"/>
                <w:highlight w:val="none"/>
              </w:rPr>
            </w:pPr>
            <w:r>
              <w:rPr>
                <w:rFonts w:hint="eastAsia" w:ascii="宋体" w:hAnsi="宋体"/>
                <w:color w:val="auto"/>
                <w:szCs w:val="21"/>
                <w:highlight w:val="none"/>
              </w:rPr>
              <w:t>投标人应符合的基本资格条件</w:t>
            </w:r>
          </w:p>
        </w:tc>
        <w:tc>
          <w:tcPr>
            <w:tcW w:w="5296" w:type="dxa"/>
            <w:noWrap w:val="0"/>
            <w:vAlign w:val="center"/>
          </w:tcPr>
          <w:p w14:paraId="3C024E83">
            <w:pPr>
              <w:keepNext w:val="0"/>
              <w:keepLines w:val="0"/>
              <w:suppressLineNumbers w:val="0"/>
              <w:spacing w:before="0" w:beforeAutospacing="0" w:after="0" w:afterAutospacing="0" w:line="320" w:lineRule="exact"/>
              <w:ind w:left="0" w:leftChars="0" w:right="0" w:right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（2）具有为本项目提供相应服务的能力</w:t>
            </w:r>
          </w:p>
        </w:tc>
        <w:tc>
          <w:tcPr>
            <w:tcW w:w="2757" w:type="dxa"/>
            <w:noWrap w:val="0"/>
            <w:vAlign w:val="center"/>
          </w:tcPr>
          <w:p w14:paraId="607FD99B">
            <w:pPr>
              <w:spacing w:line="320" w:lineRule="exact"/>
              <w:rPr>
                <w:rFonts w:hint="eastAsia" w:ascii="宋体" w:hAnsi="宋体"/>
                <w:color w:val="auto"/>
                <w:szCs w:val="21"/>
                <w:highlight w:val="none"/>
              </w:rPr>
            </w:pPr>
            <w:r>
              <w:rPr>
                <w:rFonts w:hint="eastAsia" w:ascii="宋体"/>
                <w:b/>
                <w:color w:val="auto"/>
                <w:szCs w:val="21"/>
                <w:highlight w:val="none"/>
              </w:rPr>
              <w:t>评审核验电子标书中的下列证书、证明材料：</w:t>
            </w:r>
          </w:p>
          <w:p w14:paraId="734641F7">
            <w:pPr>
              <w:spacing w:line="320" w:lineRule="exact"/>
              <w:rPr>
                <w:rFonts w:hint="eastAsia" w:ascii="宋体"/>
                <w:color w:val="auto"/>
                <w:szCs w:val="21"/>
                <w:highlight w:val="none"/>
              </w:rPr>
            </w:pPr>
            <w:r>
              <w:rPr>
                <w:rFonts w:hint="eastAsia"/>
                <w:color w:val="auto"/>
                <w:highlight w:val="none"/>
              </w:rPr>
              <w:t>投标人有效的营业执照、税务登记证、组</w:t>
            </w:r>
            <w:r>
              <w:rPr>
                <w:rFonts w:hint="eastAsia" w:ascii="Times New Roman" w:hAnsi="Times New Roman" w:eastAsia="宋体" w:cs="Times New Roman"/>
                <w:color w:val="auto"/>
                <w:highlight w:val="none"/>
              </w:rPr>
              <w:t>织机构码证（或“三证合一证书”）</w:t>
            </w:r>
          </w:p>
        </w:tc>
      </w:tr>
      <w:tr w14:paraId="7F074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trPr>
        <w:tc>
          <w:tcPr>
            <w:tcW w:w="725" w:type="dxa"/>
            <w:vMerge w:val="continue"/>
            <w:noWrap w:val="0"/>
            <w:vAlign w:val="center"/>
          </w:tcPr>
          <w:p w14:paraId="63A776DE">
            <w:pPr>
              <w:spacing w:line="320" w:lineRule="exact"/>
              <w:jc w:val="center"/>
              <w:rPr>
                <w:rFonts w:hint="eastAsia" w:ascii="宋体" w:hAnsi="宋体"/>
                <w:color w:val="auto"/>
                <w:szCs w:val="21"/>
                <w:highlight w:val="none"/>
              </w:rPr>
            </w:pPr>
          </w:p>
        </w:tc>
        <w:tc>
          <w:tcPr>
            <w:tcW w:w="1235" w:type="dxa"/>
            <w:vMerge w:val="continue"/>
            <w:noWrap w:val="0"/>
            <w:vAlign w:val="center"/>
          </w:tcPr>
          <w:p w14:paraId="7227E239">
            <w:pPr>
              <w:spacing w:line="320" w:lineRule="exact"/>
              <w:rPr>
                <w:rFonts w:hint="eastAsia" w:ascii="宋体" w:hAnsi="宋体"/>
                <w:color w:val="auto"/>
                <w:szCs w:val="21"/>
                <w:highlight w:val="none"/>
              </w:rPr>
            </w:pPr>
          </w:p>
        </w:tc>
        <w:tc>
          <w:tcPr>
            <w:tcW w:w="5296" w:type="dxa"/>
            <w:noWrap w:val="0"/>
            <w:vAlign w:val="center"/>
          </w:tcPr>
          <w:p w14:paraId="45201212">
            <w:pPr>
              <w:keepNext w:val="0"/>
              <w:keepLines w:val="0"/>
              <w:suppressLineNumbers w:val="0"/>
              <w:spacing w:before="0" w:beforeAutospacing="0" w:after="0" w:afterAutospacing="0" w:line="320" w:lineRule="exact"/>
              <w:ind w:left="0" w:leftChars="0" w:right="0" w:right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w:t>
            </w:r>
            <w:r>
              <w:rPr>
                <w:rFonts w:hint="eastAsia" w:ascii="宋体" w:hAnsi="宋体" w:cs="宋体"/>
                <w:color w:val="auto"/>
                <w:kern w:val="2"/>
                <w:sz w:val="21"/>
                <w:szCs w:val="21"/>
                <w:highlight w:val="none"/>
                <w:lang w:val="en-US" w:eastAsia="zh-CN" w:bidi="ar-SA"/>
              </w:rPr>
              <w:t>3</w:t>
            </w:r>
            <w:r>
              <w:rPr>
                <w:rFonts w:hint="eastAsia" w:ascii="宋体" w:hAnsi="宋体" w:eastAsia="宋体" w:cs="宋体"/>
                <w:color w:val="auto"/>
                <w:kern w:val="2"/>
                <w:sz w:val="21"/>
                <w:szCs w:val="21"/>
                <w:highlight w:val="none"/>
                <w:lang w:val="en-US" w:eastAsia="zh-CN" w:bidi="ar-SA"/>
              </w:rPr>
              <w:t>）项目人员配备表</w:t>
            </w:r>
          </w:p>
        </w:tc>
        <w:tc>
          <w:tcPr>
            <w:tcW w:w="2757" w:type="dxa"/>
            <w:noWrap w:val="0"/>
            <w:vAlign w:val="center"/>
          </w:tcPr>
          <w:p w14:paraId="2E0E8AE1">
            <w:pPr>
              <w:spacing w:line="360" w:lineRule="exact"/>
              <w:jc w:val="both"/>
              <w:rPr>
                <w:rFonts w:hint="eastAsia" w:ascii="宋体"/>
                <w:b/>
                <w:color w:val="auto"/>
                <w:szCs w:val="21"/>
                <w:highlight w:val="none"/>
              </w:rPr>
            </w:pPr>
            <w:r>
              <w:rPr>
                <w:rFonts w:hint="eastAsia"/>
                <w:color w:val="auto"/>
                <w:highlight w:val="none"/>
              </w:rPr>
              <w:t>格式见附件，检验电子标书</w:t>
            </w:r>
          </w:p>
        </w:tc>
      </w:tr>
      <w:tr w14:paraId="5B8A9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trPr>
        <w:tc>
          <w:tcPr>
            <w:tcW w:w="725" w:type="dxa"/>
            <w:vMerge w:val="continue"/>
            <w:noWrap w:val="0"/>
            <w:vAlign w:val="center"/>
          </w:tcPr>
          <w:p w14:paraId="3DD7B0EC">
            <w:pPr>
              <w:spacing w:line="320" w:lineRule="exact"/>
              <w:jc w:val="center"/>
              <w:rPr>
                <w:rFonts w:hint="eastAsia" w:ascii="宋体" w:hAnsi="宋体"/>
                <w:color w:val="auto"/>
                <w:szCs w:val="21"/>
                <w:highlight w:val="none"/>
              </w:rPr>
            </w:pPr>
          </w:p>
        </w:tc>
        <w:tc>
          <w:tcPr>
            <w:tcW w:w="1235" w:type="dxa"/>
            <w:vMerge w:val="continue"/>
            <w:noWrap w:val="0"/>
            <w:vAlign w:val="center"/>
          </w:tcPr>
          <w:p w14:paraId="2744FACC">
            <w:pPr>
              <w:spacing w:line="320" w:lineRule="exact"/>
              <w:rPr>
                <w:rFonts w:hint="eastAsia" w:ascii="宋体" w:hAnsi="宋体"/>
                <w:color w:val="auto"/>
                <w:szCs w:val="21"/>
                <w:highlight w:val="none"/>
              </w:rPr>
            </w:pPr>
          </w:p>
        </w:tc>
        <w:tc>
          <w:tcPr>
            <w:tcW w:w="5296" w:type="dxa"/>
            <w:noWrap w:val="0"/>
            <w:vAlign w:val="center"/>
          </w:tcPr>
          <w:p w14:paraId="69BC9D2B">
            <w:pPr>
              <w:spacing w:line="360" w:lineRule="exact"/>
              <w:jc w:val="both"/>
              <w:rPr>
                <w:rFonts w:hint="eastAsia"/>
                <w:color w:val="auto"/>
                <w:highlight w:val="none"/>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4</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拟派项目负责人注册造价师证书</w:t>
            </w:r>
          </w:p>
        </w:tc>
        <w:tc>
          <w:tcPr>
            <w:tcW w:w="2757" w:type="dxa"/>
            <w:noWrap w:val="0"/>
            <w:vAlign w:val="center"/>
          </w:tcPr>
          <w:p w14:paraId="68DD7B74">
            <w:pPr>
              <w:spacing w:line="360" w:lineRule="exact"/>
              <w:jc w:val="both"/>
              <w:rPr>
                <w:rFonts w:hint="eastAsia"/>
                <w:color w:val="auto"/>
                <w:highlight w:val="none"/>
              </w:rPr>
            </w:pPr>
            <w:r>
              <w:rPr>
                <w:rFonts w:hint="eastAsia"/>
                <w:color w:val="auto"/>
                <w:highlight w:val="none"/>
              </w:rPr>
              <w:t>检验电子标书</w:t>
            </w:r>
          </w:p>
        </w:tc>
      </w:tr>
      <w:tr w14:paraId="4FBF7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trPr>
        <w:tc>
          <w:tcPr>
            <w:tcW w:w="725" w:type="dxa"/>
            <w:vMerge w:val="continue"/>
            <w:noWrap w:val="0"/>
            <w:vAlign w:val="center"/>
          </w:tcPr>
          <w:p w14:paraId="3546C486">
            <w:pPr>
              <w:spacing w:line="320" w:lineRule="exact"/>
              <w:jc w:val="center"/>
              <w:rPr>
                <w:rFonts w:hint="eastAsia" w:ascii="宋体" w:hAnsi="宋体"/>
                <w:color w:val="auto"/>
                <w:szCs w:val="21"/>
                <w:highlight w:val="none"/>
              </w:rPr>
            </w:pPr>
          </w:p>
        </w:tc>
        <w:tc>
          <w:tcPr>
            <w:tcW w:w="1235" w:type="dxa"/>
            <w:vMerge w:val="continue"/>
            <w:noWrap w:val="0"/>
            <w:vAlign w:val="center"/>
          </w:tcPr>
          <w:p w14:paraId="7B141123">
            <w:pPr>
              <w:spacing w:line="320" w:lineRule="exact"/>
              <w:rPr>
                <w:rFonts w:hint="eastAsia" w:ascii="宋体" w:hAnsi="宋体"/>
                <w:color w:val="auto"/>
                <w:szCs w:val="21"/>
                <w:highlight w:val="none"/>
              </w:rPr>
            </w:pPr>
          </w:p>
        </w:tc>
        <w:tc>
          <w:tcPr>
            <w:tcW w:w="5296" w:type="dxa"/>
            <w:noWrap w:val="0"/>
            <w:vAlign w:val="center"/>
          </w:tcPr>
          <w:p w14:paraId="6F4CA723">
            <w:pPr>
              <w:spacing w:line="360" w:lineRule="exact"/>
              <w:jc w:val="both"/>
              <w:rPr>
                <w:rFonts w:hint="eastAsia"/>
                <w:color w:val="auto"/>
                <w:highlight w:val="none"/>
              </w:rPr>
            </w:pP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项目组其他成员（不含项目负责人）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kern w:val="0"/>
                <w:sz w:val="21"/>
                <w:szCs w:val="21"/>
                <w:highlight w:val="none"/>
                <w:lang w:val="en-US" w:eastAsia="zh-CN"/>
              </w:rPr>
              <w:t>不少于</w:t>
            </w:r>
            <w:r>
              <w:rPr>
                <w:rFonts w:hint="eastAsia" w:ascii="宋体" w:hAnsi="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lang w:val="en-US" w:eastAsia="zh-CN"/>
              </w:rPr>
              <w:t>名注册在投标单位的二级及以上造价工程师</w:t>
            </w:r>
          </w:p>
        </w:tc>
        <w:tc>
          <w:tcPr>
            <w:tcW w:w="2757" w:type="dxa"/>
            <w:noWrap w:val="0"/>
            <w:vAlign w:val="center"/>
          </w:tcPr>
          <w:p w14:paraId="551EAE52">
            <w:pPr>
              <w:spacing w:line="360" w:lineRule="exact"/>
              <w:jc w:val="both"/>
              <w:rPr>
                <w:rFonts w:hint="eastAsia"/>
                <w:color w:val="auto"/>
                <w:highlight w:val="none"/>
              </w:rPr>
            </w:pPr>
            <w:r>
              <w:rPr>
                <w:rFonts w:hint="eastAsia"/>
                <w:color w:val="auto"/>
                <w:highlight w:val="none"/>
              </w:rPr>
              <w:t>检验电子标书</w:t>
            </w:r>
          </w:p>
        </w:tc>
      </w:tr>
      <w:tr w14:paraId="708A2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trPr>
        <w:tc>
          <w:tcPr>
            <w:tcW w:w="725" w:type="dxa"/>
            <w:vMerge w:val="continue"/>
            <w:noWrap w:val="0"/>
            <w:vAlign w:val="center"/>
          </w:tcPr>
          <w:p w14:paraId="205D7143">
            <w:pPr>
              <w:spacing w:line="320" w:lineRule="exact"/>
              <w:jc w:val="center"/>
              <w:rPr>
                <w:rFonts w:hint="eastAsia" w:ascii="宋体" w:hAnsi="宋体"/>
                <w:color w:val="auto"/>
                <w:szCs w:val="21"/>
                <w:highlight w:val="none"/>
              </w:rPr>
            </w:pPr>
          </w:p>
        </w:tc>
        <w:tc>
          <w:tcPr>
            <w:tcW w:w="1235" w:type="dxa"/>
            <w:vMerge w:val="continue"/>
            <w:noWrap w:val="0"/>
            <w:vAlign w:val="center"/>
          </w:tcPr>
          <w:p w14:paraId="28996A16">
            <w:pPr>
              <w:spacing w:line="320" w:lineRule="exact"/>
              <w:rPr>
                <w:rFonts w:hint="eastAsia" w:ascii="宋体" w:hAnsi="宋体"/>
                <w:color w:val="auto"/>
                <w:szCs w:val="21"/>
                <w:highlight w:val="none"/>
              </w:rPr>
            </w:pPr>
          </w:p>
        </w:tc>
        <w:tc>
          <w:tcPr>
            <w:tcW w:w="5296" w:type="dxa"/>
            <w:noWrap w:val="0"/>
            <w:vAlign w:val="center"/>
          </w:tcPr>
          <w:p w14:paraId="2BA92C2C">
            <w:pPr>
              <w:spacing w:line="360" w:lineRule="exact"/>
              <w:jc w:val="both"/>
              <w:rPr>
                <w:rFonts w:hint="eastAsia" w:eastAsia="宋体"/>
                <w:color w:val="auto"/>
                <w:highlight w:val="none"/>
                <w:lang w:eastAsia="zh-CN"/>
              </w:rPr>
            </w:pPr>
            <w:r>
              <w:rPr>
                <w:rFonts w:hint="eastAsia"/>
                <w:color w:val="auto"/>
                <w:highlight w:val="none"/>
                <w:lang w:eastAsia="zh-CN"/>
              </w:rPr>
              <w:t>（</w:t>
            </w:r>
            <w:r>
              <w:rPr>
                <w:rFonts w:hint="eastAsia"/>
                <w:color w:val="auto"/>
                <w:highlight w:val="none"/>
                <w:lang w:val="en-US" w:eastAsia="zh-CN"/>
              </w:rPr>
              <w:t>6</w:t>
            </w:r>
            <w:r>
              <w:rPr>
                <w:rFonts w:hint="eastAsia"/>
                <w:color w:val="auto"/>
                <w:highlight w:val="none"/>
                <w:lang w:eastAsia="zh-CN"/>
              </w:rPr>
              <w:t>）</w:t>
            </w: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或</w:t>
            </w:r>
            <w:r>
              <w:rPr>
                <w:rFonts w:hint="eastAsia" w:ascii="宋体" w:hAnsi="宋体" w:eastAsia="宋体" w:cs="宋体"/>
                <w:color w:val="auto"/>
                <w:sz w:val="21"/>
                <w:szCs w:val="21"/>
                <w:highlight w:val="none"/>
              </w:rPr>
              <w:t>委托代理人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kern w:val="2"/>
                <w:sz w:val="21"/>
                <w:szCs w:val="21"/>
                <w:highlight w:val="none"/>
                <w:lang w:val="en-US" w:eastAsia="zh-CN" w:bidi="ar-SA"/>
              </w:rPr>
              <w:t>、</w:t>
            </w:r>
            <w:r>
              <w:rPr>
                <w:rFonts w:hint="eastAsia" w:ascii="宋体" w:hAnsi="宋体" w:eastAsia="宋体" w:cs="宋体"/>
                <w:color w:val="auto"/>
                <w:sz w:val="21"/>
                <w:szCs w:val="21"/>
                <w:highlight w:val="none"/>
              </w:rPr>
              <w:t>项目负责人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项目组其他成员</w:t>
            </w:r>
            <w:r>
              <w:rPr>
                <w:rFonts w:hint="eastAsia" w:ascii="宋体" w:hAnsi="宋体" w:eastAsia="宋体" w:cs="宋体"/>
                <w:color w:val="auto"/>
                <w:kern w:val="2"/>
                <w:sz w:val="21"/>
                <w:szCs w:val="21"/>
                <w:highlight w:val="none"/>
                <w:lang w:val="en-US" w:eastAsia="zh-CN" w:bidi="ar-SA"/>
              </w:rPr>
              <w:t>须持有社保部门出具的本单位为其缴纳的投标前近三个月内任意一月的养老保险证明，或投标人提供承诺已为上述人员缴纳养老保险证明的承诺书（格式自拟）</w:t>
            </w:r>
          </w:p>
        </w:tc>
        <w:tc>
          <w:tcPr>
            <w:tcW w:w="2757" w:type="dxa"/>
            <w:noWrap w:val="0"/>
            <w:vAlign w:val="center"/>
          </w:tcPr>
          <w:p w14:paraId="4606370E">
            <w:pPr>
              <w:spacing w:line="360" w:lineRule="exact"/>
              <w:jc w:val="both"/>
              <w:rPr>
                <w:rFonts w:hint="eastAsia"/>
                <w:color w:val="auto"/>
                <w:highlight w:val="none"/>
              </w:rPr>
            </w:pPr>
            <w:r>
              <w:rPr>
                <w:rFonts w:hint="eastAsia"/>
                <w:color w:val="auto"/>
                <w:highlight w:val="none"/>
              </w:rPr>
              <w:t>检验电子标书</w:t>
            </w:r>
          </w:p>
        </w:tc>
      </w:tr>
      <w:tr w14:paraId="646EF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725" w:type="dxa"/>
            <w:vMerge w:val="continue"/>
            <w:noWrap w:val="0"/>
            <w:vAlign w:val="center"/>
          </w:tcPr>
          <w:p w14:paraId="1E9B2A14">
            <w:pPr>
              <w:spacing w:line="320" w:lineRule="exact"/>
              <w:jc w:val="center"/>
              <w:rPr>
                <w:rFonts w:hint="eastAsia" w:ascii="宋体" w:hAnsi="宋体"/>
                <w:color w:val="auto"/>
                <w:szCs w:val="21"/>
                <w:highlight w:val="none"/>
              </w:rPr>
            </w:pPr>
          </w:p>
        </w:tc>
        <w:tc>
          <w:tcPr>
            <w:tcW w:w="1235" w:type="dxa"/>
            <w:vMerge w:val="continue"/>
            <w:noWrap w:val="0"/>
            <w:vAlign w:val="center"/>
          </w:tcPr>
          <w:p w14:paraId="2546461F">
            <w:pPr>
              <w:spacing w:line="320" w:lineRule="exact"/>
              <w:rPr>
                <w:rFonts w:hint="eastAsia" w:ascii="宋体" w:hAnsi="宋体"/>
                <w:color w:val="auto"/>
                <w:szCs w:val="21"/>
                <w:highlight w:val="none"/>
              </w:rPr>
            </w:pPr>
          </w:p>
        </w:tc>
        <w:tc>
          <w:tcPr>
            <w:tcW w:w="5296" w:type="dxa"/>
            <w:noWrap w:val="0"/>
            <w:vAlign w:val="center"/>
          </w:tcPr>
          <w:p w14:paraId="202375EC">
            <w:pPr>
              <w:spacing w:line="360" w:lineRule="exact"/>
              <w:jc w:val="both"/>
              <w:rPr>
                <w:rFonts w:hint="eastAsia"/>
                <w:color w:val="auto"/>
                <w:highlight w:val="none"/>
              </w:rPr>
            </w:pP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val="en-US" w:eastAsia="zh-CN"/>
              </w:rPr>
              <w:t>）投标函</w:t>
            </w:r>
          </w:p>
        </w:tc>
        <w:tc>
          <w:tcPr>
            <w:tcW w:w="2757" w:type="dxa"/>
            <w:noWrap w:val="0"/>
            <w:vAlign w:val="center"/>
          </w:tcPr>
          <w:p w14:paraId="3BC905C0">
            <w:pPr>
              <w:spacing w:line="360" w:lineRule="exact"/>
              <w:jc w:val="both"/>
              <w:rPr>
                <w:rFonts w:hint="eastAsia"/>
                <w:color w:val="auto"/>
                <w:highlight w:val="none"/>
              </w:rPr>
            </w:pPr>
            <w:r>
              <w:rPr>
                <w:rFonts w:hint="eastAsia"/>
                <w:color w:val="auto"/>
                <w:highlight w:val="none"/>
              </w:rPr>
              <w:t>格式见附件，检验电子标书</w:t>
            </w:r>
          </w:p>
        </w:tc>
      </w:tr>
    </w:tbl>
    <w:p w14:paraId="609AB6C5">
      <w:pPr>
        <w:spacing w:line="400" w:lineRule="exact"/>
        <w:rPr>
          <w:rFonts w:hint="eastAsia" w:ascii="宋体" w:hAnsi="宋体"/>
          <w:b/>
          <w:color w:val="auto"/>
          <w:szCs w:val="21"/>
          <w:highlight w:val="none"/>
        </w:rPr>
      </w:pPr>
      <w:r>
        <w:rPr>
          <w:rFonts w:hint="eastAsia" w:ascii="宋体"/>
          <w:b/>
          <w:color w:val="auto"/>
          <w:szCs w:val="21"/>
          <w:highlight w:val="none"/>
          <w:lang w:val="en-US" w:eastAsia="zh-CN"/>
        </w:rPr>
        <w:t xml:space="preserve">3.2 </w:t>
      </w:r>
      <w:r>
        <w:rPr>
          <w:rFonts w:hint="eastAsia" w:ascii="宋体" w:hAnsi="宋体"/>
          <w:b/>
          <w:color w:val="auto"/>
          <w:szCs w:val="21"/>
          <w:highlight w:val="none"/>
        </w:rPr>
        <w:t>如评标专家在检验电子投标文件过程中，如果由于投标人自身原因导致评标专家无法查看并检验电子投标文件中相关资料的，否决其投标。即使投标人将原件携带至现场的，同样按否决投标处理。</w:t>
      </w:r>
    </w:p>
    <w:p w14:paraId="5DB09720">
      <w:pPr>
        <w:spacing w:line="440" w:lineRule="exact"/>
        <w:rPr>
          <w:rFonts w:hint="eastAsia" w:ascii="宋体"/>
          <w:b/>
          <w:color w:val="auto"/>
          <w:szCs w:val="21"/>
          <w:highlight w:val="none"/>
        </w:rPr>
      </w:pPr>
      <w:r>
        <w:rPr>
          <w:rFonts w:hint="eastAsia" w:ascii="宋体" w:hAnsi="宋体"/>
          <w:b/>
          <w:color w:val="auto"/>
          <w:szCs w:val="21"/>
          <w:highlight w:val="none"/>
        </w:rPr>
        <w:t>3.</w:t>
      </w:r>
      <w:r>
        <w:rPr>
          <w:rFonts w:hint="eastAsia" w:ascii="宋体" w:hAnsi="宋体"/>
          <w:b/>
          <w:color w:val="auto"/>
          <w:szCs w:val="21"/>
          <w:highlight w:val="none"/>
          <w:lang w:val="en-US" w:eastAsia="zh-CN"/>
        </w:rPr>
        <w:t>3</w:t>
      </w:r>
      <w:r>
        <w:rPr>
          <w:rFonts w:hint="eastAsia" w:ascii="宋体" w:hAnsi="宋体"/>
          <w:b/>
          <w:color w:val="auto"/>
          <w:szCs w:val="21"/>
          <w:highlight w:val="none"/>
        </w:rPr>
        <w:t>招标文件中资格审查及评标细则中涉及到的投标人需要提供企业的相关证书扫描件，如企业的资格证书、营业执照（或三证合一的有效证件）等可以提供公证件扫描件，公证件扫描件的效力等同于原件扫描件。交易活动资格审查和评标环节中，凡是要求提供相关证书或证明原件扫描件的，投标企业均可以提供带官方二维码的相关证书（证明）复印件扫描件替代原件扫描件，但投标企业自行承担复印件扫描件二维码不清晰，无法扫描，可能导致资格审查不通过的后果</w:t>
      </w:r>
      <w:r>
        <w:rPr>
          <w:rFonts w:hint="eastAsia" w:ascii="宋体"/>
          <w:b/>
          <w:color w:val="auto"/>
          <w:szCs w:val="21"/>
          <w:highlight w:val="none"/>
          <w:lang w:val="en-US" w:eastAsia="zh-CN"/>
        </w:rPr>
        <w:t xml:space="preserve">。 </w:t>
      </w:r>
    </w:p>
    <w:p w14:paraId="3E11B30C">
      <w:pPr>
        <w:spacing w:line="440" w:lineRule="exact"/>
        <w:ind w:firstLine="310" w:firstLineChars="147"/>
        <w:rPr>
          <w:rFonts w:hint="eastAsia" w:ascii="宋体"/>
          <w:b/>
          <w:color w:val="auto"/>
          <w:szCs w:val="21"/>
          <w:highlight w:val="none"/>
        </w:rPr>
      </w:pPr>
      <w:r>
        <w:rPr>
          <w:rFonts w:hint="eastAsia" w:ascii="宋体"/>
          <w:b/>
          <w:color w:val="auto"/>
          <w:szCs w:val="21"/>
          <w:highlight w:val="none"/>
        </w:rPr>
        <w:t>4.符合性审查</w:t>
      </w:r>
    </w:p>
    <w:p w14:paraId="52B4741C">
      <w:pPr>
        <w:spacing w:line="440" w:lineRule="exact"/>
        <w:ind w:firstLine="315" w:firstLineChars="150"/>
        <w:rPr>
          <w:rFonts w:hint="eastAsia" w:ascii="宋体"/>
          <w:color w:val="auto"/>
          <w:szCs w:val="21"/>
          <w:highlight w:val="none"/>
        </w:rPr>
      </w:pPr>
      <w:r>
        <w:rPr>
          <w:rFonts w:hint="eastAsia" w:ascii="宋体"/>
          <w:color w:val="auto"/>
          <w:szCs w:val="21"/>
          <w:highlight w:val="none"/>
        </w:rPr>
        <w:t>4．1评审细则</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1"/>
        <w:gridCol w:w="1204"/>
        <w:gridCol w:w="2931"/>
        <w:gridCol w:w="5101"/>
      </w:tblGrid>
      <w:tr w14:paraId="21C10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731" w:type="dxa"/>
            <w:noWrap w:val="0"/>
            <w:vAlign w:val="center"/>
          </w:tcPr>
          <w:p w14:paraId="44B6CA4D">
            <w:pPr>
              <w:spacing w:line="320" w:lineRule="atLeast"/>
              <w:jc w:val="center"/>
              <w:rPr>
                <w:rFonts w:hint="eastAsia" w:ascii="黑体" w:eastAsia="黑体" w:cs="黑体"/>
                <w:b/>
                <w:bCs/>
                <w:color w:val="auto"/>
                <w:szCs w:val="21"/>
                <w:highlight w:val="none"/>
              </w:rPr>
            </w:pPr>
            <w:r>
              <w:rPr>
                <w:rFonts w:hint="eastAsia" w:ascii="黑体" w:eastAsia="黑体" w:cs="黑体"/>
                <w:b/>
                <w:bCs/>
                <w:color w:val="auto"/>
                <w:szCs w:val="21"/>
                <w:highlight w:val="none"/>
              </w:rPr>
              <w:t>序号</w:t>
            </w:r>
          </w:p>
        </w:tc>
        <w:tc>
          <w:tcPr>
            <w:tcW w:w="4135" w:type="dxa"/>
            <w:gridSpan w:val="2"/>
            <w:noWrap w:val="0"/>
            <w:vAlign w:val="center"/>
          </w:tcPr>
          <w:p w14:paraId="39163DAC">
            <w:pPr>
              <w:spacing w:line="320" w:lineRule="atLeast"/>
              <w:jc w:val="center"/>
              <w:rPr>
                <w:rFonts w:hint="eastAsia" w:ascii="黑体" w:eastAsia="黑体" w:cs="黑体"/>
                <w:b/>
                <w:bCs/>
                <w:color w:val="auto"/>
                <w:szCs w:val="21"/>
                <w:highlight w:val="none"/>
              </w:rPr>
            </w:pPr>
            <w:r>
              <w:rPr>
                <w:rFonts w:hint="eastAsia" w:ascii="黑体" w:eastAsia="黑体" w:cs="黑体"/>
                <w:b/>
                <w:bCs/>
                <w:color w:val="auto"/>
                <w:szCs w:val="21"/>
                <w:highlight w:val="none"/>
              </w:rPr>
              <w:t>审查因素</w:t>
            </w:r>
          </w:p>
        </w:tc>
        <w:tc>
          <w:tcPr>
            <w:tcW w:w="5101" w:type="dxa"/>
            <w:noWrap w:val="0"/>
            <w:vAlign w:val="center"/>
          </w:tcPr>
          <w:p w14:paraId="40130CA8">
            <w:pPr>
              <w:spacing w:line="320" w:lineRule="atLeast"/>
              <w:jc w:val="center"/>
              <w:rPr>
                <w:rFonts w:hint="eastAsia" w:ascii="黑体" w:eastAsia="黑体" w:cs="黑体"/>
                <w:b/>
                <w:bCs/>
                <w:color w:val="auto"/>
                <w:szCs w:val="21"/>
                <w:highlight w:val="none"/>
              </w:rPr>
            </w:pPr>
            <w:r>
              <w:rPr>
                <w:rFonts w:hint="eastAsia" w:ascii="黑体" w:eastAsia="黑体" w:cs="黑体"/>
                <w:b/>
                <w:bCs/>
                <w:color w:val="auto"/>
                <w:szCs w:val="21"/>
                <w:highlight w:val="none"/>
              </w:rPr>
              <w:t>审查内容</w:t>
            </w:r>
          </w:p>
        </w:tc>
      </w:tr>
      <w:tr w14:paraId="69728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trPr>
        <w:tc>
          <w:tcPr>
            <w:tcW w:w="731" w:type="dxa"/>
            <w:vMerge w:val="restart"/>
            <w:noWrap w:val="0"/>
            <w:vAlign w:val="center"/>
          </w:tcPr>
          <w:p w14:paraId="5E30E1AC">
            <w:pPr>
              <w:spacing w:line="320" w:lineRule="atLeast"/>
              <w:jc w:val="center"/>
              <w:rPr>
                <w:rFonts w:hint="eastAsia" w:ascii="宋体"/>
                <w:color w:val="auto"/>
                <w:szCs w:val="21"/>
                <w:highlight w:val="none"/>
              </w:rPr>
            </w:pPr>
            <w:r>
              <w:rPr>
                <w:rFonts w:hint="eastAsia" w:ascii="宋体"/>
                <w:color w:val="auto"/>
                <w:szCs w:val="21"/>
                <w:highlight w:val="none"/>
              </w:rPr>
              <w:t>1</w:t>
            </w:r>
          </w:p>
        </w:tc>
        <w:tc>
          <w:tcPr>
            <w:tcW w:w="1204" w:type="dxa"/>
            <w:vMerge w:val="restart"/>
            <w:noWrap w:val="0"/>
            <w:vAlign w:val="center"/>
          </w:tcPr>
          <w:p w14:paraId="14328F55">
            <w:pPr>
              <w:spacing w:line="320" w:lineRule="atLeast"/>
              <w:rPr>
                <w:rFonts w:hint="eastAsia" w:ascii="宋体" w:cs="仿宋_GB2312"/>
                <w:color w:val="auto"/>
                <w:szCs w:val="21"/>
                <w:highlight w:val="none"/>
                <w:lang w:val="zh-CN"/>
              </w:rPr>
            </w:pPr>
            <w:r>
              <w:rPr>
                <w:rFonts w:hint="eastAsia" w:ascii="宋体" w:cs="仿宋_GB2312"/>
                <w:color w:val="auto"/>
                <w:szCs w:val="21"/>
                <w:highlight w:val="none"/>
                <w:lang w:val="zh-CN"/>
              </w:rPr>
              <w:t>投标文件的有效性</w:t>
            </w:r>
          </w:p>
        </w:tc>
        <w:tc>
          <w:tcPr>
            <w:tcW w:w="2931" w:type="dxa"/>
            <w:noWrap w:val="0"/>
            <w:vAlign w:val="center"/>
          </w:tcPr>
          <w:p w14:paraId="01511831">
            <w:pPr>
              <w:spacing w:line="320" w:lineRule="atLeast"/>
              <w:rPr>
                <w:rFonts w:hint="eastAsia" w:ascii="宋体" w:cs="仿宋_GB2312"/>
                <w:color w:val="auto"/>
                <w:szCs w:val="21"/>
                <w:highlight w:val="none"/>
                <w:lang w:val="zh-CN"/>
              </w:rPr>
            </w:pPr>
            <w:r>
              <w:rPr>
                <w:rFonts w:hint="eastAsia" w:ascii="宋体" w:cs="仿宋_GB2312"/>
                <w:color w:val="auto"/>
                <w:szCs w:val="21"/>
                <w:highlight w:val="none"/>
                <w:lang w:val="zh-CN"/>
              </w:rPr>
              <w:t>（1）投标文件签署</w:t>
            </w:r>
          </w:p>
        </w:tc>
        <w:tc>
          <w:tcPr>
            <w:tcW w:w="5101" w:type="dxa"/>
            <w:noWrap w:val="0"/>
            <w:vAlign w:val="center"/>
          </w:tcPr>
          <w:p w14:paraId="1DA41EB0">
            <w:pPr>
              <w:spacing w:line="320" w:lineRule="atLeast"/>
              <w:rPr>
                <w:rFonts w:hint="eastAsia" w:ascii="宋体" w:cs="仿宋_GB2312"/>
                <w:color w:val="auto"/>
                <w:szCs w:val="21"/>
                <w:highlight w:val="none"/>
                <w:lang w:val="zh-CN"/>
              </w:rPr>
            </w:pPr>
            <w:r>
              <w:rPr>
                <w:rFonts w:hint="eastAsia" w:ascii="宋体" w:cs="仿宋_GB2312"/>
                <w:color w:val="auto"/>
                <w:szCs w:val="21"/>
                <w:highlight w:val="none"/>
                <w:lang w:val="zh-CN"/>
              </w:rPr>
              <w:t>签字、盖章符合要求。</w:t>
            </w:r>
          </w:p>
        </w:tc>
      </w:tr>
      <w:tr w14:paraId="553FC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0" w:hRule="atLeast"/>
        </w:trPr>
        <w:tc>
          <w:tcPr>
            <w:tcW w:w="731" w:type="dxa"/>
            <w:vMerge w:val="continue"/>
            <w:noWrap w:val="0"/>
            <w:vAlign w:val="center"/>
          </w:tcPr>
          <w:p w14:paraId="7905205E">
            <w:pPr>
              <w:spacing w:line="320" w:lineRule="atLeast"/>
              <w:rPr>
                <w:color w:val="auto"/>
                <w:highlight w:val="none"/>
              </w:rPr>
            </w:pPr>
          </w:p>
        </w:tc>
        <w:tc>
          <w:tcPr>
            <w:tcW w:w="1204" w:type="dxa"/>
            <w:vMerge w:val="continue"/>
            <w:noWrap w:val="0"/>
            <w:vAlign w:val="center"/>
          </w:tcPr>
          <w:p w14:paraId="0C50280C">
            <w:pPr>
              <w:spacing w:line="320" w:lineRule="atLeast"/>
              <w:rPr>
                <w:color w:val="auto"/>
                <w:highlight w:val="none"/>
              </w:rPr>
            </w:pPr>
          </w:p>
        </w:tc>
        <w:tc>
          <w:tcPr>
            <w:tcW w:w="2931" w:type="dxa"/>
            <w:noWrap w:val="0"/>
            <w:vAlign w:val="center"/>
          </w:tcPr>
          <w:p w14:paraId="3A2D0D42">
            <w:pPr>
              <w:spacing w:line="320" w:lineRule="atLeast"/>
              <w:rPr>
                <w:rFonts w:hint="eastAsia" w:ascii="宋体" w:cs="仿宋_GB2312"/>
                <w:color w:val="auto"/>
                <w:szCs w:val="21"/>
                <w:highlight w:val="none"/>
                <w:lang w:val="zh-CN"/>
              </w:rPr>
            </w:pPr>
            <w:r>
              <w:rPr>
                <w:rFonts w:hint="eastAsia" w:ascii="宋体" w:cs="仿宋_GB2312"/>
                <w:color w:val="auto"/>
                <w:szCs w:val="21"/>
                <w:highlight w:val="none"/>
                <w:lang w:val="zh-CN"/>
              </w:rPr>
              <w:t>（2）投标方案</w:t>
            </w:r>
          </w:p>
        </w:tc>
        <w:tc>
          <w:tcPr>
            <w:tcW w:w="5101" w:type="dxa"/>
            <w:noWrap w:val="0"/>
            <w:vAlign w:val="center"/>
          </w:tcPr>
          <w:p w14:paraId="49240866">
            <w:pPr>
              <w:spacing w:line="320" w:lineRule="atLeast"/>
              <w:rPr>
                <w:rFonts w:hint="eastAsia" w:ascii="宋体" w:cs="宋体"/>
                <w:color w:val="auto"/>
                <w:szCs w:val="21"/>
                <w:highlight w:val="none"/>
              </w:rPr>
            </w:pPr>
            <w:r>
              <w:rPr>
                <w:rFonts w:hint="eastAsia" w:ascii="宋体" w:hAnsi="宋体" w:cs="仿宋_GB2312"/>
                <w:color w:val="auto"/>
                <w:szCs w:val="21"/>
                <w:highlight w:val="none"/>
                <w:lang w:val="zh-CN"/>
              </w:rPr>
              <w:t>每个分包只能有一个方案投标。</w:t>
            </w:r>
          </w:p>
        </w:tc>
      </w:tr>
      <w:tr w14:paraId="3DA84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1" w:hRule="atLeast"/>
        </w:trPr>
        <w:tc>
          <w:tcPr>
            <w:tcW w:w="731" w:type="dxa"/>
            <w:vMerge w:val="continue"/>
            <w:noWrap w:val="0"/>
            <w:vAlign w:val="center"/>
          </w:tcPr>
          <w:p w14:paraId="3B748B3B">
            <w:pPr>
              <w:spacing w:line="320" w:lineRule="atLeast"/>
              <w:rPr>
                <w:color w:val="auto"/>
                <w:highlight w:val="none"/>
              </w:rPr>
            </w:pPr>
          </w:p>
        </w:tc>
        <w:tc>
          <w:tcPr>
            <w:tcW w:w="1204" w:type="dxa"/>
            <w:vMerge w:val="continue"/>
            <w:noWrap w:val="0"/>
            <w:vAlign w:val="center"/>
          </w:tcPr>
          <w:p w14:paraId="58AA67A8">
            <w:pPr>
              <w:spacing w:line="320" w:lineRule="atLeast"/>
              <w:rPr>
                <w:color w:val="auto"/>
                <w:highlight w:val="none"/>
              </w:rPr>
            </w:pPr>
          </w:p>
        </w:tc>
        <w:tc>
          <w:tcPr>
            <w:tcW w:w="2931" w:type="dxa"/>
            <w:noWrap w:val="0"/>
            <w:vAlign w:val="center"/>
          </w:tcPr>
          <w:p w14:paraId="16A8D7B3">
            <w:pPr>
              <w:spacing w:line="320" w:lineRule="atLeast"/>
              <w:rPr>
                <w:rFonts w:hint="eastAsia" w:ascii="宋体" w:cs="仿宋_GB2312"/>
                <w:color w:val="auto"/>
                <w:szCs w:val="21"/>
                <w:highlight w:val="none"/>
                <w:lang w:val="zh-CN"/>
              </w:rPr>
            </w:pPr>
            <w:r>
              <w:rPr>
                <w:rFonts w:hint="eastAsia" w:ascii="宋体"/>
                <w:color w:val="auto"/>
                <w:szCs w:val="21"/>
                <w:highlight w:val="none"/>
              </w:rPr>
              <w:t>（3）报价唯一</w:t>
            </w:r>
          </w:p>
        </w:tc>
        <w:tc>
          <w:tcPr>
            <w:tcW w:w="5101" w:type="dxa"/>
            <w:noWrap w:val="0"/>
            <w:vAlign w:val="center"/>
          </w:tcPr>
          <w:p w14:paraId="5B76B05E">
            <w:pPr>
              <w:spacing w:line="320" w:lineRule="atLeast"/>
              <w:rPr>
                <w:rFonts w:hint="eastAsia" w:ascii="宋体" w:cs="宋体"/>
                <w:color w:val="auto"/>
                <w:szCs w:val="21"/>
                <w:highlight w:val="none"/>
              </w:rPr>
            </w:pPr>
            <w:r>
              <w:rPr>
                <w:rFonts w:hint="eastAsia" w:ascii="宋体" w:cs="仿宋_GB2312"/>
                <w:color w:val="auto"/>
                <w:szCs w:val="21"/>
                <w:highlight w:val="none"/>
                <w:lang w:val="zh-CN"/>
              </w:rPr>
              <w:t>只能在限价范围内报价，</w:t>
            </w:r>
            <w:r>
              <w:rPr>
                <w:rFonts w:hint="eastAsia" w:ascii="宋体"/>
                <w:color w:val="auto"/>
                <w:szCs w:val="21"/>
                <w:highlight w:val="none"/>
              </w:rPr>
              <w:t>只能有一个有效报价，不得提交选择性报价。</w:t>
            </w:r>
          </w:p>
        </w:tc>
      </w:tr>
      <w:tr w14:paraId="6D9BF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4" w:hRule="atLeast"/>
        </w:trPr>
        <w:tc>
          <w:tcPr>
            <w:tcW w:w="731" w:type="dxa"/>
            <w:vMerge w:val="continue"/>
            <w:noWrap w:val="0"/>
            <w:vAlign w:val="center"/>
          </w:tcPr>
          <w:p w14:paraId="5BB5A752">
            <w:pPr>
              <w:spacing w:line="320" w:lineRule="atLeast"/>
              <w:rPr>
                <w:color w:val="auto"/>
                <w:highlight w:val="none"/>
              </w:rPr>
            </w:pPr>
          </w:p>
        </w:tc>
        <w:tc>
          <w:tcPr>
            <w:tcW w:w="1204" w:type="dxa"/>
            <w:vMerge w:val="continue"/>
            <w:noWrap w:val="0"/>
            <w:vAlign w:val="center"/>
          </w:tcPr>
          <w:p w14:paraId="3D464BDC">
            <w:pPr>
              <w:spacing w:line="320" w:lineRule="atLeast"/>
              <w:rPr>
                <w:color w:val="auto"/>
                <w:highlight w:val="none"/>
              </w:rPr>
            </w:pPr>
          </w:p>
        </w:tc>
        <w:tc>
          <w:tcPr>
            <w:tcW w:w="2931" w:type="dxa"/>
            <w:noWrap w:val="0"/>
            <w:vAlign w:val="center"/>
          </w:tcPr>
          <w:p w14:paraId="1570C2C0">
            <w:pPr>
              <w:spacing w:line="320" w:lineRule="atLeast"/>
              <w:rPr>
                <w:rFonts w:hint="eastAsia" w:ascii="宋体"/>
                <w:color w:val="auto"/>
                <w:szCs w:val="21"/>
                <w:highlight w:val="none"/>
              </w:rPr>
            </w:pPr>
            <w:r>
              <w:rPr>
                <w:rFonts w:hint="eastAsia" w:ascii="宋体"/>
                <w:color w:val="auto"/>
                <w:szCs w:val="21"/>
                <w:highlight w:val="none"/>
              </w:rPr>
              <w:t xml:space="preserve"> (4) 投标文件的有效期</w:t>
            </w:r>
          </w:p>
        </w:tc>
        <w:tc>
          <w:tcPr>
            <w:tcW w:w="5101" w:type="dxa"/>
            <w:noWrap w:val="0"/>
            <w:vAlign w:val="center"/>
          </w:tcPr>
          <w:p w14:paraId="0A104765">
            <w:pPr>
              <w:spacing w:line="320" w:lineRule="atLeast"/>
              <w:rPr>
                <w:rFonts w:hint="eastAsia" w:ascii="宋体" w:cs="仿宋_GB2312"/>
                <w:color w:val="auto"/>
                <w:szCs w:val="21"/>
                <w:highlight w:val="none"/>
                <w:lang w:val="zh-CN"/>
              </w:rPr>
            </w:pPr>
            <w:r>
              <w:rPr>
                <w:rFonts w:hint="eastAsia" w:ascii="宋体" w:cs="仿宋_GB2312"/>
                <w:color w:val="auto"/>
                <w:szCs w:val="21"/>
                <w:highlight w:val="none"/>
                <w:lang w:val="zh-CN"/>
              </w:rPr>
              <w:t>完全响应。</w:t>
            </w:r>
          </w:p>
        </w:tc>
      </w:tr>
      <w:tr w14:paraId="4B6B4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2" w:hRule="atLeast"/>
        </w:trPr>
        <w:tc>
          <w:tcPr>
            <w:tcW w:w="731" w:type="dxa"/>
            <w:vMerge w:val="restart"/>
            <w:noWrap w:val="0"/>
            <w:vAlign w:val="center"/>
          </w:tcPr>
          <w:p w14:paraId="4503882E">
            <w:pPr>
              <w:spacing w:line="320" w:lineRule="atLeast"/>
              <w:jc w:val="center"/>
              <w:rPr>
                <w:rFonts w:hint="eastAsia" w:ascii="宋体"/>
                <w:color w:val="auto"/>
                <w:szCs w:val="21"/>
                <w:highlight w:val="none"/>
              </w:rPr>
            </w:pPr>
            <w:r>
              <w:rPr>
                <w:rFonts w:hint="eastAsia" w:ascii="宋体"/>
                <w:color w:val="auto"/>
                <w:szCs w:val="21"/>
                <w:highlight w:val="none"/>
              </w:rPr>
              <w:t>2</w:t>
            </w:r>
          </w:p>
        </w:tc>
        <w:tc>
          <w:tcPr>
            <w:tcW w:w="1204" w:type="dxa"/>
            <w:vMerge w:val="restart"/>
            <w:noWrap w:val="0"/>
            <w:vAlign w:val="center"/>
          </w:tcPr>
          <w:p w14:paraId="7F325341">
            <w:pPr>
              <w:spacing w:line="320" w:lineRule="atLeast"/>
              <w:rPr>
                <w:rFonts w:hint="eastAsia" w:ascii="宋体" w:cs="仿宋_GB2312"/>
                <w:color w:val="auto"/>
                <w:szCs w:val="21"/>
                <w:highlight w:val="none"/>
                <w:lang w:val="zh-CN"/>
              </w:rPr>
            </w:pPr>
            <w:r>
              <w:rPr>
                <w:rFonts w:hint="eastAsia" w:ascii="宋体" w:cs="仿宋_GB2312"/>
                <w:color w:val="auto"/>
                <w:szCs w:val="21"/>
                <w:highlight w:val="none"/>
                <w:lang w:val="zh-CN"/>
              </w:rPr>
              <w:t>投标文件的完整性</w:t>
            </w:r>
          </w:p>
        </w:tc>
        <w:tc>
          <w:tcPr>
            <w:tcW w:w="2931" w:type="dxa"/>
            <w:noWrap w:val="0"/>
            <w:vAlign w:val="center"/>
          </w:tcPr>
          <w:p w14:paraId="5EF20D31">
            <w:pPr>
              <w:spacing w:line="320" w:lineRule="atLeast"/>
              <w:rPr>
                <w:rFonts w:hint="eastAsia" w:ascii="宋体" w:cs="宋体"/>
                <w:color w:val="auto"/>
                <w:szCs w:val="21"/>
                <w:highlight w:val="none"/>
              </w:rPr>
            </w:pPr>
            <w:r>
              <w:rPr>
                <w:rFonts w:hint="eastAsia" w:ascii="宋体" w:cs="仿宋_GB2312"/>
                <w:color w:val="auto"/>
                <w:szCs w:val="21"/>
                <w:highlight w:val="none"/>
                <w:lang w:val="zh-CN"/>
              </w:rPr>
              <w:t>（5）投标文件份数</w:t>
            </w:r>
          </w:p>
        </w:tc>
        <w:tc>
          <w:tcPr>
            <w:tcW w:w="5101" w:type="dxa"/>
            <w:noWrap w:val="0"/>
            <w:vAlign w:val="center"/>
          </w:tcPr>
          <w:p w14:paraId="0504A0B0">
            <w:pPr>
              <w:spacing w:line="320" w:lineRule="atLeast"/>
              <w:rPr>
                <w:rFonts w:hint="eastAsia" w:ascii="宋体" w:cs="宋体"/>
                <w:color w:val="auto"/>
                <w:szCs w:val="21"/>
                <w:highlight w:val="none"/>
              </w:rPr>
            </w:pPr>
            <w:r>
              <w:rPr>
                <w:rFonts w:hint="eastAsia" w:ascii="宋体" w:hAnsi="宋体" w:cs="宋体"/>
                <w:color w:val="auto"/>
                <w:szCs w:val="21"/>
                <w:highlight w:val="none"/>
              </w:rPr>
              <w:t>网上递交的电子投标文件：一份</w:t>
            </w:r>
            <w:r>
              <w:rPr>
                <w:rFonts w:hint="eastAsia" w:ascii="宋体" w:hAnsi="宋体" w:cs="宋体"/>
                <w:color w:val="auto"/>
                <w:szCs w:val="21"/>
                <w:highlight w:val="none"/>
                <w:lang w:eastAsia="zh-CN"/>
              </w:rPr>
              <w:t>。</w:t>
            </w:r>
            <w:r>
              <w:rPr>
                <w:rFonts w:hint="eastAsia" w:ascii="宋体" w:hAnsi="宋体" w:cs="宋体"/>
                <w:color w:val="auto"/>
                <w:szCs w:val="21"/>
                <w:highlight w:val="none"/>
              </w:rPr>
              <w:t xml:space="preserve"> </w:t>
            </w:r>
          </w:p>
        </w:tc>
      </w:tr>
      <w:tr w14:paraId="2B6B6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7" w:hRule="atLeast"/>
        </w:trPr>
        <w:tc>
          <w:tcPr>
            <w:tcW w:w="731" w:type="dxa"/>
            <w:vMerge w:val="continue"/>
            <w:noWrap w:val="0"/>
            <w:vAlign w:val="center"/>
          </w:tcPr>
          <w:p w14:paraId="54C11AB6">
            <w:pPr>
              <w:spacing w:line="320" w:lineRule="atLeast"/>
              <w:rPr>
                <w:color w:val="auto"/>
                <w:highlight w:val="none"/>
              </w:rPr>
            </w:pPr>
          </w:p>
        </w:tc>
        <w:tc>
          <w:tcPr>
            <w:tcW w:w="1204" w:type="dxa"/>
            <w:vMerge w:val="continue"/>
            <w:noWrap w:val="0"/>
            <w:vAlign w:val="center"/>
          </w:tcPr>
          <w:p w14:paraId="068F4ED8">
            <w:pPr>
              <w:spacing w:line="320" w:lineRule="atLeast"/>
              <w:rPr>
                <w:color w:val="auto"/>
                <w:highlight w:val="none"/>
              </w:rPr>
            </w:pPr>
          </w:p>
        </w:tc>
        <w:tc>
          <w:tcPr>
            <w:tcW w:w="2931" w:type="dxa"/>
            <w:noWrap w:val="0"/>
            <w:vAlign w:val="center"/>
          </w:tcPr>
          <w:p w14:paraId="5F71AFEB">
            <w:pPr>
              <w:spacing w:line="320" w:lineRule="atLeast"/>
              <w:rPr>
                <w:rFonts w:hint="eastAsia" w:ascii="宋体" w:cs="仿宋_GB2312"/>
                <w:color w:val="auto"/>
                <w:szCs w:val="21"/>
                <w:highlight w:val="none"/>
                <w:lang w:val="zh-CN"/>
              </w:rPr>
            </w:pPr>
            <w:r>
              <w:rPr>
                <w:rFonts w:hint="eastAsia" w:ascii="宋体" w:cs="仿宋_GB2312"/>
                <w:color w:val="auto"/>
                <w:szCs w:val="21"/>
                <w:highlight w:val="none"/>
                <w:lang w:val="zh-CN"/>
              </w:rPr>
              <w:t>（6）投标文件形式内容</w:t>
            </w:r>
          </w:p>
        </w:tc>
        <w:tc>
          <w:tcPr>
            <w:tcW w:w="5101" w:type="dxa"/>
            <w:noWrap w:val="0"/>
            <w:vAlign w:val="center"/>
          </w:tcPr>
          <w:p w14:paraId="253308E2">
            <w:pPr>
              <w:spacing w:line="320" w:lineRule="atLeast"/>
              <w:rPr>
                <w:rFonts w:hint="eastAsia" w:ascii="宋体" w:cs="仿宋_GB2312"/>
                <w:color w:val="auto"/>
                <w:szCs w:val="21"/>
                <w:highlight w:val="none"/>
                <w:lang w:val="zh-CN"/>
              </w:rPr>
            </w:pPr>
            <w:r>
              <w:rPr>
                <w:rFonts w:hint="eastAsia" w:ascii="宋体" w:cs="仿宋_GB2312"/>
                <w:color w:val="auto"/>
                <w:szCs w:val="21"/>
                <w:highlight w:val="none"/>
                <w:lang w:val="zh-CN"/>
              </w:rPr>
              <w:t>投标文件内容清晰、齐全无遗漏。</w:t>
            </w:r>
          </w:p>
        </w:tc>
      </w:tr>
    </w:tbl>
    <w:p w14:paraId="63A99023">
      <w:pPr>
        <w:spacing w:line="400" w:lineRule="exact"/>
        <w:ind w:firstLine="506" w:firstLineChars="241"/>
        <w:rPr>
          <w:rFonts w:hint="eastAsia" w:ascii="宋体"/>
          <w:color w:val="auto"/>
          <w:szCs w:val="21"/>
          <w:highlight w:val="none"/>
        </w:rPr>
      </w:pPr>
      <w:r>
        <w:rPr>
          <w:rFonts w:hint="eastAsia" w:ascii="宋体"/>
          <w:color w:val="auto"/>
          <w:szCs w:val="21"/>
          <w:highlight w:val="none"/>
        </w:rPr>
        <w:t>4.2资格审查及评分细则中涉及的有关证明材料及相关证书，电子投标文件中须按招标文件要求上传</w:t>
      </w:r>
      <w:r>
        <w:rPr>
          <w:rFonts w:hint="eastAsia" w:ascii="宋体" w:hAnsi="宋体"/>
          <w:b/>
          <w:color w:val="auto"/>
          <w:szCs w:val="21"/>
          <w:highlight w:val="none"/>
        </w:rPr>
        <w:t>扫描件</w:t>
      </w:r>
      <w:r>
        <w:rPr>
          <w:rFonts w:hint="eastAsia" w:ascii="宋体"/>
          <w:color w:val="auto"/>
          <w:szCs w:val="21"/>
          <w:highlight w:val="none"/>
        </w:rPr>
        <w:t>，以供审查。</w:t>
      </w:r>
    </w:p>
    <w:p w14:paraId="7F46A057">
      <w:pPr>
        <w:spacing w:line="400" w:lineRule="exact"/>
        <w:ind w:firstLine="506" w:firstLineChars="241"/>
        <w:rPr>
          <w:rFonts w:hint="eastAsia" w:ascii="宋体"/>
          <w:color w:val="auto"/>
          <w:szCs w:val="21"/>
          <w:highlight w:val="none"/>
        </w:rPr>
      </w:pPr>
      <w:r>
        <w:rPr>
          <w:rFonts w:hint="eastAsia" w:ascii="宋体"/>
          <w:color w:val="auto"/>
          <w:szCs w:val="21"/>
          <w:highlight w:val="none"/>
        </w:rPr>
        <w:t>4.3．评标委员会判定投标文件的响应性只根据投标文件本身的内容，而不寻求外部的证据，但投标有不真实不正确的内容时除外。</w:t>
      </w:r>
    </w:p>
    <w:p w14:paraId="12E29A7C">
      <w:pPr>
        <w:spacing w:line="400" w:lineRule="exact"/>
        <w:ind w:firstLine="506" w:firstLineChars="241"/>
        <w:rPr>
          <w:rFonts w:hint="eastAsia" w:ascii="宋体" w:hAnsi="宋体" w:eastAsia="宋体" w:cs="宋体"/>
          <w:b/>
          <w:bCs/>
          <w:color w:val="auto"/>
          <w:sz w:val="24"/>
          <w:szCs w:val="24"/>
          <w:highlight w:val="none"/>
        </w:rPr>
      </w:pPr>
      <w:r>
        <w:rPr>
          <w:rFonts w:hint="eastAsia" w:ascii="宋体"/>
          <w:color w:val="auto"/>
          <w:szCs w:val="21"/>
          <w:highlight w:val="none"/>
        </w:rPr>
        <w:t>4.4如果投标文件实质上没有响应招标文件的要求，评标委员会将予以拒绝，投标人不得通过修正或撤销不符合要求的偏离或保留，而使其投标成为实质上响应的投标。</w:t>
      </w:r>
    </w:p>
    <w:p w14:paraId="7D924252">
      <w:pPr>
        <w:keepNext w:val="0"/>
        <w:keepLines w:val="0"/>
        <w:pageBreakBefore w:val="0"/>
        <w:widowControl w:val="0"/>
        <w:kinsoku/>
        <w:wordWrap/>
        <w:overflowPunct/>
        <w:topLinePunct w:val="0"/>
        <w:autoSpaceDE/>
        <w:autoSpaceDN/>
        <w:bidi w:val="0"/>
        <w:adjustRightInd/>
        <w:snapToGrid/>
        <w:spacing w:before="313" w:beforeLines="100" w:line="440" w:lineRule="exact"/>
        <w:jc w:val="center"/>
        <w:textAlignment w:val="auto"/>
        <w:outlineLvl w:val="1"/>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投标文件的澄清和补正</w:t>
      </w:r>
      <w:bookmarkEnd w:id="61"/>
    </w:p>
    <w:p w14:paraId="4E35044F">
      <w:pPr>
        <w:keepNext w:val="0"/>
        <w:keepLines w:val="0"/>
        <w:pageBreakBefore w:val="0"/>
        <w:widowControl w:val="0"/>
        <w:kinsoku/>
        <w:wordWrap/>
        <w:overflowPunct/>
        <w:topLinePunct w:val="0"/>
        <w:autoSpaceDE/>
        <w:autoSpaceDN/>
        <w:bidi w:val="0"/>
        <w:adjustRightInd/>
        <w:snapToGrid/>
        <w:spacing w:line="440" w:lineRule="exact"/>
        <w:ind w:firstLine="525" w:firstLineChars="25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评审阶段，评委可能会要求有关投标人就其投标书中含义不明确、同类问题表述不一致或者有明显文字和计算错误的内容进行澄清。</w:t>
      </w:r>
      <w:r>
        <w:rPr>
          <w:rFonts w:hint="eastAsia" w:ascii="宋体" w:hAnsi="宋体" w:eastAsia="宋体" w:cs="宋体"/>
          <w:b/>
          <w:bCs/>
          <w:color w:val="auto"/>
          <w:sz w:val="21"/>
          <w:szCs w:val="21"/>
          <w:highlight w:val="none"/>
        </w:rPr>
        <w:t>如因投标人未参加开标导致开评标过程中无法澄清、说明或补正的，视同投标人放弃该权利。</w:t>
      </w:r>
    </w:p>
    <w:p w14:paraId="33FDDA61">
      <w:pPr>
        <w:keepNext w:val="0"/>
        <w:keepLines w:val="0"/>
        <w:pageBreakBefore w:val="0"/>
        <w:widowControl w:val="0"/>
        <w:kinsoku/>
        <w:wordWrap/>
        <w:overflowPunct/>
        <w:topLinePunct w:val="0"/>
        <w:autoSpaceDE/>
        <w:autoSpaceDN/>
        <w:bidi w:val="0"/>
        <w:adjustRightInd/>
        <w:snapToGrid/>
        <w:spacing w:line="440" w:lineRule="exact"/>
        <w:ind w:firstLine="525" w:firstLineChars="25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投标人的澄清、说明或者补</w:t>
      </w:r>
    </w:p>
    <w:p w14:paraId="267F1FA5">
      <w:pPr>
        <w:keepNext w:val="0"/>
        <w:keepLines w:val="0"/>
        <w:pageBreakBefore w:val="0"/>
        <w:widowControl w:val="0"/>
        <w:kinsoku/>
        <w:wordWrap/>
        <w:overflowPunct/>
        <w:topLinePunct w:val="0"/>
        <w:autoSpaceDE/>
        <w:autoSpaceDN/>
        <w:bidi w:val="0"/>
        <w:adjustRightInd/>
        <w:snapToGrid/>
        <w:spacing w:line="440" w:lineRule="exact"/>
        <w:ind w:firstLine="527" w:firstLineChars="250"/>
        <w:textAlignment w:val="auto"/>
        <w:rPr>
          <w:rFonts w:hint="eastAsia" w:ascii="宋体" w:hAnsi="宋体" w:eastAsia="宋体" w:cs="宋体"/>
          <w:color w:val="auto"/>
          <w:sz w:val="21"/>
          <w:szCs w:val="21"/>
          <w:highlight w:val="none"/>
        </w:rPr>
      </w:pPr>
      <w:r>
        <w:rPr>
          <w:rFonts w:hint="eastAsia" w:ascii="宋体" w:hAnsi="宋体" w:cs="宋体"/>
          <w:b/>
          <w:bCs/>
          <w:color w:val="auto"/>
          <w:szCs w:val="21"/>
          <w:highlight w:val="none"/>
          <w:lang w:val="en-US" w:eastAsia="zh-CN"/>
        </w:rPr>
        <w:t>本项目采用远程开标，具体操作方法详见服务指南&gt;交易须知&gt;开标大厅远程解密、质疑(异议)及回复以及评标过程中询标流程操作手册</w:t>
      </w:r>
      <w:r>
        <w:rPr>
          <w:rFonts w:hint="eastAsia" w:ascii="宋体" w:hAnsi="宋体" w:cs="宋体"/>
          <w:b/>
          <w:bCs/>
          <w:color w:val="auto"/>
          <w:szCs w:val="21"/>
          <w:highlight w:val="none"/>
        </w:rPr>
        <w:t>。</w:t>
      </w:r>
    </w:p>
    <w:p w14:paraId="23841C5D">
      <w:pPr>
        <w:keepNext w:val="0"/>
        <w:keepLines w:val="0"/>
        <w:pageBreakBefore w:val="0"/>
        <w:widowControl w:val="0"/>
        <w:kinsoku/>
        <w:wordWrap/>
        <w:overflowPunct/>
        <w:topLinePunct w:val="0"/>
        <w:autoSpaceDE/>
        <w:autoSpaceDN/>
        <w:bidi w:val="0"/>
        <w:adjustRightInd/>
        <w:snapToGrid/>
        <w:spacing w:line="440" w:lineRule="exact"/>
        <w:ind w:firstLine="525" w:firstLineChars="25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评委会修正错误的原则：</w:t>
      </w:r>
    </w:p>
    <w:p w14:paraId="1053594E">
      <w:pPr>
        <w:keepNext w:val="0"/>
        <w:keepLines w:val="0"/>
        <w:pageBreakBefore w:val="0"/>
        <w:widowControl w:val="0"/>
        <w:kinsoku/>
        <w:wordWrap/>
        <w:overflowPunct/>
        <w:topLinePunct w:val="0"/>
        <w:autoSpaceDE/>
        <w:autoSpaceDN/>
        <w:bidi w:val="0"/>
        <w:adjustRightInd/>
        <w:snapToGrid/>
        <w:spacing w:line="440" w:lineRule="exact"/>
        <w:ind w:firstLine="525" w:firstLineChars="250"/>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如果数字表示的金额和用文字表示的金额不一致时，以文字表示的金额为准</w:t>
      </w:r>
      <w:r>
        <w:rPr>
          <w:rFonts w:hint="eastAsia" w:ascii="宋体" w:hAnsi="宋体" w:eastAsia="宋体" w:cs="宋体"/>
          <w:color w:val="auto"/>
          <w:sz w:val="21"/>
          <w:szCs w:val="21"/>
          <w:highlight w:val="none"/>
          <w:lang w:eastAsia="zh-CN"/>
        </w:rPr>
        <w:t>。</w:t>
      </w:r>
    </w:p>
    <w:p w14:paraId="2973CB46">
      <w:pPr>
        <w:keepNext w:val="0"/>
        <w:keepLines w:val="0"/>
        <w:pageBreakBefore w:val="0"/>
        <w:widowControl w:val="0"/>
        <w:kinsoku/>
        <w:wordWrap/>
        <w:overflowPunct/>
        <w:topLinePunct w:val="0"/>
        <w:autoSpaceDE/>
        <w:autoSpaceDN/>
        <w:bidi w:val="0"/>
        <w:adjustRightInd/>
        <w:snapToGrid/>
        <w:spacing w:line="440" w:lineRule="exact"/>
        <w:ind w:firstLine="525" w:firstLineChars="25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如果单价与数量的乘积和总价不一致，以单价为准，修正总价；当单价小数点有明显的错位时，评委会将以总价为准，并修正其单价；投标的数量与招标的数量不一致时，以招标数量为准。</w:t>
      </w:r>
    </w:p>
    <w:p w14:paraId="1138E099">
      <w:pPr>
        <w:keepNext w:val="0"/>
        <w:keepLines w:val="0"/>
        <w:pageBreakBefore w:val="0"/>
        <w:widowControl w:val="0"/>
        <w:kinsoku/>
        <w:wordWrap/>
        <w:overflowPunct/>
        <w:topLinePunct w:val="0"/>
        <w:autoSpaceDE/>
        <w:autoSpaceDN/>
        <w:bidi w:val="0"/>
        <w:adjustRightInd/>
        <w:snapToGrid/>
        <w:spacing w:line="440" w:lineRule="exact"/>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7.3</w:t>
      </w:r>
      <w:r>
        <w:rPr>
          <w:rFonts w:hint="eastAsia" w:ascii="宋体" w:hAnsi="宋体" w:eastAsia="宋体" w:cs="宋体"/>
          <w:color w:val="auto"/>
          <w:sz w:val="21"/>
          <w:szCs w:val="21"/>
          <w:highlight w:val="none"/>
        </w:rPr>
        <w:t>评委会将按上述修正错误的方法调整投标文件中的投标报价，调整后的价格应对投标人具有约束力。无论投标人是接受或是拒绝调整后的价格，都应当由法定代表人（或委托代理人）签字</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签章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予以确认。投标人拒绝对投标文件出现的错漏按上述原则进行修正、澄清、说明，评标委员会应当否决其投标。</w:t>
      </w:r>
    </w:p>
    <w:p w14:paraId="05EF3AE5">
      <w:pPr>
        <w:keepNext w:val="0"/>
        <w:keepLines w:val="0"/>
        <w:pageBreakBefore w:val="0"/>
        <w:widowControl w:val="0"/>
        <w:kinsoku/>
        <w:wordWrap/>
        <w:overflowPunct/>
        <w:topLinePunct w:val="0"/>
        <w:autoSpaceDE/>
        <w:autoSpaceDN/>
        <w:bidi w:val="0"/>
        <w:adjustRightInd/>
        <w:snapToGrid/>
        <w:spacing w:line="340" w:lineRule="exact"/>
        <w:jc w:val="center"/>
        <w:textAlignment w:val="auto"/>
        <w:outlineLvl w:val="1"/>
        <w:rPr>
          <w:rFonts w:hint="eastAsia" w:ascii="宋体" w:hAnsi="宋体" w:eastAsia="宋体" w:cs="宋体"/>
          <w:b/>
          <w:bCs/>
          <w:color w:val="auto"/>
          <w:sz w:val="24"/>
          <w:szCs w:val="24"/>
          <w:highlight w:val="none"/>
          <w:lang w:val="en-US" w:eastAsia="zh-CN"/>
        </w:rPr>
      </w:pPr>
    </w:p>
    <w:p w14:paraId="49A6CEAA">
      <w:pPr>
        <w:keepNext w:val="0"/>
        <w:keepLines w:val="0"/>
        <w:pageBreakBefore w:val="0"/>
        <w:widowControl w:val="0"/>
        <w:kinsoku/>
        <w:wordWrap/>
        <w:overflowPunct/>
        <w:topLinePunct w:val="0"/>
        <w:autoSpaceDE/>
        <w:autoSpaceDN/>
        <w:bidi w:val="0"/>
        <w:adjustRightInd/>
        <w:snapToGrid/>
        <w:spacing w:line="340" w:lineRule="exact"/>
        <w:jc w:val="center"/>
        <w:textAlignment w:val="auto"/>
        <w:outlineLvl w:val="1"/>
        <w:rPr>
          <w:rFonts w:hint="eastAsia" w:ascii="宋体" w:hAnsi="宋体" w:eastAsia="宋体" w:cs="宋体"/>
          <w:b/>
          <w:bCs/>
          <w:color w:val="auto"/>
          <w:sz w:val="24"/>
          <w:szCs w:val="24"/>
          <w:highlight w:val="none"/>
          <w:lang w:val="en-US" w:eastAsia="zh-CN"/>
        </w:rPr>
      </w:pPr>
      <w:bookmarkStart w:id="62" w:name="_Toc30419"/>
      <w:r>
        <w:rPr>
          <w:rFonts w:hint="eastAsia" w:ascii="宋体" w:hAnsi="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lang w:val="en-US" w:eastAsia="zh-CN"/>
        </w:rPr>
        <w:t>、投标报价评分细则</w:t>
      </w:r>
      <w:bookmarkEnd w:id="62"/>
    </w:p>
    <w:tbl>
      <w:tblPr>
        <w:tblStyle w:val="45"/>
        <w:tblW w:w="9667"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049"/>
        <w:gridCol w:w="1842"/>
        <w:gridCol w:w="6067"/>
      </w:tblGrid>
      <w:tr w14:paraId="5A1E1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758" w:type="dxa"/>
            <w:gridSpan w:val="2"/>
            <w:vAlign w:val="center"/>
          </w:tcPr>
          <w:p w14:paraId="14609569">
            <w:pPr>
              <w:spacing w:line="320" w:lineRule="atLeast"/>
              <w:jc w:val="center"/>
              <w:rPr>
                <w:rFonts w:hint="eastAsia" w:ascii="黑体" w:hAnsi="Times New Roman" w:eastAsia="黑体" w:cs="黑体"/>
                <w:b/>
                <w:bCs/>
                <w:color w:val="auto"/>
                <w:szCs w:val="21"/>
                <w:highlight w:val="none"/>
              </w:rPr>
            </w:pPr>
            <w:r>
              <w:rPr>
                <w:rFonts w:hint="eastAsia" w:ascii="黑体" w:hAnsi="Times New Roman" w:eastAsia="黑体" w:cs="黑体"/>
                <w:b/>
                <w:bCs/>
                <w:color w:val="auto"/>
                <w:szCs w:val="21"/>
                <w:highlight w:val="none"/>
              </w:rPr>
              <w:t>评审项</w:t>
            </w:r>
          </w:p>
        </w:tc>
        <w:tc>
          <w:tcPr>
            <w:tcW w:w="1842" w:type="dxa"/>
            <w:vAlign w:val="center"/>
          </w:tcPr>
          <w:p w14:paraId="2E66EDB0">
            <w:pPr>
              <w:spacing w:line="320" w:lineRule="atLeast"/>
              <w:jc w:val="center"/>
              <w:rPr>
                <w:rFonts w:hint="eastAsia" w:ascii="黑体" w:hAnsi="Times New Roman" w:eastAsia="黑体" w:cs="黑体"/>
                <w:b/>
                <w:bCs/>
                <w:color w:val="auto"/>
                <w:szCs w:val="21"/>
                <w:highlight w:val="none"/>
              </w:rPr>
            </w:pPr>
            <w:r>
              <w:rPr>
                <w:rFonts w:hint="eastAsia" w:ascii="黑体" w:hAnsi="Times New Roman" w:eastAsia="黑体" w:cs="黑体"/>
                <w:b/>
                <w:bCs/>
                <w:color w:val="auto"/>
                <w:szCs w:val="21"/>
                <w:highlight w:val="none"/>
              </w:rPr>
              <w:t>评审因素</w:t>
            </w:r>
          </w:p>
        </w:tc>
        <w:tc>
          <w:tcPr>
            <w:tcW w:w="6067" w:type="dxa"/>
            <w:vAlign w:val="center"/>
          </w:tcPr>
          <w:p w14:paraId="22D39B9C">
            <w:pPr>
              <w:spacing w:line="320" w:lineRule="atLeast"/>
              <w:jc w:val="center"/>
              <w:rPr>
                <w:rFonts w:hint="eastAsia" w:ascii="黑体" w:hAnsi="Times New Roman" w:eastAsia="黑体" w:cs="黑体"/>
                <w:b/>
                <w:bCs/>
                <w:color w:val="auto"/>
                <w:szCs w:val="21"/>
                <w:highlight w:val="none"/>
              </w:rPr>
            </w:pPr>
            <w:r>
              <w:rPr>
                <w:rFonts w:hint="eastAsia" w:ascii="黑体" w:hAnsi="Times New Roman" w:eastAsia="黑体" w:cs="黑体"/>
                <w:b/>
                <w:bCs/>
                <w:color w:val="auto"/>
                <w:szCs w:val="21"/>
                <w:highlight w:val="none"/>
              </w:rPr>
              <w:t>评审标准</w:t>
            </w:r>
          </w:p>
        </w:tc>
      </w:tr>
      <w:tr w14:paraId="5FC80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709" w:type="dxa"/>
            <w:vMerge w:val="restart"/>
            <w:vAlign w:val="center"/>
          </w:tcPr>
          <w:p w14:paraId="46BB2427">
            <w:pPr>
              <w:pageBreakBefore w:val="0"/>
              <w:kinsoku/>
              <w:wordWrap/>
              <w:overflowPunct/>
              <w:bidi w:val="0"/>
              <w:adjustRightIn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049" w:type="dxa"/>
            <w:vMerge w:val="restart"/>
            <w:vAlign w:val="center"/>
          </w:tcPr>
          <w:p w14:paraId="4F98269D">
            <w:pPr>
              <w:pageBreakBefore w:val="0"/>
              <w:kinsoku/>
              <w:wordWrap/>
              <w:overflowPunct/>
              <w:bidi w:val="0"/>
              <w:adjustRightIn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形式评审标准</w:t>
            </w:r>
          </w:p>
        </w:tc>
        <w:tc>
          <w:tcPr>
            <w:tcW w:w="1842" w:type="dxa"/>
            <w:vAlign w:val="center"/>
          </w:tcPr>
          <w:p w14:paraId="2BBC262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投标函签字盖章</w:t>
            </w:r>
          </w:p>
        </w:tc>
        <w:tc>
          <w:tcPr>
            <w:tcW w:w="6067" w:type="dxa"/>
            <w:vAlign w:val="center"/>
          </w:tcPr>
          <w:p w14:paraId="4DD0365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须按格式文件要求签字或盖章，否则经评委会一致认定</w:t>
            </w:r>
            <w:r>
              <w:rPr>
                <w:rFonts w:hint="eastAsia" w:ascii="宋体" w:hAnsi="宋体" w:eastAsia="宋体" w:cs="宋体"/>
                <w:color w:val="auto"/>
                <w:sz w:val="21"/>
                <w:szCs w:val="21"/>
                <w:highlight w:val="none"/>
                <w:lang w:val="en-US" w:eastAsia="zh-CN"/>
              </w:rPr>
              <w:t>后</w:t>
            </w:r>
            <w:r>
              <w:rPr>
                <w:rFonts w:hint="eastAsia" w:ascii="宋体" w:hAnsi="宋体" w:eastAsia="宋体" w:cs="宋体"/>
                <w:color w:val="auto"/>
                <w:sz w:val="21"/>
                <w:szCs w:val="21"/>
                <w:highlight w:val="none"/>
              </w:rPr>
              <w:t>, 按照无效投标处理。</w:t>
            </w:r>
          </w:p>
        </w:tc>
      </w:tr>
      <w:tr w14:paraId="2A662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trPr>
        <w:tc>
          <w:tcPr>
            <w:tcW w:w="709" w:type="dxa"/>
            <w:vMerge w:val="continue"/>
            <w:vAlign w:val="center"/>
          </w:tcPr>
          <w:p w14:paraId="68D41E70">
            <w:pPr>
              <w:pageBreakBefore w:val="0"/>
              <w:kinsoku/>
              <w:wordWrap/>
              <w:overflowPunct/>
              <w:bidi w:val="0"/>
              <w:adjustRightInd/>
              <w:spacing w:line="360" w:lineRule="exact"/>
              <w:jc w:val="center"/>
              <w:textAlignment w:val="auto"/>
              <w:rPr>
                <w:rFonts w:hint="eastAsia" w:ascii="宋体" w:hAnsi="宋体" w:eastAsia="宋体" w:cs="宋体"/>
                <w:color w:val="auto"/>
                <w:sz w:val="21"/>
                <w:szCs w:val="21"/>
                <w:highlight w:val="none"/>
              </w:rPr>
            </w:pPr>
          </w:p>
        </w:tc>
        <w:tc>
          <w:tcPr>
            <w:tcW w:w="1049" w:type="dxa"/>
            <w:vMerge w:val="continue"/>
            <w:vAlign w:val="center"/>
          </w:tcPr>
          <w:p w14:paraId="5EB6DDCA">
            <w:pPr>
              <w:pageBreakBefore w:val="0"/>
              <w:kinsoku/>
              <w:wordWrap/>
              <w:overflowPunct/>
              <w:bidi w:val="0"/>
              <w:adjustRightInd/>
              <w:spacing w:line="360" w:lineRule="exact"/>
              <w:jc w:val="center"/>
              <w:textAlignment w:val="auto"/>
              <w:rPr>
                <w:rFonts w:hint="eastAsia" w:ascii="宋体" w:hAnsi="宋体" w:eastAsia="宋体" w:cs="宋体"/>
                <w:color w:val="auto"/>
                <w:sz w:val="21"/>
                <w:szCs w:val="21"/>
                <w:highlight w:val="none"/>
              </w:rPr>
            </w:pPr>
          </w:p>
        </w:tc>
        <w:tc>
          <w:tcPr>
            <w:tcW w:w="1842" w:type="dxa"/>
            <w:vAlign w:val="center"/>
          </w:tcPr>
          <w:p w14:paraId="35F2077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投标文件格式</w:t>
            </w:r>
          </w:p>
        </w:tc>
        <w:tc>
          <w:tcPr>
            <w:tcW w:w="6067" w:type="dxa"/>
            <w:vAlign w:val="center"/>
          </w:tcPr>
          <w:p w14:paraId="2DA2E22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符合“投标文件格式”的要求，否则经评委会一致认定</w:t>
            </w:r>
            <w:r>
              <w:rPr>
                <w:rFonts w:hint="eastAsia" w:ascii="宋体" w:hAnsi="宋体" w:eastAsia="宋体" w:cs="宋体"/>
                <w:color w:val="auto"/>
                <w:sz w:val="21"/>
                <w:szCs w:val="21"/>
                <w:highlight w:val="none"/>
                <w:lang w:val="en-US" w:eastAsia="zh-CN"/>
              </w:rPr>
              <w:t>后</w:t>
            </w:r>
            <w:r>
              <w:rPr>
                <w:rFonts w:hint="eastAsia" w:ascii="宋体" w:hAnsi="宋体" w:eastAsia="宋体" w:cs="宋体"/>
                <w:color w:val="auto"/>
                <w:sz w:val="21"/>
                <w:szCs w:val="21"/>
                <w:highlight w:val="none"/>
              </w:rPr>
              <w:t>,按照无效投标处理.</w:t>
            </w:r>
          </w:p>
        </w:tc>
      </w:tr>
      <w:tr w14:paraId="0D485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709" w:type="dxa"/>
            <w:vMerge w:val="continue"/>
            <w:vAlign w:val="center"/>
          </w:tcPr>
          <w:p w14:paraId="0F6B7664">
            <w:pPr>
              <w:pageBreakBefore w:val="0"/>
              <w:kinsoku/>
              <w:wordWrap/>
              <w:overflowPunct/>
              <w:bidi w:val="0"/>
              <w:adjustRightInd/>
              <w:spacing w:line="360" w:lineRule="exact"/>
              <w:jc w:val="center"/>
              <w:textAlignment w:val="auto"/>
              <w:rPr>
                <w:rFonts w:hint="eastAsia" w:ascii="宋体" w:hAnsi="宋体" w:eastAsia="宋体" w:cs="宋体"/>
                <w:color w:val="auto"/>
                <w:sz w:val="21"/>
                <w:szCs w:val="21"/>
                <w:highlight w:val="none"/>
              </w:rPr>
            </w:pPr>
          </w:p>
        </w:tc>
        <w:tc>
          <w:tcPr>
            <w:tcW w:w="1049" w:type="dxa"/>
            <w:vMerge w:val="continue"/>
            <w:vAlign w:val="center"/>
          </w:tcPr>
          <w:p w14:paraId="2D64B556">
            <w:pPr>
              <w:pageBreakBefore w:val="0"/>
              <w:kinsoku/>
              <w:wordWrap/>
              <w:overflowPunct/>
              <w:bidi w:val="0"/>
              <w:adjustRightInd/>
              <w:spacing w:line="360" w:lineRule="exact"/>
              <w:jc w:val="center"/>
              <w:textAlignment w:val="auto"/>
              <w:rPr>
                <w:rFonts w:hint="eastAsia" w:ascii="宋体" w:hAnsi="宋体" w:eastAsia="宋体" w:cs="宋体"/>
                <w:color w:val="auto"/>
                <w:sz w:val="21"/>
                <w:szCs w:val="21"/>
                <w:highlight w:val="none"/>
              </w:rPr>
            </w:pPr>
          </w:p>
        </w:tc>
        <w:tc>
          <w:tcPr>
            <w:tcW w:w="1842" w:type="dxa"/>
            <w:vAlign w:val="center"/>
          </w:tcPr>
          <w:p w14:paraId="369A3E7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报价唯一</w:t>
            </w:r>
          </w:p>
        </w:tc>
        <w:tc>
          <w:tcPr>
            <w:tcW w:w="6067" w:type="dxa"/>
            <w:vAlign w:val="center"/>
          </w:tcPr>
          <w:p w14:paraId="0E620C5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只能有一个报价，否则按无效标处理</w:t>
            </w:r>
          </w:p>
        </w:tc>
      </w:tr>
      <w:tr w14:paraId="506BF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709" w:type="dxa"/>
            <w:vMerge w:val="continue"/>
            <w:vAlign w:val="center"/>
          </w:tcPr>
          <w:p w14:paraId="37040A36">
            <w:pPr>
              <w:pageBreakBefore w:val="0"/>
              <w:kinsoku/>
              <w:wordWrap/>
              <w:overflowPunct/>
              <w:bidi w:val="0"/>
              <w:adjustRightInd/>
              <w:spacing w:line="360" w:lineRule="exact"/>
              <w:jc w:val="center"/>
              <w:textAlignment w:val="auto"/>
              <w:rPr>
                <w:rFonts w:hint="eastAsia" w:ascii="宋体" w:hAnsi="宋体" w:eastAsia="宋体" w:cs="宋体"/>
                <w:color w:val="auto"/>
                <w:sz w:val="21"/>
                <w:szCs w:val="21"/>
                <w:highlight w:val="none"/>
              </w:rPr>
            </w:pPr>
          </w:p>
        </w:tc>
        <w:tc>
          <w:tcPr>
            <w:tcW w:w="1049" w:type="dxa"/>
            <w:vMerge w:val="continue"/>
            <w:vAlign w:val="center"/>
          </w:tcPr>
          <w:p w14:paraId="025AADEE">
            <w:pPr>
              <w:pageBreakBefore w:val="0"/>
              <w:kinsoku/>
              <w:wordWrap/>
              <w:overflowPunct/>
              <w:bidi w:val="0"/>
              <w:adjustRightInd/>
              <w:spacing w:line="360" w:lineRule="exact"/>
              <w:jc w:val="center"/>
              <w:textAlignment w:val="auto"/>
              <w:rPr>
                <w:rFonts w:hint="eastAsia" w:ascii="宋体" w:hAnsi="宋体" w:eastAsia="宋体" w:cs="宋体"/>
                <w:color w:val="auto"/>
                <w:sz w:val="21"/>
                <w:szCs w:val="21"/>
                <w:highlight w:val="none"/>
              </w:rPr>
            </w:pPr>
          </w:p>
        </w:tc>
        <w:tc>
          <w:tcPr>
            <w:tcW w:w="1842" w:type="dxa"/>
            <w:vAlign w:val="center"/>
          </w:tcPr>
          <w:p w14:paraId="7CFA880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投标函的报价</w:t>
            </w:r>
          </w:p>
        </w:tc>
        <w:tc>
          <w:tcPr>
            <w:tcW w:w="6067" w:type="dxa"/>
            <w:vAlign w:val="center"/>
          </w:tcPr>
          <w:p w14:paraId="7E1DB2D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不高于最高限价</w:t>
            </w:r>
          </w:p>
        </w:tc>
      </w:tr>
      <w:tr w14:paraId="78A9E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709" w:type="dxa"/>
            <w:vAlign w:val="center"/>
          </w:tcPr>
          <w:p w14:paraId="69CF0CD0">
            <w:pPr>
              <w:pageBreakBefore w:val="0"/>
              <w:kinsoku/>
              <w:wordWrap/>
              <w:overflowPunct/>
              <w:bidi w:val="0"/>
              <w:adjustRightInd/>
              <w:spacing w:line="36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p>
        </w:tc>
        <w:tc>
          <w:tcPr>
            <w:tcW w:w="1049" w:type="dxa"/>
            <w:vAlign w:val="center"/>
          </w:tcPr>
          <w:p w14:paraId="038F4360">
            <w:pPr>
              <w:pageBreakBefore w:val="0"/>
              <w:kinsoku/>
              <w:wordWrap/>
              <w:overflowPunct/>
              <w:bidi w:val="0"/>
              <w:adjustRightIn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投标报价评分</w:t>
            </w:r>
          </w:p>
          <w:p w14:paraId="4F8F8467">
            <w:pPr>
              <w:pageBreakBefore w:val="0"/>
              <w:kinsoku/>
              <w:wordWrap/>
              <w:overflowPunct/>
              <w:bidi w:val="0"/>
              <w:adjustRightIn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100</w:t>
            </w:r>
            <w:r>
              <w:rPr>
                <w:rFonts w:hint="eastAsia" w:ascii="宋体" w:hAnsi="宋体" w:eastAsia="宋体" w:cs="宋体"/>
                <w:color w:val="auto"/>
                <w:sz w:val="21"/>
                <w:szCs w:val="21"/>
                <w:highlight w:val="none"/>
              </w:rPr>
              <w:t>分）</w:t>
            </w:r>
          </w:p>
        </w:tc>
        <w:tc>
          <w:tcPr>
            <w:tcW w:w="7909" w:type="dxa"/>
            <w:gridSpan w:val="2"/>
            <w:vAlign w:val="center"/>
          </w:tcPr>
          <w:p w14:paraId="4B9CB1FF">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eastAsia="宋体"/>
                <w:color w:val="auto"/>
                <w:sz w:val="21"/>
                <w:szCs w:val="21"/>
                <w:highlight w:val="none"/>
                <w:lang w:eastAsia="zh-CN"/>
              </w:rPr>
            </w:pPr>
            <w:r>
              <w:rPr>
                <w:rFonts w:ascii="宋体" w:hAnsi="宋体" w:cs="宋体"/>
                <w:color w:val="auto"/>
                <w:sz w:val="21"/>
                <w:szCs w:val="21"/>
                <w:highlight w:val="none"/>
              </w:rPr>
              <w:t>1</w:t>
            </w:r>
            <w:r>
              <w:rPr>
                <w:rFonts w:hint="eastAsia" w:ascii="宋体" w:hAnsi="宋体" w:cs="宋体"/>
                <w:color w:val="auto"/>
                <w:sz w:val="21"/>
                <w:szCs w:val="21"/>
                <w:highlight w:val="none"/>
              </w:rPr>
              <w:t>、招标人设置投标报价最高限价，各投标人有效报价不得高于最高限价，否则，其投标文件按无效标处理。</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投标报价不可以填报0或负数，否则按无效标处理</w:t>
            </w:r>
            <w:r>
              <w:rPr>
                <w:rFonts w:hint="eastAsia" w:ascii="宋体" w:hAnsi="宋体" w:cs="宋体"/>
                <w:color w:val="auto"/>
                <w:sz w:val="21"/>
                <w:szCs w:val="21"/>
                <w:highlight w:val="none"/>
                <w:lang w:eastAsia="zh-CN"/>
              </w:rPr>
              <w:t>）</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以基本费率作为评审价格</w:t>
            </w:r>
            <w:r>
              <w:rPr>
                <w:rFonts w:hint="eastAsia" w:ascii="宋体" w:hAnsi="宋体" w:eastAsia="宋体" w:cs="宋体"/>
                <w:b/>
                <w:bCs/>
                <w:color w:val="auto"/>
                <w:sz w:val="21"/>
                <w:szCs w:val="21"/>
                <w:highlight w:val="none"/>
                <w:lang w:eastAsia="zh-CN"/>
              </w:rPr>
              <w:t>）</w:t>
            </w:r>
          </w:p>
          <w:p w14:paraId="4CF931AD">
            <w:pPr>
              <w:keepNext w:val="0"/>
              <w:keepLines w:val="0"/>
              <w:pageBreakBefore w:val="0"/>
              <w:widowControl w:val="0"/>
              <w:tabs>
                <w:tab w:val="left" w:pos="1080"/>
              </w:tabs>
              <w:kinsoku/>
              <w:wordWrap/>
              <w:overflowPunct/>
              <w:topLinePunct w:val="0"/>
              <w:autoSpaceDE/>
              <w:autoSpaceDN/>
              <w:bidi w:val="0"/>
              <w:adjustRightInd/>
              <w:snapToGrid/>
              <w:spacing w:line="360" w:lineRule="exact"/>
              <w:ind w:right="105"/>
              <w:textAlignment w:val="auto"/>
              <w:rPr>
                <w:rFonts w:hint="eastAsia" w:ascii="宋体" w:hAnsi="宋体" w:eastAsia="宋体" w:cs="宋体"/>
                <w:color w:val="auto"/>
                <w:sz w:val="21"/>
                <w:szCs w:val="21"/>
                <w:highlight w:val="none"/>
                <w:lang w:eastAsia="zh-CN"/>
              </w:rPr>
            </w:pPr>
            <w:r>
              <w:rPr>
                <w:rFonts w:ascii="宋体" w:hAnsi="宋体" w:cs="宋体"/>
                <w:color w:val="auto"/>
                <w:sz w:val="21"/>
                <w:szCs w:val="21"/>
                <w:highlight w:val="none"/>
              </w:rPr>
              <w:t>2</w:t>
            </w:r>
            <w:r>
              <w:rPr>
                <w:rFonts w:hint="eastAsia" w:ascii="宋体" w:hAnsi="宋体" w:cs="宋体"/>
                <w:color w:val="auto"/>
                <w:sz w:val="21"/>
                <w:szCs w:val="21"/>
                <w:highlight w:val="none"/>
              </w:rPr>
              <w:t>、评标基准值为所有投标人投标报价的算术平均值</w:t>
            </w:r>
            <w:r>
              <w:rPr>
                <w:rFonts w:hint="eastAsia" w:ascii="宋体" w:hAnsi="宋体" w:cs="宋体"/>
                <w:color w:val="auto"/>
                <w:sz w:val="21"/>
                <w:szCs w:val="21"/>
                <w:highlight w:val="none"/>
                <w:lang w:eastAsia="zh-CN"/>
              </w:rPr>
              <w:t>。</w:t>
            </w:r>
          </w:p>
          <w:p w14:paraId="72384CDC">
            <w:pPr>
              <w:keepNext w:val="0"/>
              <w:keepLines w:val="0"/>
              <w:pageBreakBefore w:val="0"/>
              <w:widowControl w:val="0"/>
              <w:kinsoku/>
              <w:wordWrap/>
              <w:overflowPunct/>
              <w:topLinePunct w:val="0"/>
              <w:autoSpaceDE/>
              <w:autoSpaceDN/>
              <w:bidi w:val="0"/>
              <w:adjustRightInd/>
              <w:snapToGrid/>
              <w:spacing w:line="360" w:lineRule="exact"/>
              <w:textAlignment w:val="auto"/>
              <w:rPr>
                <w:rFonts w:ascii="宋体"/>
                <w:color w:val="auto"/>
                <w:sz w:val="21"/>
                <w:szCs w:val="21"/>
                <w:highlight w:val="none"/>
              </w:rPr>
            </w:pPr>
            <w:r>
              <w:rPr>
                <w:rFonts w:ascii="宋体" w:hAnsi="宋体" w:cs="宋体"/>
                <w:color w:val="auto"/>
                <w:sz w:val="21"/>
                <w:szCs w:val="21"/>
                <w:highlight w:val="none"/>
              </w:rPr>
              <w:t>3</w:t>
            </w:r>
            <w:r>
              <w:rPr>
                <w:rFonts w:hint="eastAsia" w:ascii="宋体" w:hAnsi="宋体" w:cs="宋体"/>
                <w:color w:val="auto"/>
                <w:sz w:val="21"/>
                <w:szCs w:val="21"/>
                <w:highlight w:val="none"/>
              </w:rPr>
              <w:t>、各投标人的投标总报价与评标基准值相比，相同的得100分，每高1个点扣1.0分，每低1个点扣0.5分；不足1个点的按插入法计算。</w:t>
            </w:r>
          </w:p>
          <w:p w14:paraId="6741A1B6">
            <w:pPr>
              <w:keepNext w:val="0"/>
              <w:keepLines w:val="0"/>
              <w:pageBreakBefore w:val="0"/>
              <w:widowControl w:val="0"/>
              <w:kinsoku/>
              <w:wordWrap/>
              <w:overflowPunct/>
              <w:topLinePunct w:val="0"/>
              <w:autoSpaceDE/>
              <w:autoSpaceDN/>
              <w:bidi w:val="0"/>
              <w:adjustRightInd/>
              <w:snapToGrid/>
              <w:spacing w:line="360" w:lineRule="exact"/>
              <w:textAlignment w:val="auto"/>
              <w:rPr>
                <w:rFonts w:ascii="宋体"/>
                <w:color w:val="auto"/>
                <w:sz w:val="21"/>
                <w:szCs w:val="21"/>
                <w:highlight w:val="none"/>
              </w:rPr>
            </w:pPr>
            <w:r>
              <w:rPr>
                <w:rFonts w:ascii="宋体" w:hAnsi="宋体" w:cs="宋体"/>
                <w:color w:val="auto"/>
                <w:sz w:val="21"/>
                <w:szCs w:val="21"/>
                <w:highlight w:val="none"/>
              </w:rPr>
              <w:t>4</w:t>
            </w:r>
            <w:r>
              <w:rPr>
                <w:rFonts w:hint="eastAsia" w:ascii="宋体" w:hAnsi="宋体" w:cs="宋体"/>
                <w:color w:val="auto"/>
                <w:sz w:val="21"/>
                <w:szCs w:val="21"/>
                <w:highlight w:val="none"/>
              </w:rPr>
              <w:t>、本项分值由招标代理机构计算，评标委员会复核。</w:t>
            </w:r>
          </w:p>
          <w:p w14:paraId="4561AEBB">
            <w:pPr>
              <w:keepNext w:val="0"/>
              <w:keepLines w:val="0"/>
              <w:pageBreakBefore w:val="0"/>
              <w:widowControl w:val="0"/>
              <w:kinsoku/>
              <w:wordWrap/>
              <w:overflowPunct/>
              <w:topLinePunct w:val="0"/>
              <w:autoSpaceDE/>
              <w:autoSpaceDN/>
              <w:bidi w:val="0"/>
              <w:adjustRightInd/>
              <w:snapToGrid/>
              <w:spacing w:line="360" w:lineRule="exact"/>
              <w:textAlignment w:val="auto"/>
              <w:rPr>
                <w:rFonts w:ascii="宋体"/>
                <w:color w:val="auto"/>
                <w:sz w:val="21"/>
                <w:szCs w:val="21"/>
                <w:highlight w:val="none"/>
              </w:rPr>
            </w:pPr>
            <w:r>
              <w:rPr>
                <w:rFonts w:ascii="宋体" w:hAnsi="宋体" w:cs="宋体"/>
                <w:color w:val="auto"/>
                <w:sz w:val="21"/>
                <w:szCs w:val="21"/>
                <w:highlight w:val="none"/>
              </w:rPr>
              <w:t>5</w:t>
            </w:r>
            <w:r>
              <w:rPr>
                <w:rFonts w:hint="eastAsia" w:ascii="宋体" w:hAnsi="宋体" w:cs="宋体"/>
                <w:color w:val="auto"/>
                <w:sz w:val="21"/>
                <w:szCs w:val="21"/>
                <w:highlight w:val="none"/>
              </w:rPr>
              <w:t>、评分计算示例：假设评标基准值为</w:t>
            </w:r>
            <w:r>
              <w:rPr>
                <w:rFonts w:hint="eastAsia" w:ascii="宋体" w:hAnsi="宋体" w:cs="宋体"/>
                <w:color w:val="auto"/>
                <w:sz w:val="21"/>
                <w:szCs w:val="21"/>
                <w:highlight w:val="none"/>
                <w:lang w:val="en-US" w:eastAsia="zh-CN"/>
              </w:rPr>
              <w:t>1.12‰</w:t>
            </w:r>
            <w:r>
              <w:rPr>
                <w:rFonts w:hint="eastAsia" w:ascii="宋体" w:hAnsi="宋体" w:cs="宋体"/>
                <w:color w:val="auto"/>
                <w:sz w:val="21"/>
                <w:szCs w:val="21"/>
                <w:highlight w:val="none"/>
              </w:rPr>
              <w:t>，投标人甲的报价为</w:t>
            </w:r>
            <w:r>
              <w:rPr>
                <w:rFonts w:hint="eastAsia" w:ascii="宋体" w:hAnsi="宋体" w:cs="宋体"/>
                <w:color w:val="auto"/>
                <w:sz w:val="21"/>
                <w:szCs w:val="21"/>
                <w:highlight w:val="none"/>
                <w:lang w:val="en-US" w:eastAsia="zh-CN"/>
              </w:rPr>
              <w:t>1.28‰</w:t>
            </w:r>
            <w:r>
              <w:rPr>
                <w:rFonts w:hint="eastAsia" w:ascii="宋体" w:hAnsi="宋体" w:cs="宋体"/>
                <w:color w:val="auto"/>
                <w:sz w:val="21"/>
                <w:szCs w:val="21"/>
                <w:highlight w:val="none"/>
              </w:rPr>
              <w:t>、投标人乙的报价为</w:t>
            </w:r>
            <w:r>
              <w:rPr>
                <w:rFonts w:hint="eastAsia" w:ascii="宋体" w:hAnsi="宋体" w:cs="宋体"/>
                <w:color w:val="auto"/>
                <w:sz w:val="21"/>
                <w:szCs w:val="21"/>
                <w:highlight w:val="none"/>
                <w:lang w:val="en-US" w:eastAsia="zh-CN"/>
              </w:rPr>
              <w:t>0.98‰</w:t>
            </w:r>
            <w:r>
              <w:rPr>
                <w:rFonts w:hint="eastAsia" w:ascii="宋体" w:hAnsi="宋体" w:cs="宋体"/>
                <w:color w:val="auto"/>
                <w:sz w:val="21"/>
                <w:szCs w:val="21"/>
                <w:highlight w:val="none"/>
              </w:rPr>
              <w:t>、投标人丙的报价为</w:t>
            </w:r>
            <w:r>
              <w:rPr>
                <w:rFonts w:hint="eastAsia" w:ascii="宋体" w:hAnsi="宋体" w:cs="宋体"/>
                <w:color w:val="auto"/>
                <w:sz w:val="21"/>
                <w:szCs w:val="21"/>
                <w:highlight w:val="none"/>
                <w:lang w:val="en-US" w:eastAsia="zh-CN"/>
              </w:rPr>
              <w:t>1.12‰</w:t>
            </w:r>
            <w:r>
              <w:rPr>
                <w:rFonts w:hint="eastAsia" w:ascii="宋体" w:hAnsi="宋体" w:cs="宋体"/>
                <w:color w:val="auto"/>
                <w:sz w:val="21"/>
                <w:szCs w:val="21"/>
                <w:highlight w:val="none"/>
              </w:rPr>
              <w:t>，计算各投标人得分如下：</w:t>
            </w:r>
          </w:p>
          <w:p w14:paraId="010D053F">
            <w:pPr>
              <w:keepNext w:val="0"/>
              <w:keepLines w:val="0"/>
              <w:pageBreakBefore w:val="0"/>
              <w:widowControl w:val="0"/>
              <w:kinsoku/>
              <w:wordWrap/>
              <w:overflowPunct/>
              <w:topLinePunct w:val="0"/>
              <w:autoSpaceDE/>
              <w:autoSpaceDN/>
              <w:bidi w:val="0"/>
              <w:adjustRightInd/>
              <w:snapToGrid/>
              <w:spacing w:line="360" w:lineRule="exact"/>
              <w:textAlignment w:val="auto"/>
              <w:rPr>
                <w:rFonts w:ascii="宋体"/>
                <w:color w:val="auto"/>
                <w:sz w:val="21"/>
                <w:szCs w:val="21"/>
                <w:highlight w:val="none"/>
              </w:rPr>
            </w:pPr>
            <w:r>
              <w:rPr>
                <w:rFonts w:hint="eastAsia" w:ascii="宋体" w:hAnsi="宋体" w:cs="宋体"/>
                <w:color w:val="auto"/>
                <w:sz w:val="21"/>
                <w:szCs w:val="21"/>
                <w:highlight w:val="none"/>
              </w:rPr>
              <w:t>投标人甲：</w:t>
            </w:r>
            <w:r>
              <w:rPr>
                <w:rFonts w:hint="eastAsia" w:ascii="宋体" w:hAnsi="宋体" w:cs="宋体"/>
                <w:color w:val="auto"/>
                <w:sz w:val="21"/>
                <w:szCs w:val="21"/>
                <w:highlight w:val="none"/>
                <w:lang w:val="en-US" w:eastAsia="zh-CN"/>
              </w:rPr>
              <w:t>1.28</w:t>
            </w:r>
            <w:r>
              <w:rPr>
                <w:rFonts w:ascii="宋体" w:cs="宋体"/>
                <w:color w:val="auto"/>
                <w:sz w:val="21"/>
                <w:szCs w:val="21"/>
                <w:highlight w:val="none"/>
              </w:rPr>
              <w:t>-</w:t>
            </w:r>
            <w:r>
              <w:rPr>
                <w:rFonts w:hint="eastAsia" w:ascii="宋体" w:hAnsi="宋体" w:cs="宋体"/>
                <w:color w:val="auto"/>
                <w:sz w:val="21"/>
                <w:szCs w:val="21"/>
                <w:highlight w:val="none"/>
                <w:lang w:val="en-US" w:eastAsia="zh-CN"/>
              </w:rPr>
              <w:t>1.12</w:t>
            </w:r>
            <w:r>
              <w:rPr>
                <w:rFonts w:ascii="宋体" w:hAnsi="宋体" w:cs="宋体"/>
                <w:color w:val="auto"/>
                <w:sz w:val="21"/>
                <w:szCs w:val="21"/>
                <w:highlight w:val="none"/>
              </w:rPr>
              <w:t>=</w:t>
            </w:r>
            <w:r>
              <w:rPr>
                <w:rFonts w:hint="eastAsia" w:ascii="宋体" w:hAnsi="宋体" w:cs="宋体"/>
                <w:color w:val="auto"/>
                <w:sz w:val="21"/>
                <w:szCs w:val="21"/>
                <w:highlight w:val="none"/>
                <w:lang w:val="en-US" w:eastAsia="zh-CN"/>
              </w:rPr>
              <w:t>0.16</w:t>
            </w:r>
            <w:r>
              <w:rPr>
                <w:rFonts w:hint="eastAsia" w:ascii="宋体" w:hAnsi="宋体" w:cs="宋体"/>
                <w:color w:val="auto"/>
                <w:sz w:val="21"/>
                <w:szCs w:val="21"/>
                <w:highlight w:val="none"/>
              </w:rPr>
              <w:t>，得分</w:t>
            </w:r>
            <w:r>
              <w:rPr>
                <w:rFonts w:ascii="宋体" w:hAnsi="宋体" w:cs="宋体"/>
                <w:color w:val="auto"/>
                <w:sz w:val="21"/>
                <w:szCs w:val="21"/>
                <w:highlight w:val="none"/>
              </w:rPr>
              <w:t>=</w:t>
            </w:r>
            <w:r>
              <w:rPr>
                <w:rFonts w:hint="eastAsia" w:ascii="宋体" w:hAnsi="宋体" w:cs="宋体"/>
                <w:color w:val="auto"/>
                <w:sz w:val="21"/>
                <w:szCs w:val="21"/>
                <w:highlight w:val="none"/>
                <w:lang w:val="en-US" w:eastAsia="zh-CN"/>
              </w:rPr>
              <w:t>100</w:t>
            </w: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eastAsia="zh-CN"/>
              </w:rPr>
              <w:t>0.16*1.0</w:t>
            </w:r>
            <w:r>
              <w:rPr>
                <w:rFonts w:ascii="宋体" w:hAnsi="宋体" w:cs="宋体"/>
                <w:color w:val="auto"/>
                <w:sz w:val="21"/>
                <w:szCs w:val="21"/>
                <w:highlight w:val="none"/>
              </w:rPr>
              <w:t>=</w:t>
            </w:r>
            <w:r>
              <w:rPr>
                <w:rFonts w:hint="eastAsia" w:ascii="宋体" w:hAnsi="宋体" w:cs="宋体"/>
                <w:color w:val="auto"/>
                <w:sz w:val="21"/>
                <w:szCs w:val="21"/>
                <w:highlight w:val="none"/>
                <w:lang w:val="en-US" w:eastAsia="zh-CN"/>
              </w:rPr>
              <w:t>99.84</w:t>
            </w:r>
            <w:r>
              <w:rPr>
                <w:rFonts w:hint="eastAsia" w:ascii="宋体" w:hAnsi="宋体" w:cs="宋体"/>
                <w:color w:val="auto"/>
                <w:sz w:val="21"/>
                <w:szCs w:val="21"/>
                <w:highlight w:val="none"/>
              </w:rPr>
              <w:t>；</w:t>
            </w:r>
          </w:p>
          <w:p w14:paraId="560EF8EF">
            <w:pPr>
              <w:keepNext w:val="0"/>
              <w:keepLines w:val="0"/>
              <w:pageBreakBefore w:val="0"/>
              <w:widowControl w:val="0"/>
              <w:kinsoku/>
              <w:wordWrap/>
              <w:overflowPunct/>
              <w:topLinePunct w:val="0"/>
              <w:autoSpaceDE/>
              <w:autoSpaceDN/>
              <w:bidi w:val="0"/>
              <w:adjustRightInd/>
              <w:snapToGrid/>
              <w:spacing w:line="360" w:lineRule="exact"/>
              <w:textAlignment w:val="auto"/>
              <w:rPr>
                <w:rFonts w:ascii="宋体"/>
                <w:color w:val="auto"/>
                <w:sz w:val="21"/>
                <w:szCs w:val="21"/>
                <w:highlight w:val="none"/>
              </w:rPr>
            </w:pPr>
            <w:r>
              <w:rPr>
                <w:rFonts w:hint="eastAsia" w:ascii="宋体" w:hAnsi="宋体" w:cs="宋体"/>
                <w:color w:val="auto"/>
                <w:sz w:val="21"/>
                <w:szCs w:val="21"/>
                <w:highlight w:val="none"/>
              </w:rPr>
              <w:t>投标人乙：</w:t>
            </w:r>
            <w:r>
              <w:rPr>
                <w:rFonts w:hint="eastAsia" w:ascii="宋体" w:hAnsi="宋体" w:cs="宋体"/>
                <w:color w:val="auto"/>
                <w:sz w:val="21"/>
                <w:szCs w:val="21"/>
                <w:highlight w:val="none"/>
                <w:lang w:val="en-US" w:eastAsia="zh-CN"/>
              </w:rPr>
              <w:t>0.98-1.12</w:t>
            </w:r>
            <w:r>
              <w:rPr>
                <w:rFonts w:ascii="宋体" w:hAnsi="宋体" w:cs="宋体"/>
                <w:color w:val="auto"/>
                <w:sz w:val="21"/>
                <w:szCs w:val="21"/>
                <w:highlight w:val="none"/>
              </w:rPr>
              <w:t>=</w:t>
            </w:r>
            <w:r>
              <w:rPr>
                <w:rFonts w:hint="eastAsia" w:ascii="宋体" w:hAnsi="宋体" w:cs="宋体"/>
                <w:color w:val="auto"/>
                <w:sz w:val="21"/>
                <w:szCs w:val="21"/>
                <w:highlight w:val="none"/>
                <w:lang w:val="en-US" w:eastAsia="zh-CN"/>
              </w:rPr>
              <w:t>-0.14</w:t>
            </w:r>
            <w:r>
              <w:rPr>
                <w:rFonts w:hint="eastAsia" w:ascii="宋体" w:hAnsi="宋体" w:cs="宋体"/>
                <w:color w:val="auto"/>
                <w:sz w:val="21"/>
                <w:szCs w:val="21"/>
                <w:highlight w:val="none"/>
              </w:rPr>
              <w:t>，得分</w:t>
            </w:r>
            <w:r>
              <w:rPr>
                <w:rFonts w:ascii="宋体" w:hAnsi="宋体" w:cs="宋体"/>
                <w:color w:val="auto"/>
                <w:sz w:val="21"/>
                <w:szCs w:val="21"/>
                <w:highlight w:val="none"/>
              </w:rPr>
              <w:t>=</w:t>
            </w:r>
            <w:r>
              <w:rPr>
                <w:rFonts w:hint="eastAsia" w:ascii="宋体" w:hAnsi="宋体" w:cs="宋体"/>
                <w:color w:val="auto"/>
                <w:sz w:val="21"/>
                <w:szCs w:val="21"/>
                <w:highlight w:val="none"/>
                <w:lang w:val="en-US" w:eastAsia="zh-CN"/>
              </w:rPr>
              <w:t>100-0.14*0.5=99.93</w:t>
            </w:r>
            <w:r>
              <w:rPr>
                <w:rFonts w:hint="eastAsia" w:ascii="宋体" w:hAnsi="宋体" w:cs="宋体"/>
                <w:color w:val="auto"/>
                <w:sz w:val="21"/>
                <w:szCs w:val="21"/>
                <w:highlight w:val="none"/>
              </w:rPr>
              <w:t>；</w:t>
            </w:r>
          </w:p>
          <w:p w14:paraId="25EEC41E">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投标人丙：</w:t>
            </w:r>
            <w:r>
              <w:rPr>
                <w:rFonts w:hint="eastAsia" w:ascii="宋体" w:hAnsi="宋体" w:cs="宋体"/>
                <w:color w:val="auto"/>
                <w:sz w:val="21"/>
                <w:szCs w:val="21"/>
                <w:highlight w:val="none"/>
                <w:lang w:val="en-US" w:eastAsia="zh-CN"/>
              </w:rPr>
              <w:t>1.12-1.12</w:t>
            </w:r>
            <w:r>
              <w:rPr>
                <w:rFonts w:ascii="宋体" w:hAnsi="宋体" w:cs="宋体"/>
                <w:color w:val="auto"/>
                <w:sz w:val="21"/>
                <w:szCs w:val="21"/>
                <w:highlight w:val="none"/>
              </w:rPr>
              <w:t>=</w:t>
            </w:r>
            <w:r>
              <w:rPr>
                <w:rFonts w:hint="eastAsia" w:ascii="宋体" w:hAnsi="宋体" w:cs="宋体"/>
                <w:color w:val="auto"/>
                <w:sz w:val="21"/>
                <w:szCs w:val="21"/>
                <w:highlight w:val="none"/>
                <w:lang w:val="en-US" w:eastAsia="zh-CN"/>
              </w:rPr>
              <w:t>0</w:t>
            </w:r>
            <w:r>
              <w:rPr>
                <w:rFonts w:hint="eastAsia" w:ascii="宋体" w:hAnsi="宋体" w:cs="宋体"/>
                <w:color w:val="auto"/>
                <w:sz w:val="21"/>
                <w:szCs w:val="21"/>
                <w:highlight w:val="none"/>
              </w:rPr>
              <w:t>，得分</w:t>
            </w:r>
            <w:r>
              <w:rPr>
                <w:rFonts w:ascii="宋体" w:hAnsi="宋体" w:cs="宋体"/>
                <w:color w:val="auto"/>
                <w:sz w:val="21"/>
                <w:szCs w:val="21"/>
                <w:highlight w:val="none"/>
              </w:rPr>
              <w:t>=</w:t>
            </w:r>
            <w:r>
              <w:rPr>
                <w:rFonts w:hint="eastAsia" w:ascii="宋体" w:hAnsi="宋体" w:cs="宋体"/>
                <w:color w:val="auto"/>
                <w:sz w:val="21"/>
                <w:szCs w:val="21"/>
                <w:highlight w:val="none"/>
                <w:lang w:val="en-US" w:eastAsia="zh-CN"/>
              </w:rPr>
              <w:t>100</w:t>
            </w:r>
            <w:r>
              <w:rPr>
                <w:rFonts w:hint="eastAsia" w:ascii="宋体" w:hAnsi="宋体" w:cs="宋体"/>
                <w:color w:val="auto"/>
                <w:sz w:val="21"/>
                <w:szCs w:val="21"/>
                <w:highlight w:val="none"/>
              </w:rPr>
              <w:t>。</w:t>
            </w:r>
          </w:p>
          <w:p w14:paraId="4482D69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color w:val="auto"/>
                <w:highlight w:val="none"/>
              </w:rPr>
            </w:pPr>
            <w:r>
              <w:rPr>
                <w:rFonts w:hint="eastAsia" w:ascii="宋体" w:hAnsi="宋体" w:eastAsia="宋体" w:cs="宋体"/>
                <w:b/>
                <w:bCs/>
                <w:color w:val="auto"/>
                <w:kern w:val="2"/>
                <w:sz w:val="21"/>
                <w:szCs w:val="21"/>
                <w:highlight w:val="none"/>
                <w:lang w:val="en-US" w:eastAsia="zh-CN" w:bidi="ar-SA"/>
              </w:rPr>
              <w:t>注：计算过程中，评标基准值、偏差率、报价得分均保留两位小数，小数点后第三位四舍五入。</w:t>
            </w:r>
          </w:p>
        </w:tc>
      </w:tr>
    </w:tbl>
    <w:p w14:paraId="1DD67D2D">
      <w:pPr>
        <w:keepNext w:val="0"/>
        <w:keepLines w:val="0"/>
        <w:pageBreakBefore w:val="0"/>
        <w:widowControl w:val="0"/>
        <w:kinsoku/>
        <w:wordWrap/>
        <w:overflowPunct/>
        <w:topLinePunct w:val="0"/>
        <w:autoSpaceDE/>
        <w:autoSpaceDN/>
        <w:bidi w:val="0"/>
        <w:adjustRightInd/>
        <w:snapToGrid/>
        <w:spacing w:before="313" w:beforeLines="100" w:line="360" w:lineRule="exact"/>
        <w:jc w:val="center"/>
        <w:textAlignment w:val="auto"/>
        <w:outlineLvl w:val="1"/>
        <w:rPr>
          <w:rFonts w:hint="eastAsia" w:ascii="宋体" w:hAnsi="宋体" w:eastAsia="宋体" w:cs="宋体"/>
          <w:b/>
          <w:bCs/>
          <w:color w:val="auto"/>
          <w:sz w:val="24"/>
          <w:szCs w:val="24"/>
          <w:highlight w:val="none"/>
        </w:rPr>
      </w:pPr>
      <w:bookmarkStart w:id="63" w:name="_Toc20318"/>
      <w:r>
        <w:rPr>
          <w:rFonts w:hint="eastAsia" w:ascii="宋体" w:hAnsi="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推荐中标候选人</w:t>
      </w:r>
      <w:bookmarkEnd w:id="63"/>
    </w:p>
    <w:p w14:paraId="1BD855F9">
      <w:pPr>
        <w:pStyle w:val="44"/>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评标</w:t>
      </w:r>
      <w:r>
        <w:rPr>
          <w:rFonts w:hint="eastAsia" w:ascii="宋体" w:hAnsi="宋体" w:eastAsia="宋体" w:cs="宋体"/>
          <w:color w:val="auto"/>
          <w:sz w:val="21"/>
          <w:szCs w:val="21"/>
          <w:highlight w:val="none"/>
          <w:lang w:val="en-US" w:eastAsia="zh-CN"/>
        </w:rPr>
        <w:t>小组先</w:t>
      </w:r>
      <w:r>
        <w:rPr>
          <w:rFonts w:hint="eastAsia" w:ascii="宋体" w:hAnsi="宋体" w:cs="宋体"/>
          <w:color w:val="auto"/>
          <w:sz w:val="21"/>
          <w:szCs w:val="21"/>
          <w:highlight w:val="none"/>
          <w:lang w:val="en-US" w:eastAsia="zh-CN"/>
        </w:rPr>
        <w:t>按标段</w:t>
      </w:r>
      <w:r>
        <w:rPr>
          <w:rFonts w:hint="eastAsia" w:ascii="宋体" w:hAnsi="宋体" w:eastAsia="宋体" w:cs="宋体"/>
          <w:color w:val="auto"/>
          <w:sz w:val="21"/>
          <w:szCs w:val="21"/>
          <w:highlight w:val="none"/>
        </w:rPr>
        <w:t>对</w:t>
      </w:r>
      <w:r>
        <w:rPr>
          <w:rFonts w:hint="eastAsia" w:ascii="宋体" w:hAnsi="宋体" w:eastAsia="宋体" w:cs="宋体"/>
          <w:color w:val="auto"/>
          <w:sz w:val="21"/>
          <w:szCs w:val="21"/>
          <w:highlight w:val="none"/>
          <w:lang w:val="en-US" w:eastAsia="zh-CN"/>
        </w:rPr>
        <w:t>投标报价不高于投标限价的</w:t>
      </w:r>
      <w:r>
        <w:rPr>
          <w:rFonts w:hint="eastAsia" w:ascii="宋体" w:hAnsi="宋体" w:eastAsia="宋体" w:cs="宋体"/>
          <w:color w:val="auto"/>
          <w:sz w:val="21"/>
          <w:szCs w:val="21"/>
          <w:highlight w:val="none"/>
        </w:rPr>
        <w:t>投标人报价按计算标准计算得分，得分按照从高到低进行排序</w:t>
      </w:r>
      <w:r>
        <w:rPr>
          <w:rFonts w:hint="eastAsia" w:ascii="宋体" w:hAnsi="宋体" w:cs="宋体"/>
          <w:color w:val="auto"/>
          <w:sz w:val="21"/>
          <w:szCs w:val="21"/>
          <w:highlight w:val="none"/>
          <w:lang w:eastAsia="zh-CN"/>
        </w:rPr>
        <w:t>，但投标报价低于其成本的除外</w:t>
      </w:r>
      <w:r>
        <w:rPr>
          <w:rFonts w:hint="eastAsia" w:ascii="宋体" w:hAnsi="宋体" w:eastAsia="宋体" w:cs="宋体"/>
          <w:color w:val="auto"/>
          <w:sz w:val="21"/>
          <w:szCs w:val="21"/>
          <w:highlight w:val="none"/>
        </w:rPr>
        <w:t>（如总得分相等，以投标报价低的优先，投标报价仍相等，由招标人</w:t>
      </w:r>
      <w:r>
        <w:rPr>
          <w:rFonts w:hint="eastAsia" w:ascii="宋体" w:hAnsi="宋体" w:eastAsia="宋体" w:cs="宋体"/>
          <w:color w:val="auto"/>
          <w:sz w:val="21"/>
          <w:szCs w:val="21"/>
          <w:highlight w:val="none"/>
          <w:lang w:val="en-US" w:eastAsia="zh-CN"/>
        </w:rPr>
        <w:t>或评标委员会</w:t>
      </w:r>
      <w:r>
        <w:rPr>
          <w:rFonts w:hint="eastAsia" w:ascii="宋体" w:hAnsi="宋体" w:eastAsia="宋体" w:cs="宋体"/>
          <w:color w:val="auto"/>
          <w:sz w:val="21"/>
          <w:szCs w:val="21"/>
          <w:highlight w:val="none"/>
        </w:rPr>
        <w:t>随机抽取确定排名，不得并列）。对排序前</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名的投标人</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rPr>
        <w:t>文件进行评审并确定中标候选人。若排序前</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名的投标人</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rPr>
        <w:t>文件评审不通过，则按得分排序递补至</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家投标人进行</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rPr>
        <w:t>文件评审。</w:t>
      </w:r>
    </w:p>
    <w:p w14:paraId="2D219C1B">
      <w:pPr>
        <w:snapToGrid w:val="0"/>
        <w:spacing w:line="400" w:lineRule="exact"/>
        <w:ind w:firstLine="570"/>
        <w:rPr>
          <w:rFonts w:hint="eastAsia" w:ascii="宋体"/>
          <w:b/>
          <w:color w:val="auto"/>
          <w:szCs w:val="21"/>
          <w:highlight w:val="none"/>
        </w:rPr>
      </w:pPr>
      <w:r>
        <w:rPr>
          <w:rFonts w:hint="eastAsia" w:ascii="宋体"/>
          <w:b/>
          <w:color w:val="auto"/>
          <w:szCs w:val="21"/>
          <w:highlight w:val="none"/>
          <w:lang w:val="en-US" w:eastAsia="zh-CN"/>
        </w:rPr>
        <w:t>9.</w:t>
      </w:r>
      <w:r>
        <w:rPr>
          <w:rFonts w:hint="eastAsia" w:ascii="宋体" w:hAnsi="宋体"/>
          <w:b/>
          <w:color w:val="auto"/>
          <w:sz w:val="24"/>
          <w:highlight w:val="none"/>
        </w:rPr>
        <w:t xml:space="preserve"> </w:t>
      </w:r>
      <w:r>
        <w:rPr>
          <w:rFonts w:hint="eastAsia" w:ascii="宋体"/>
          <w:b/>
          <w:color w:val="auto"/>
          <w:szCs w:val="21"/>
          <w:highlight w:val="none"/>
        </w:rPr>
        <w:t>无效投标条款</w:t>
      </w:r>
    </w:p>
    <w:p w14:paraId="4C4B7412">
      <w:pPr>
        <w:snapToGrid w:val="0"/>
        <w:spacing w:line="400" w:lineRule="exact"/>
        <w:ind w:firstLine="525" w:firstLineChars="250"/>
        <w:rPr>
          <w:rFonts w:hint="eastAsia" w:ascii="宋体" w:cs="宋体"/>
          <w:color w:val="auto"/>
          <w:szCs w:val="21"/>
          <w:highlight w:val="none"/>
        </w:rPr>
      </w:pPr>
      <w:r>
        <w:rPr>
          <w:rFonts w:hint="eastAsia" w:ascii="宋体" w:cs="宋体"/>
          <w:color w:val="auto"/>
          <w:szCs w:val="21"/>
          <w:highlight w:val="none"/>
          <w:lang w:val="en-US" w:eastAsia="zh-CN"/>
        </w:rPr>
        <w:t>9</w:t>
      </w:r>
      <w:r>
        <w:rPr>
          <w:rFonts w:hint="eastAsia" w:ascii="宋体" w:cs="宋体"/>
          <w:color w:val="auto"/>
          <w:szCs w:val="21"/>
          <w:highlight w:val="none"/>
        </w:rPr>
        <w:t>.1投标文件有下列情形之一的,其投标文件拒收:</w:t>
      </w:r>
    </w:p>
    <w:p w14:paraId="27A02168">
      <w:pPr>
        <w:snapToGrid w:val="0"/>
        <w:spacing w:line="440" w:lineRule="exact"/>
        <w:ind w:right="-212" w:rightChars="-101" w:firstLine="420" w:firstLineChars="200"/>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eastAsia="zh-CN"/>
        </w:rPr>
        <w:t>（</w:t>
      </w:r>
      <w:r>
        <w:rPr>
          <w:rFonts w:hint="eastAsia" w:ascii="宋体" w:hAnsi="宋体" w:eastAsia="宋体" w:cs="宋体"/>
          <w:b w:val="0"/>
          <w:bCs/>
          <w:color w:val="auto"/>
          <w:szCs w:val="21"/>
          <w:highlight w:val="none"/>
          <w:lang w:val="en-US" w:eastAsia="zh-CN"/>
        </w:rPr>
        <w:t>1</w:t>
      </w:r>
      <w:r>
        <w:rPr>
          <w:rFonts w:hint="eastAsia" w:ascii="宋体" w:hAnsi="宋体" w:eastAsia="宋体" w:cs="宋体"/>
          <w:b w:val="0"/>
          <w:bCs/>
          <w:color w:val="auto"/>
          <w:szCs w:val="21"/>
          <w:highlight w:val="none"/>
          <w:lang w:eastAsia="zh-CN"/>
        </w:rPr>
        <w:t>）未在开标截止时间前通过网上招标投标系统递交有效电子投标文件的，开标系统不予接收，投标将被拒绝。</w:t>
      </w:r>
    </w:p>
    <w:p w14:paraId="257D62F8">
      <w:pPr>
        <w:snapToGrid w:val="0"/>
        <w:spacing w:line="440" w:lineRule="exact"/>
        <w:ind w:right="-212" w:rightChars="-101" w:firstLine="420" w:firstLineChars="200"/>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eastAsia="zh-CN"/>
        </w:rPr>
        <w:t>（2）投标企业接到远程解密指令后，须在规定时间内解密。因投标人自身原因导致投标文件在规定时间内未能解密、解密失败或解密超时，投标文件无效；解密时间：从本项目投标截止时间开始计时，至完成投标文件解密时间，不得超过</w:t>
      </w:r>
      <w:r>
        <w:rPr>
          <w:rFonts w:hint="eastAsia" w:ascii="宋体" w:hAnsi="宋体" w:eastAsia="宋体" w:cs="宋体"/>
          <w:b w:val="0"/>
          <w:bCs/>
          <w:color w:val="auto"/>
          <w:szCs w:val="21"/>
          <w:highlight w:val="none"/>
          <w:lang w:val="en-US" w:eastAsia="zh-CN"/>
        </w:rPr>
        <w:t>3</w:t>
      </w:r>
      <w:r>
        <w:rPr>
          <w:rFonts w:hint="eastAsia" w:ascii="宋体" w:hAnsi="宋体" w:eastAsia="宋体" w:cs="宋体"/>
          <w:b w:val="0"/>
          <w:bCs/>
          <w:color w:val="auto"/>
          <w:szCs w:val="21"/>
          <w:highlight w:val="none"/>
          <w:lang w:eastAsia="zh-CN"/>
        </w:rPr>
        <w:t>0分钟，否则投标文件将被拒绝。</w:t>
      </w:r>
    </w:p>
    <w:p w14:paraId="74A3DC8C">
      <w:pPr>
        <w:snapToGrid w:val="0"/>
        <w:spacing w:line="400" w:lineRule="exact"/>
        <w:ind w:firstLine="525" w:firstLineChars="250"/>
        <w:rPr>
          <w:rFonts w:hint="eastAsia" w:ascii="宋体" w:hAnsi="Times New Roman" w:eastAsia="宋体" w:cs="宋体"/>
          <w:color w:val="auto"/>
          <w:szCs w:val="21"/>
          <w:highlight w:val="none"/>
          <w:lang w:eastAsia="zh-CN"/>
        </w:rPr>
      </w:pPr>
      <w:r>
        <w:rPr>
          <w:rFonts w:hint="eastAsia" w:ascii="宋体" w:hAnsi="Times New Roman" w:eastAsia="宋体" w:cs="宋体"/>
          <w:color w:val="auto"/>
          <w:szCs w:val="21"/>
          <w:highlight w:val="none"/>
          <w:lang w:val="en-US" w:eastAsia="zh-CN"/>
        </w:rPr>
        <w:t>9</w:t>
      </w:r>
      <w:r>
        <w:rPr>
          <w:rFonts w:hint="eastAsia" w:ascii="宋体" w:hAnsi="Times New Roman" w:eastAsia="宋体" w:cs="宋体"/>
          <w:color w:val="auto"/>
          <w:szCs w:val="21"/>
          <w:highlight w:val="none"/>
          <w:lang w:eastAsia="zh-CN"/>
        </w:rPr>
        <w:t>.2 投标人有下列情形之一的,资格审查后其投标作无效投标处理：</w:t>
      </w:r>
    </w:p>
    <w:p w14:paraId="1B1D6993">
      <w:pPr>
        <w:snapToGrid w:val="0"/>
        <w:spacing w:line="440" w:lineRule="exact"/>
        <w:ind w:right="-212" w:rightChars="-101" w:firstLine="420" w:firstLineChars="200"/>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eastAsia="zh-CN"/>
        </w:rPr>
        <w:t>(1)投标人为本项目提供招标代理服务的；</w:t>
      </w:r>
    </w:p>
    <w:p w14:paraId="126D240C">
      <w:pPr>
        <w:snapToGrid w:val="0"/>
        <w:spacing w:line="440" w:lineRule="exact"/>
        <w:ind w:right="-212" w:rightChars="-101" w:firstLine="420" w:firstLineChars="200"/>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eastAsia="zh-CN"/>
        </w:rPr>
        <w:t>(2)投标人与在本项目代理机构存在相互任职或工作的；</w:t>
      </w:r>
    </w:p>
    <w:p w14:paraId="459DB034">
      <w:pPr>
        <w:snapToGrid w:val="0"/>
        <w:spacing w:line="440" w:lineRule="exact"/>
        <w:ind w:right="-212" w:rightChars="-101" w:firstLine="420" w:firstLineChars="200"/>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eastAsia="zh-CN"/>
        </w:rPr>
        <w:t>(3)评标专家无法查看并检验电子投标文件中相关资料的；</w:t>
      </w:r>
    </w:p>
    <w:p w14:paraId="25FE51C0">
      <w:pPr>
        <w:snapToGrid w:val="0"/>
        <w:spacing w:line="440" w:lineRule="exact"/>
        <w:ind w:right="-212" w:rightChars="-101" w:firstLine="420" w:firstLineChars="200"/>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eastAsia="zh-CN"/>
        </w:rPr>
        <w:t>(4)联合体投标未提交联合体协议的；</w:t>
      </w:r>
    </w:p>
    <w:p w14:paraId="26ED93DC">
      <w:pPr>
        <w:snapToGrid w:val="0"/>
        <w:spacing w:line="440" w:lineRule="exact"/>
        <w:ind w:right="-212" w:rightChars="-101" w:firstLine="420" w:firstLineChars="200"/>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eastAsia="zh-CN"/>
        </w:rPr>
        <w:t>(5)</w:t>
      </w:r>
      <w:r>
        <w:rPr>
          <w:rFonts w:hint="eastAsia" w:ascii="宋体" w:hAnsi="宋体" w:eastAsia="宋体" w:cs="宋体"/>
          <w:b w:val="0"/>
          <w:bCs/>
          <w:color w:val="auto"/>
          <w:szCs w:val="21"/>
          <w:highlight w:val="none"/>
          <w:lang w:val="en-US" w:eastAsia="zh-CN"/>
        </w:rPr>
        <w:t>被责令停产停业的；</w:t>
      </w:r>
    </w:p>
    <w:p w14:paraId="185A7153">
      <w:pPr>
        <w:snapToGrid w:val="0"/>
        <w:spacing w:line="440" w:lineRule="exact"/>
        <w:ind w:right="-212" w:rightChars="-101" w:firstLine="420" w:firstLineChars="200"/>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eastAsia="zh-CN"/>
        </w:rPr>
        <w:t>(6)</w:t>
      </w:r>
      <w:r>
        <w:rPr>
          <w:rFonts w:hint="eastAsia" w:ascii="宋体" w:hAnsi="宋体" w:eastAsia="宋体" w:cs="宋体"/>
          <w:b w:val="0"/>
          <w:bCs/>
          <w:color w:val="auto"/>
          <w:szCs w:val="21"/>
          <w:highlight w:val="none"/>
          <w:lang w:val="en-US" w:eastAsia="zh-CN"/>
        </w:rPr>
        <w:t>被暂停或取消参与政府采购项目资格的；</w:t>
      </w:r>
    </w:p>
    <w:p w14:paraId="1729B442">
      <w:pPr>
        <w:snapToGrid w:val="0"/>
        <w:spacing w:line="440" w:lineRule="exact"/>
        <w:ind w:right="-212" w:rightChars="-101" w:firstLine="420" w:firstLineChars="200"/>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eastAsia="zh-CN"/>
        </w:rPr>
        <w:t>(7)</w:t>
      </w:r>
      <w:r>
        <w:rPr>
          <w:rFonts w:hint="eastAsia" w:ascii="宋体" w:hAnsi="宋体" w:eastAsia="宋体" w:cs="宋体"/>
          <w:b w:val="0"/>
          <w:bCs/>
          <w:color w:val="auto"/>
          <w:szCs w:val="21"/>
          <w:highlight w:val="none"/>
          <w:lang w:val="en-US" w:eastAsia="zh-CN"/>
        </w:rPr>
        <w:t>投标人单位负责人为同一人或者存在直接控股、管理关系的不同单位的；</w:t>
      </w:r>
    </w:p>
    <w:p w14:paraId="360473C5">
      <w:pPr>
        <w:snapToGrid w:val="0"/>
        <w:spacing w:line="440" w:lineRule="exact"/>
        <w:ind w:right="-212" w:rightChars="-101" w:firstLine="420" w:firstLineChars="200"/>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eastAsia="zh-CN"/>
        </w:rPr>
        <w:t>(8)保证金不按第二章“投标人须知”及其前附表要求提交投标保证金的；</w:t>
      </w:r>
    </w:p>
    <w:p w14:paraId="18F42FC9">
      <w:pPr>
        <w:snapToGrid w:val="0"/>
        <w:spacing w:line="440" w:lineRule="exact"/>
        <w:ind w:right="-212" w:rightChars="-101" w:firstLine="420" w:firstLineChars="200"/>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eastAsia="zh-CN"/>
        </w:rPr>
        <w:t>(9)投标人基本资格条件和特定资格条件中有一项及以上不符合要求的；</w:t>
      </w:r>
    </w:p>
    <w:p w14:paraId="2EE6A9D0">
      <w:pPr>
        <w:snapToGrid w:val="0"/>
        <w:spacing w:line="440" w:lineRule="exact"/>
        <w:ind w:right="-212" w:rightChars="-101" w:firstLine="420" w:firstLineChars="200"/>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eastAsia="zh-CN"/>
        </w:rPr>
        <w:t>(10)开标时查询投标文件制作机器码、文件创建标识码及造价软件加密锁号。若存在投标文件制作机器码或创建标识码或造价软件加密锁号信息与其他投标人雷同的，投标无效、进行信用信息披露，行政监管部门将依据线索依法查处；</w:t>
      </w:r>
    </w:p>
    <w:p w14:paraId="4CF61F88">
      <w:pPr>
        <w:snapToGrid w:val="0"/>
        <w:spacing w:line="440" w:lineRule="exact"/>
        <w:ind w:right="-212" w:rightChars="-101" w:firstLine="420" w:firstLineChars="200"/>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eastAsia="zh-CN"/>
        </w:rPr>
        <w:t>(11)投标人单方面出现其他投标人材料的；</w:t>
      </w:r>
    </w:p>
    <w:p w14:paraId="24A30557">
      <w:pPr>
        <w:snapToGrid w:val="0"/>
        <w:spacing w:line="440" w:lineRule="exact"/>
        <w:ind w:right="-212" w:rightChars="-101" w:firstLine="420" w:firstLineChars="200"/>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eastAsia="zh-CN"/>
        </w:rPr>
        <w:t>(12)其它情形，经评标委员会委提出按无效投标处理；</w:t>
      </w:r>
    </w:p>
    <w:p w14:paraId="2607D000">
      <w:pPr>
        <w:snapToGrid w:val="0"/>
        <w:spacing w:line="440" w:lineRule="exact"/>
        <w:ind w:right="-212" w:rightChars="-101" w:firstLine="420" w:firstLineChars="200"/>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eastAsia="zh-CN"/>
        </w:rPr>
        <w:t>(13)招标文件规定的其它无效投标情形。</w:t>
      </w:r>
    </w:p>
    <w:p w14:paraId="719A569B">
      <w:pPr>
        <w:snapToGrid w:val="0"/>
        <w:spacing w:line="440" w:lineRule="exact"/>
        <w:ind w:right="-212" w:rightChars="-101" w:firstLine="420" w:firstLineChars="200"/>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val="en-US" w:eastAsia="zh-CN"/>
        </w:rPr>
        <w:t>9</w:t>
      </w:r>
      <w:r>
        <w:rPr>
          <w:rFonts w:hint="eastAsia" w:ascii="宋体" w:hAnsi="宋体" w:cs="宋体"/>
          <w:b w:val="0"/>
          <w:bCs/>
          <w:color w:val="auto"/>
          <w:szCs w:val="21"/>
          <w:highlight w:val="none"/>
          <w:lang w:eastAsia="zh-CN"/>
        </w:rPr>
        <w:t>.3 投标人有下列情形之一的,符合性审查后其投标按无效投标处理：</w:t>
      </w:r>
    </w:p>
    <w:p w14:paraId="39CA70E3">
      <w:pPr>
        <w:snapToGrid w:val="0"/>
        <w:spacing w:line="440" w:lineRule="exact"/>
        <w:ind w:right="-212" w:rightChars="-101" w:firstLine="420" w:firstLineChars="200"/>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eastAsia="zh-CN"/>
        </w:rPr>
        <w:t>(1)投标文件签字、盖章不全，经评标委员会一致认定对开评标内容有实质性影响的；</w:t>
      </w:r>
    </w:p>
    <w:p w14:paraId="4DFA380D">
      <w:pPr>
        <w:snapToGrid w:val="0"/>
        <w:spacing w:line="440" w:lineRule="exact"/>
        <w:ind w:right="-212" w:rightChars="-101" w:firstLine="420" w:firstLineChars="200"/>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eastAsia="zh-CN"/>
        </w:rPr>
        <w:t>(2)未按规定的格式填写导致实质性内容不全以及实质上不响应，或者关键字迹模糊、无法辨认的；</w:t>
      </w:r>
    </w:p>
    <w:p w14:paraId="531B4917">
      <w:pPr>
        <w:snapToGrid w:val="0"/>
        <w:spacing w:line="440" w:lineRule="exact"/>
        <w:ind w:right="-212" w:rightChars="-101" w:firstLine="420" w:firstLineChars="200"/>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eastAsia="zh-CN"/>
        </w:rPr>
        <w:t>(3)同一投标人提交两个以上不同的投标文件或者投标报价，但招标文件规定提交备选方案的除外；</w:t>
      </w:r>
    </w:p>
    <w:p w14:paraId="478E67AE">
      <w:pPr>
        <w:snapToGrid w:val="0"/>
        <w:spacing w:line="440" w:lineRule="exact"/>
        <w:ind w:right="-212" w:rightChars="-101" w:firstLine="420" w:firstLineChars="200"/>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eastAsia="zh-CN"/>
        </w:rPr>
        <w:t>(4)投标文件没有对招标文件的实质性要求和条件作出响应；</w:t>
      </w:r>
    </w:p>
    <w:p w14:paraId="57126E66">
      <w:pPr>
        <w:snapToGrid w:val="0"/>
        <w:spacing w:line="440" w:lineRule="exact"/>
        <w:ind w:right="-212" w:rightChars="-101" w:firstLine="420" w:firstLineChars="200"/>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eastAsia="zh-CN"/>
        </w:rPr>
        <w:t xml:space="preserve">(5)投标报价超出规定的投标限价或公布的采购预算的或投标人的投标报价各项单价高于招标文件给定的单价最高限价； </w:t>
      </w:r>
    </w:p>
    <w:p w14:paraId="0ABE2C5D">
      <w:pPr>
        <w:snapToGrid w:val="0"/>
        <w:spacing w:line="440" w:lineRule="exact"/>
        <w:ind w:right="-212" w:rightChars="-101" w:firstLine="420" w:firstLineChars="200"/>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eastAsia="zh-CN"/>
        </w:rPr>
        <w:t>(6)不按评标委员会要求澄清、说明或补正的，或者评标委员会根据招标文件的规定对</w:t>
      </w:r>
      <w:r>
        <w:rPr>
          <w:rFonts w:hint="eastAsia" w:ascii="宋体" w:hAnsi="宋体" w:cs="宋体"/>
          <w:b w:val="0"/>
          <w:bCs/>
          <w:color w:val="auto"/>
          <w:szCs w:val="21"/>
          <w:highlight w:val="none"/>
          <w:lang w:val="en-US" w:eastAsia="zh-CN"/>
        </w:rPr>
        <w:t>投标</w:t>
      </w:r>
      <w:r>
        <w:rPr>
          <w:rFonts w:hint="eastAsia" w:ascii="宋体" w:hAnsi="宋体" w:cs="宋体"/>
          <w:b w:val="0"/>
          <w:bCs/>
          <w:color w:val="auto"/>
          <w:szCs w:val="21"/>
          <w:highlight w:val="none"/>
          <w:lang w:eastAsia="zh-CN"/>
        </w:rPr>
        <w:t>文件的计算错误进行修正后，投标人不接受修正的投标报价的；</w:t>
      </w:r>
    </w:p>
    <w:p w14:paraId="250B220D">
      <w:pPr>
        <w:snapToGrid w:val="0"/>
        <w:spacing w:line="440" w:lineRule="exact"/>
        <w:ind w:right="-212" w:rightChars="-101" w:firstLine="420" w:firstLineChars="200"/>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eastAsia="zh-CN"/>
        </w:rPr>
        <w:t>(</w:t>
      </w:r>
      <w:r>
        <w:rPr>
          <w:rFonts w:hint="eastAsia" w:ascii="宋体" w:hAnsi="宋体" w:cs="宋体"/>
          <w:b w:val="0"/>
          <w:bCs/>
          <w:color w:val="auto"/>
          <w:szCs w:val="21"/>
          <w:highlight w:val="none"/>
          <w:lang w:val="en-US" w:eastAsia="zh-CN"/>
        </w:rPr>
        <w:t>7</w:t>
      </w:r>
      <w:r>
        <w:rPr>
          <w:rFonts w:hint="eastAsia" w:ascii="宋体" w:hAnsi="宋体" w:cs="宋体"/>
          <w:b w:val="0"/>
          <w:bCs/>
          <w:color w:val="auto"/>
          <w:szCs w:val="21"/>
          <w:highlight w:val="none"/>
          <w:lang w:eastAsia="zh-CN"/>
        </w:rPr>
        <w:t>)其它情形，经评标委员会委提出按无效投标处理的；</w:t>
      </w:r>
    </w:p>
    <w:p w14:paraId="65D34F3C">
      <w:pPr>
        <w:snapToGrid w:val="0"/>
        <w:spacing w:line="440" w:lineRule="exact"/>
        <w:ind w:right="-212" w:rightChars="-101" w:firstLine="420" w:firstLineChars="200"/>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eastAsia="zh-CN"/>
        </w:rPr>
        <w:t>(</w:t>
      </w:r>
      <w:r>
        <w:rPr>
          <w:rFonts w:hint="eastAsia" w:ascii="宋体" w:hAnsi="宋体" w:cs="宋体"/>
          <w:b w:val="0"/>
          <w:bCs/>
          <w:color w:val="auto"/>
          <w:szCs w:val="21"/>
          <w:highlight w:val="none"/>
          <w:lang w:val="en-US" w:eastAsia="zh-CN"/>
        </w:rPr>
        <w:t>8</w:t>
      </w:r>
      <w:r>
        <w:rPr>
          <w:rFonts w:hint="eastAsia" w:ascii="宋体" w:hAnsi="宋体" w:cs="宋体"/>
          <w:b w:val="0"/>
          <w:bCs/>
          <w:color w:val="auto"/>
          <w:szCs w:val="21"/>
          <w:highlight w:val="none"/>
          <w:lang w:eastAsia="zh-CN"/>
        </w:rPr>
        <w:t>)投标文件含有招标人不能接受的附加条件的；</w:t>
      </w:r>
    </w:p>
    <w:p w14:paraId="43292335">
      <w:pPr>
        <w:snapToGrid w:val="0"/>
        <w:spacing w:line="440" w:lineRule="exact"/>
        <w:ind w:right="-212" w:rightChars="-101" w:firstLine="420" w:firstLineChars="200"/>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eastAsia="zh-CN"/>
        </w:rPr>
        <w:t>(</w:t>
      </w:r>
      <w:r>
        <w:rPr>
          <w:rFonts w:hint="eastAsia" w:ascii="宋体" w:hAnsi="宋体" w:cs="宋体"/>
          <w:b w:val="0"/>
          <w:bCs/>
          <w:color w:val="auto"/>
          <w:szCs w:val="21"/>
          <w:highlight w:val="none"/>
          <w:lang w:val="en-US" w:eastAsia="zh-CN"/>
        </w:rPr>
        <w:t>9</w:t>
      </w:r>
      <w:r>
        <w:rPr>
          <w:rFonts w:hint="eastAsia" w:ascii="宋体" w:hAnsi="宋体" w:cs="宋体"/>
          <w:b w:val="0"/>
          <w:bCs/>
          <w:color w:val="auto"/>
          <w:szCs w:val="21"/>
          <w:highlight w:val="none"/>
          <w:lang w:eastAsia="zh-CN"/>
        </w:rPr>
        <w:t>)招标文件规定的其它无效投标情形。</w:t>
      </w:r>
    </w:p>
    <w:p w14:paraId="6A75F892">
      <w:pPr>
        <w:snapToGrid w:val="0"/>
        <w:spacing w:line="440" w:lineRule="exact"/>
        <w:ind w:right="-212" w:rightChars="-101" w:firstLine="420" w:firstLineChars="200"/>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val="en-US" w:eastAsia="zh-CN"/>
        </w:rPr>
        <w:t>9</w:t>
      </w:r>
      <w:r>
        <w:rPr>
          <w:rFonts w:hint="eastAsia" w:ascii="宋体" w:hAnsi="宋体" w:cs="宋体"/>
          <w:b w:val="0"/>
          <w:bCs/>
          <w:color w:val="auto"/>
          <w:szCs w:val="21"/>
          <w:highlight w:val="none"/>
          <w:lang w:eastAsia="zh-CN"/>
        </w:rPr>
        <w:t>.4 投标人有下列情形之一的, 详细评审后其投标按无效投标处理：</w:t>
      </w:r>
    </w:p>
    <w:p w14:paraId="185F4F60">
      <w:pPr>
        <w:snapToGrid w:val="0"/>
        <w:spacing w:line="440" w:lineRule="exact"/>
        <w:ind w:right="-212" w:rightChars="-101" w:firstLine="420" w:firstLineChars="200"/>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eastAsia="zh-CN"/>
        </w:rPr>
        <w:t>(1)投标产品不符合必须强制执行的国家标准的；</w:t>
      </w:r>
    </w:p>
    <w:p w14:paraId="556521D5">
      <w:pPr>
        <w:snapToGrid w:val="0"/>
        <w:spacing w:line="440" w:lineRule="exact"/>
        <w:ind w:right="-212" w:rightChars="-101" w:firstLine="420" w:firstLineChars="200"/>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eastAsia="zh-CN"/>
        </w:rPr>
        <w:t>(2)投标人有串通投标、弄虚作假、行贿等违法行为；</w:t>
      </w:r>
    </w:p>
    <w:p w14:paraId="7BE964DB">
      <w:pPr>
        <w:snapToGrid w:val="0"/>
        <w:spacing w:line="440" w:lineRule="exact"/>
        <w:ind w:right="-212" w:rightChars="-101" w:firstLine="420" w:firstLineChars="200"/>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eastAsia="zh-CN"/>
        </w:rPr>
        <w:t>(3)投标文件含有违反国家法律、法规的内容，或附有招标人不能接受的条件的；</w:t>
      </w:r>
    </w:p>
    <w:p w14:paraId="303DB013">
      <w:pPr>
        <w:snapToGrid w:val="0"/>
        <w:spacing w:line="440" w:lineRule="exact"/>
        <w:ind w:right="-212" w:rightChars="-101" w:firstLine="420" w:firstLineChars="200"/>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eastAsia="zh-CN"/>
        </w:rPr>
        <w:t>(</w:t>
      </w:r>
      <w:r>
        <w:rPr>
          <w:rFonts w:hint="eastAsia" w:ascii="宋体" w:hAnsi="宋体" w:eastAsia="宋体" w:cs="宋体"/>
          <w:b w:val="0"/>
          <w:bCs/>
          <w:color w:val="auto"/>
          <w:szCs w:val="21"/>
          <w:highlight w:val="none"/>
          <w:lang w:val="en-US" w:eastAsia="zh-CN"/>
        </w:rPr>
        <w:t>4</w:t>
      </w:r>
      <w:r>
        <w:rPr>
          <w:rFonts w:hint="eastAsia" w:ascii="宋体" w:hAnsi="宋体" w:eastAsia="宋体" w:cs="宋体"/>
          <w:b w:val="0"/>
          <w:bCs/>
          <w:color w:val="auto"/>
          <w:szCs w:val="21"/>
          <w:highlight w:val="none"/>
          <w:lang w:eastAsia="zh-CN"/>
        </w:rPr>
        <w:t>)报价明显低于其他投标人，且不能证明报价合理性的投标无效；</w:t>
      </w:r>
    </w:p>
    <w:p w14:paraId="2851407C">
      <w:pPr>
        <w:snapToGrid w:val="0"/>
        <w:spacing w:line="440" w:lineRule="exact"/>
        <w:ind w:right="-212" w:rightChars="-101" w:firstLine="420" w:firstLineChars="200"/>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eastAsia="zh-CN"/>
        </w:rPr>
        <w:t>(</w:t>
      </w:r>
      <w:r>
        <w:rPr>
          <w:rFonts w:hint="eastAsia" w:ascii="宋体" w:hAnsi="宋体" w:eastAsia="宋体" w:cs="宋体"/>
          <w:b w:val="0"/>
          <w:bCs/>
          <w:color w:val="auto"/>
          <w:szCs w:val="21"/>
          <w:highlight w:val="none"/>
          <w:lang w:val="en-US" w:eastAsia="zh-CN"/>
        </w:rPr>
        <w:t>5</w:t>
      </w:r>
      <w:r>
        <w:rPr>
          <w:rFonts w:hint="eastAsia" w:ascii="宋体" w:hAnsi="宋体" w:eastAsia="宋体" w:cs="宋体"/>
          <w:b w:val="0"/>
          <w:bCs/>
          <w:color w:val="auto"/>
          <w:szCs w:val="21"/>
          <w:highlight w:val="none"/>
          <w:lang w:eastAsia="zh-CN"/>
        </w:rPr>
        <w:t>)拒不确认评标委员会评审修正的投标无效；</w:t>
      </w:r>
    </w:p>
    <w:p w14:paraId="767B61D0">
      <w:pPr>
        <w:snapToGrid w:val="0"/>
        <w:spacing w:line="440" w:lineRule="exact"/>
        <w:ind w:right="-212" w:rightChars="-101" w:firstLine="420" w:firstLineChars="200"/>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eastAsia="zh-CN"/>
        </w:rPr>
        <w:t>(</w:t>
      </w:r>
      <w:r>
        <w:rPr>
          <w:rFonts w:hint="eastAsia" w:ascii="宋体" w:hAnsi="宋体" w:eastAsia="宋体" w:cs="宋体"/>
          <w:b w:val="0"/>
          <w:bCs/>
          <w:color w:val="auto"/>
          <w:szCs w:val="21"/>
          <w:highlight w:val="none"/>
          <w:lang w:val="en-US" w:eastAsia="zh-CN"/>
        </w:rPr>
        <w:t>6</w:t>
      </w:r>
      <w:r>
        <w:rPr>
          <w:rFonts w:hint="eastAsia" w:ascii="宋体" w:hAnsi="宋体" w:eastAsia="宋体" w:cs="宋体"/>
          <w:b w:val="0"/>
          <w:bCs/>
          <w:color w:val="auto"/>
          <w:szCs w:val="21"/>
          <w:highlight w:val="none"/>
          <w:lang w:eastAsia="zh-CN"/>
        </w:rPr>
        <w:t>)其它情形，经评标委员会委提出按无效投标处理的；</w:t>
      </w:r>
    </w:p>
    <w:p w14:paraId="0A5A1B4A">
      <w:pPr>
        <w:snapToGrid w:val="0"/>
        <w:spacing w:line="440" w:lineRule="exact"/>
        <w:ind w:right="-212" w:rightChars="-101" w:firstLine="420" w:firstLineChars="200"/>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eastAsia="zh-CN"/>
        </w:rPr>
        <w:t>(</w:t>
      </w:r>
      <w:r>
        <w:rPr>
          <w:rFonts w:hint="eastAsia" w:ascii="宋体" w:hAnsi="宋体" w:eastAsia="宋体" w:cs="宋体"/>
          <w:b w:val="0"/>
          <w:bCs/>
          <w:color w:val="auto"/>
          <w:szCs w:val="21"/>
          <w:highlight w:val="none"/>
          <w:lang w:val="en-US" w:eastAsia="zh-CN"/>
        </w:rPr>
        <w:t>7</w:t>
      </w:r>
      <w:r>
        <w:rPr>
          <w:rFonts w:hint="eastAsia" w:ascii="宋体" w:hAnsi="宋体" w:eastAsia="宋体" w:cs="宋体"/>
          <w:b w:val="0"/>
          <w:bCs/>
          <w:color w:val="auto"/>
          <w:szCs w:val="21"/>
          <w:highlight w:val="none"/>
          <w:lang w:eastAsia="zh-CN"/>
        </w:rPr>
        <w:t>)招标文件规定的其它无效投标情形。</w:t>
      </w:r>
    </w:p>
    <w:p w14:paraId="3C562433">
      <w:pPr>
        <w:rPr>
          <w:rFonts w:hint="eastAsia"/>
          <w:color w:val="auto"/>
          <w:highlight w:val="none"/>
        </w:rPr>
      </w:pPr>
    </w:p>
    <w:p w14:paraId="79D4181F">
      <w:pPr>
        <w:pStyle w:val="2"/>
        <w:keepNext/>
        <w:keepLines/>
        <w:pageBreakBefore/>
        <w:widowControl w:val="0"/>
        <w:kinsoku/>
        <w:wordWrap/>
        <w:overflowPunct/>
        <w:topLinePunct w:val="0"/>
        <w:autoSpaceDE/>
        <w:autoSpaceDN/>
        <w:bidi w:val="0"/>
        <w:adjustRightInd/>
        <w:snapToGrid/>
        <w:spacing w:before="0" w:after="0"/>
        <w:textAlignment w:val="auto"/>
        <w:rPr>
          <w:rFonts w:hint="eastAsia" w:ascii="宋体" w:hAnsi="宋体" w:eastAsia="宋体" w:cs="宋体"/>
          <w:color w:val="auto"/>
          <w:sz w:val="44"/>
          <w:szCs w:val="44"/>
          <w:highlight w:val="none"/>
          <w:lang w:val="en-US" w:eastAsia="zh-CN"/>
        </w:rPr>
      </w:pPr>
      <w:bookmarkStart w:id="64" w:name="_Toc3848"/>
      <w:r>
        <w:rPr>
          <w:rFonts w:hint="eastAsia" w:ascii="宋体" w:hAnsi="宋体" w:eastAsia="宋体" w:cs="宋体"/>
          <w:color w:val="auto"/>
          <w:sz w:val="44"/>
          <w:szCs w:val="44"/>
          <w:highlight w:val="none"/>
          <w:lang w:val="en-US" w:eastAsia="zh-CN"/>
        </w:rPr>
        <w:t>第三章 合同条款</w:t>
      </w:r>
      <w:bookmarkEnd w:id="54"/>
      <w:bookmarkEnd w:id="55"/>
      <w:bookmarkEnd w:id="64"/>
    </w:p>
    <w:p w14:paraId="209DF1AC">
      <w:pPr>
        <w:rPr>
          <w:rFonts w:hint="eastAsia" w:ascii="宋体" w:hAnsi="宋体" w:eastAsia="宋体" w:cs="宋体"/>
          <w:color w:val="auto"/>
          <w:highlight w:val="none"/>
        </w:rPr>
      </w:pPr>
    </w:p>
    <w:p w14:paraId="4F6DA2D9">
      <w:pPr>
        <w:spacing w:line="360" w:lineRule="auto"/>
        <w:jc w:val="center"/>
        <w:rPr>
          <w:rFonts w:hint="eastAsia" w:ascii="宋体"/>
          <w:b/>
          <w:color w:val="auto"/>
          <w:sz w:val="52"/>
          <w:szCs w:val="24"/>
          <w:highlight w:val="none"/>
        </w:rPr>
      </w:pPr>
    </w:p>
    <w:p w14:paraId="20035B76">
      <w:pPr>
        <w:spacing w:line="360" w:lineRule="auto"/>
        <w:jc w:val="center"/>
        <w:rPr>
          <w:rFonts w:hint="eastAsia" w:ascii="宋体"/>
          <w:b/>
          <w:color w:val="auto"/>
          <w:sz w:val="52"/>
          <w:szCs w:val="24"/>
          <w:highlight w:val="none"/>
        </w:rPr>
      </w:pPr>
    </w:p>
    <w:p w14:paraId="7ADF00C0">
      <w:pPr>
        <w:spacing w:line="360" w:lineRule="auto"/>
        <w:jc w:val="center"/>
        <w:rPr>
          <w:rFonts w:hint="eastAsia" w:ascii="宋体"/>
          <w:b/>
          <w:color w:val="auto"/>
          <w:sz w:val="52"/>
          <w:szCs w:val="24"/>
          <w:highlight w:val="none"/>
        </w:rPr>
      </w:pPr>
      <w:r>
        <w:rPr>
          <w:rFonts w:hint="eastAsia" w:ascii="宋体"/>
          <w:b/>
          <w:color w:val="auto"/>
          <w:sz w:val="52"/>
          <w:szCs w:val="24"/>
          <w:highlight w:val="none"/>
        </w:rPr>
        <w:t>委</w:t>
      </w:r>
    </w:p>
    <w:p w14:paraId="34EBF081">
      <w:pPr>
        <w:spacing w:line="360" w:lineRule="auto"/>
        <w:jc w:val="center"/>
        <w:rPr>
          <w:rFonts w:hint="eastAsia" w:ascii="宋体"/>
          <w:b/>
          <w:color w:val="auto"/>
          <w:sz w:val="52"/>
          <w:szCs w:val="24"/>
          <w:highlight w:val="none"/>
        </w:rPr>
      </w:pPr>
      <w:r>
        <w:rPr>
          <w:rFonts w:hint="eastAsia" w:ascii="宋体"/>
          <w:b/>
          <w:color w:val="auto"/>
          <w:sz w:val="52"/>
          <w:szCs w:val="24"/>
          <w:highlight w:val="none"/>
        </w:rPr>
        <w:t>托</w:t>
      </w:r>
    </w:p>
    <w:p w14:paraId="38D336A5">
      <w:pPr>
        <w:spacing w:line="360" w:lineRule="auto"/>
        <w:jc w:val="center"/>
        <w:rPr>
          <w:rFonts w:hint="eastAsia" w:ascii="宋体"/>
          <w:b/>
          <w:color w:val="auto"/>
          <w:sz w:val="52"/>
          <w:szCs w:val="24"/>
          <w:highlight w:val="none"/>
        </w:rPr>
      </w:pPr>
      <w:r>
        <w:rPr>
          <w:rFonts w:hint="eastAsia" w:ascii="宋体"/>
          <w:b/>
          <w:color w:val="auto"/>
          <w:sz w:val="52"/>
          <w:szCs w:val="24"/>
          <w:highlight w:val="none"/>
        </w:rPr>
        <w:t>协</w:t>
      </w:r>
    </w:p>
    <w:p w14:paraId="13559191">
      <w:pPr>
        <w:spacing w:line="360" w:lineRule="auto"/>
        <w:jc w:val="center"/>
        <w:rPr>
          <w:rFonts w:hint="eastAsia" w:ascii="宋体"/>
          <w:b/>
          <w:color w:val="auto"/>
          <w:sz w:val="52"/>
          <w:szCs w:val="24"/>
          <w:highlight w:val="none"/>
        </w:rPr>
      </w:pPr>
      <w:r>
        <w:rPr>
          <w:rFonts w:hint="eastAsia" w:ascii="宋体"/>
          <w:b/>
          <w:color w:val="auto"/>
          <w:sz w:val="52"/>
          <w:szCs w:val="24"/>
          <w:highlight w:val="none"/>
        </w:rPr>
        <w:t>议</w:t>
      </w:r>
    </w:p>
    <w:p w14:paraId="3355515F">
      <w:pPr>
        <w:jc w:val="center"/>
        <w:rPr>
          <w:rFonts w:hint="default" w:ascii="Times New Roman" w:hAnsi="Times New Roman" w:eastAsia="华文中宋"/>
          <w:b/>
          <w:color w:val="auto"/>
          <w:sz w:val="52"/>
          <w:szCs w:val="24"/>
          <w:highlight w:val="none"/>
        </w:rPr>
      </w:pPr>
    </w:p>
    <w:p w14:paraId="1E4A1E6C">
      <w:pPr>
        <w:spacing w:line="240" w:lineRule="exact"/>
        <w:rPr>
          <w:rFonts w:hint="default" w:ascii="Times New Roman" w:hAnsi="Times New Roman" w:eastAsia="楷体_GB2312"/>
          <w:b/>
          <w:color w:val="auto"/>
          <w:sz w:val="72"/>
          <w:szCs w:val="24"/>
          <w:highlight w:val="none"/>
        </w:rPr>
      </w:pPr>
    </w:p>
    <w:p w14:paraId="59121782">
      <w:pPr>
        <w:spacing w:line="240" w:lineRule="exact"/>
        <w:jc w:val="center"/>
        <w:rPr>
          <w:rFonts w:hint="default" w:ascii="Times New Roman" w:hAnsi="Times New Roman" w:eastAsia="楷体_GB2312"/>
          <w:b/>
          <w:color w:val="auto"/>
          <w:sz w:val="72"/>
          <w:szCs w:val="24"/>
          <w:highlight w:val="none"/>
        </w:rPr>
      </w:pPr>
    </w:p>
    <w:p w14:paraId="1F8B0DA3">
      <w:pPr>
        <w:spacing w:line="240" w:lineRule="exact"/>
        <w:jc w:val="center"/>
        <w:rPr>
          <w:rFonts w:hint="default" w:ascii="Times New Roman" w:hAnsi="Times New Roman" w:eastAsia="楷体_GB2312"/>
          <w:b/>
          <w:color w:val="auto"/>
          <w:sz w:val="72"/>
          <w:szCs w:val="24"/>
          <w:highlight w:val="none"/>
        </w:rPr>
      </w:pPr>
    </w:p>
    <w:p w14:paraId="454E283F">
      <w:pPr>
        <w:spacing w:line="800" w:lineRule="exact"/>
        <w:ind w:firstLine="944" w:firstLineChars="295"/>
        <w:rPr>
          <w:rFonts w:hint="eastAsia" w:ascii="宋体" w:hAnsi="宋体" w:eastAsia="仿宋_GB2312" w:cs="Times New Roman"/>
          <w:color w:val="auto"/>
          <w:kern w:val="2"/>
          <w:sz w:val="32"/>
          <w:szCs w:val="24"/>
          <w:highlight w:val="none"/>
          <w:lang w:val="en-US" w:eastAsia="zh-CN" w:bidi="ar-SA"/>
        </w:rPr>
      </w:pPr>
    </w:p>
    <w:p w14:paraId="44289530">
      <w:pPr>
        <w:spacing w:line="800" w:lineRule="exact"/>
        <w:ind w:firstLine="944" w:firstLineChars="295"/>
        <w:rPr>
          <w:rFonts w:hint="eastAsia" w:ascii="宋体" w:hAnsi="宋体" w:eastAsia="仿宋_GB2312" w:cs="Times New Roman"/>
          <w:color w:val="auto"/>
          <w:kern w:val="2"/>
          <w:sz w:val="32"/>
          <w:szCs w:val="24"/>
          <w:highlight w:val="none"/>
          <w:lang w:val="en-US" w:eastAsia="zh-CN" w:bidi="ar-SA"/>
        </w:rPr>
      </w:pPr>
    </w:p>
    <w:p w14:paraId="497509AE">
      <w:pPr>
        <w:spacing w:line="800" w:lineRule="exact"/>
        <w:ind w:firstLine="944" w:firstLineChars="295"/>
        <w:rPr>
          <w:rFonts w:hint="eastAsia" w:ascii="宋体"/>
          <w:color w:val="auto"/>
          <w:sz w:val="32"/>
          <w:szCs w:val="24"/>
          <w:highlight w:val="none"/>
          <w:u w:val="single"/>
        </w:rPr>
      </w:pPr>
      <w:r>
        <w:rPr>
          <w:rFonts w:hint="eastAsia" w:ascii="宋体" w:hAnsi="宋体" w:eastAsia="仿宋_GB2312" w:cs="Times New Roman"/>
          <w:color w:val="auto"/>
          <w:kern w:val="2"/>
          <w:sz w:val="32"/>
          <w:szCs w:val="24"/>
          <w:highlight w:val="none"/>
          <w:lang w:val="en-US" w:eastAsia="zh-CN" w:bidi="ar-SA"/>
        </w:rPr>
        <w:t>合同编号：</w:t>
      </w:r>
      <w:r>
        <w:rPr>
          <w:rFonts w:hint="eastAsia" w:ascii="宋体" w:hAnsi="宋体"/>
          <w:color w:val="auto"/>
          <w:sz w:val="32"/>
          <w:szCs w:val="24"/>
          <w:highlight w:val="none"/>
          <w:u w:val="single"/>
        </w:rPr>
        <w:t xml:space="preserve">    </w:t>
      </w:r>
      <w:r>
        <w:rPr>
          <w:rFonts w:hint="eastAsia" w:ascii="宋体" w:hAnsi="宋体"/>
          <w:color w:val="auto"/>
          <w:sz w:val="32"/>
          <w:szCs w:val="24"/>
          <w:highlight w:val="none"/>
          <w:u w:val="single"/>
          <w:lang w:val="en-US" w:eastAsia="zh-CN"/>
        </w:rPr>
        <w:t xml:space="preserve">          </w:t>
      </w:r>
      <w:r>
        <w:rPr>
          <w:rFonts w:hint="eastAsia" w:ascii="宋体" w:hAnsi="宋体"/>
          <w:color w:val="auto"/>
          <w:sz w:val="32"/>
          <w:szCs w:val="24"/>
          <w:highlight w:val="none"/>
          <w:u w:val="single"/>
        </w:rPr>
        <w:t xml:space="preserve">                  </w:t>
      </w:r>
    </w:p>
    <w:p w14:paraId="01288131">
      <w:pPr>
        <w:pStyle w:val="26"/>
        <w:spacing w:line="800" w:lineRule="exact"/>
        <w:ind w:left="0" w:leftChars="0" w:firstLine="960" w:firstLineChars="300"/>
        <w:jc w:val="left"/>
        <w:rPr>
          <w:rFonts w:hint="eastAsia" w:ascii="宋体" w:hAnsi="宋体"/>
          <w:color w:val="auto"/>
          <w:spacing w:val="-20"/>
          <w:sz w:val="32"/>
          <w:szCs w:val="24"/>
          <w:highlight w:val="none"/>
          <w:u w:val="single"/>
        </w:rPr>
      </w:pPr>
      <w:r>
        <w:rPr>
          <w:rFonts w:hint="eastAsia" w:ascii="宋体" w:hAnsi="宋体" w:cs="Times New Roman"/>
          <w:color w:val="auto"/>
          <w:sz w:val="32"/>
          <w:szCs w:val="24"/>
          <w:highlight w:val="none"/>
        </w:rPr>
        <w:t>工程名称：</w:t>
      </w:r>
      <w:r>
        <w:rPr>
          <w:rFonts w:hint="eastAsia" w:ascii="宋体" w:hAnsi="宋体" w:cs="Times New Roman"/>
          <w:color w:val="auto"/>
          <w:sz w:val="32"/>
          <w:szCs w:val="24"/>
          <w:highlight w:val="none"/>
          <w:u w:val="single"/>
          <w:lang w:val="en-US" w:eastAsia="zh-CN"/>
        </w:rPr>
        <w:t xml:space="preserve"> </w:t>
      </w:r>
      <w:r>
        <w:rPr>
          <w:rFonts w:hint="eastAsia" w:ascii="宋体" w:hAnsi="宋体" w:cs="Times New Roman"/>
          <w:color w:val="auto"/>
          <w:sz w:val="32"/>
          <w:szCs w:val="24"/>
          <w:highlight w:val="none"/>
          <w:u w:val="single"/>
        </w:rPr>
        <w:t xml:space="preserve">   </w:t>
      </w:r>
      <w:r>
        <w:rPr>
          <w:rFonts w:hint="eastAsia" w:ascii="宋体" w:hAnsi="宋体" w:cs="Times New Roman"/>
          <w:color w:val="auto"/>
          <w:spacing w:val="-20"/>
          <w:sz w:val="32"/>
          <w:szCs w:val="24"/>
          <w:highlight w:val="none"/>
          <w:u w:val="single"/>
        </w:rPr>
        <w:t xml:space="preserve"> </w:t>
      </w:r>
      <w:r>
        <w:rPr>
          <w:rFonts w:hint="eastAsia" w:ascii="宋体" w:hAnsi="宋体"/>
          <w:color w:val="auto"/>
          <w:spacing w:val="-20"/>
          <w:sz w:val="32"/>
          <w:szCs w:val="24"/>
          <w:highlight w:val="none"/>
          <w:u w:val="single"/>
        </w:rPr>
        <w:t xml:space="preserve">        </w:t>
      </w:r>
    </w:p>
    <w:p w14:paraId="7BADD5C4">
      <w:pPr>
        <w:pStyle w:val="26"/>
        <w:spacing w:line="800" w:lineRule="exact"/>
        <w:ind w:left="0" w:leftChars="0" w:firstLine="944" w:firstLineChars="295"/>
        <w:rPr>
          <w:rFonts w:hint="eastAsia" w:ascii="宋体"/>
          <w:color w:val="auto"/>
          <w:sz w:val="32"/>
          <w:szCs w:val="24"/>
          <w:highlight w:val="none"/>
        </w:rPr>
      </w:pPr>
      <w:r>
        <w:rPr>
          <w:rFonts w:hint="eastAsia" w:ascii="宋体" w:hAnsi="宋体"/>
          <w:color w:val="auto"/>
          <w:sz w:val="32"/>
          <w:szCs w:val="24"/>
          <w:highlight w:val="none"/>
          <w:lang w:val="en-US" w:eastAsia="zh-CN"/>
        </w:rPr>
        <w:t>项目</w:t>
      </w:r>
      <w:r>
        <w:rPr>
          <w:rFonts w:hint="eastAsia" w:ascii="宋体" w:hAnsi="宋体"/>
          <w:color w:val="auto"/>
          <w:sz w:val="32"/>
          <w:szCs w:val="24"/>
          <w:highlight w:val="none"/>
        </w:rPr>
        <w:t>地点：</w:t>
      </w:r>
      <w:r>
        <w:rPr>
          <w:rFonts w:hint="eastAsia" w:ascii="宋体" w:hAnsi="宋体"/>
          <w:color w:val="auto"/>
          <w:sz w:val="32"/>
          <w:szCs w:val="24"/>
          <w:highlight w:val="none"/>
          <w:u w:val="single"/>
          <w:lang w:val="en-US" w:eastAsia="zh-CN"/>
        </w:rPr>
        <w:t xml:space="preserve"> </w:t>
      </w:r>
      <w:r>
        <w:rPr>
          <w:rFonts w:hint="eastAsia" w:ascii="宋体" w:hAnsi="宋体"/>
          <w:color w:val="auto"/>
          <w:sz w:val="32"/>
          <w:szCs w:val="24"/>
          <w:highlight w:val="none"/>
          <w:u w:val="none"/>
        </w:rPr>
        <w:t xml:space="preserve">               </w:t>
      </w:r>
      <w:r>
        <w:rPr>
          <w:rFonts w:hint="eastAsia" w:ascii="宋体" w:hAnsi="宋体"/>
          <w:color w:val="auto"/>
          <w:sz w:val="32"/>
          <w:szCs w:val="24"/>
          <w:highlight w:val="none"/>
          <w:u w:val="single"/>
        </w:rPr>
        <w:t xml:space="preserve">        </w:t>
      </w:r>
    </w:p>
    <w:p w14:paraId="2229D5A7">
      <w:pPr>
        <w:pStyle w:val="26"/>
        <w:spacing w:line="800" w:lineRule="exact"/>
        <w:ind w:left="0" w:leftChars="0" w:firstLine="944" w:firstLineChars="295"/>
        <w:rPr>
          <w:rFonts w:hint="eastAsia" w:ascii="宋体"/>
          <w:color w:val="auto"/>
          <w:sz w:val="32"/>
          <w:szCs w:val="24"/>
          <w:highlight w:val="none"/>
        </w:rPr>
      </w:pPr>
      <w:r>
        <w:rPr>
          <w:rFonts w:hint="eastAsia" w:ascii="宋体" w:hAnsi="宋体"/>
          <w:color w:val="auto"/>
          <w:sz w:val="32"/>
          <w:szCs w:val="24"/>
          <w:highlight w:val="none"/>
        </w:rPr>
        <w:t>签订时间：</w:t>
      </w:r>
      <w:r>
        <w:rPr>
          <w:rFonts w:hint="eastAsia" w:ascii="宋体" w:hAnsi="宋体"/>
          <w:color w:val="auto"/>
          <w:sz w:val="32"/>
          <w:szCs w:val="24"/>
          <w:highlight w:val="none"/>
          <w:u w:val="single"/>
        </w:rPr>
        <w:t xml:space="preserve"> </w:t>
      </w:r>
      <w:r>
        <w:rPr>
          <w:rFonts w:hint="eastAsia" w:ascii="宋体" w:hAnsi="宋体"/>
          <w:color w:val="auto"/>
          <w:sz w:val="32"/>
          <w:szCs w:val="24"/>
          <w:highlight w:val="none"/>
          <w:u w:val="single"/>
          <w:lang w:val="en-US" w:eastAsia="zh-CN"/>
        </w:rPr>
        <w:t xml:space="preserve">       </w:t>
      </w:r>
      <w:r>
        <w:rPr>
          <w:rFonts w:hint="eastAsia" w:ascii="宋体" w:hAnsi="宋体"/>
          <w:color w:val="auto"/>
          <w:sz w:val="32"/>
          <w:szCs w:val="24"/>
          <w:highlight w:val="none"/>
        </w:rPr>
        <w:t>年</w:t>
      </w:r>
      <w:r>
        <w:rPr>
          <w:rFonts w:hint="eastAsia" w:ascii="宋体" w:hAnsi="宋体"/>
          <w:color w:val="auto"/>
          <w:sz w:val="32"/>
          <w:szCs w:val="24"/>
          <w:highlight w:val="none"/>
          <w:u w:val="single"/>
        </w:rPr>
        <w:t xml:space="preserve">   </w:t>
      </w:r>
      <w:r>
        <w:rPr>
          <w:rFonts w:hint="eastAsia" w:ascii="宋体" w:hAnsi="宋体"/>
          <w:color w:val="auto"/>
          <w:sz w:val="32"/>
          <w:szCs w:val="24"/>
          <w:highlight w:val="none"/>
          <w:u w:val="single"/>
          <w:lang w:val="en-US" w:eastAsia="zh-CN"/>
        </w:rPr>
        <w:t xml:space="preserve">   </w:t>
      </w:r>
      <w:r>
        <w:rPr>
          <w:rFonts w:hint="eastAsia" w:ascii="宋体" w:hAnsi="宋体"/>
          <w:color w:val="auto"/>
          <w:sz w:val="32"/>
          <w:szCs w:val="24"/>
          <w:highlight w:val="none"/>
          <w:u w:val="single"/>
        </w:rPr>
        <w:t xml:space="preserve"> </w:t>
      </w:r>
      <w:r>
        <w:rPr>
          <w:rFonts w:hint="eastAsia" w:ascii="宋体" w:hAnsi="宋体"/>
          <w:color w:val="auto"/>
          <w:sz w:val="32"/>
          <w:szCs w:val="24"/>
          <w:highlight w:val="none"/>
        </w:rPr>
        <w:t>月</w:t>
      </w:r>
      <w:r>
        <w:rPr>
          <w:rFonts w:hint="eastAsia" w:ascii="宋体" w:hAnsi="宋体"/>
          <w:color w:val="auto"/>
          <w:sz w:val="32"/>
          <w:szCs w:val="24"/>
          <w:highlight w:val="none"/>
          <w:u w:val="single"/>
        </w:rPr>
        <w:t xml:space="preserve"> </w:t>
      </w:r>
      <w:r>
        <w:rPr>
          <w:rFonts w:hint="eastAsia" w:ascii="宋体" w:hAnsi="宋体"/>
          <w:color w:val="auto"/>
          <w:sz w:val="32"/>
          <w:szCs w:val="24"/>
          <w:highlight w:val="none"/>
          <w:u w:val="single"/>
          <w:lang w:val="en-US" w:eastAsia="zh-CN"/>
        </w:rPr>
        <w:t xml:space="preserve">   </w:t>
      </w:r>
      <w:r>
        <w:rPr>
          <w:rFonts w:hint="eastAsia" w:ascii="宋体" w:hAnsi="宋体"/>
          <w:color w:val="auto"/>
          <w:sz w:val="32"/>
          <w:szCs w:val="24"/>
          <w:highlight w:val="none"/>
          <w:u w:val="single"/>
        </w:rPr>
        <w:t xml:space="preserve">  </w:t>
      </w:r>
      <w:r>
        <w:rPr>
          <w:rFonts w:hint="eastAsia" w:ascii="宋体" w:hAnsi="宋体"/>
          <w:color w:val="auto"/>
          <w:sz w:val="32"/>
          <w:szCs w:val="24"/>
          <w:highlight w:val="none"/>
        </w:rPr>
        <w:t>日</w:t>
      </w:r>
    </w:p>
    <w:p w14:paraId="25971BA6">
      <w:pPr>
        <w:jc w:val="center"/>
        <w:rPr>
          <w:rFonts w:hint="default" w:ascii="Times New Roman" w:hAnsi="Times New Roman" w:eastAsia="黑体"/>
          <w:color w:val="auto"/>
          <w:sz w:val="52"/>
          <w:szCs w:val="24"/>
          <w:highlight w:val="none"/>
        </w:rPr>
      </w:pPr>
    </w:p>
    <w:p w14:paraId="0ABE6042">
      <w:pPr>
        <w:spacing w:line="240" w:lineRule="exact"/>
        <w:jc w:val="center"/>
        <w:rPr>
          <w:rFonts w:hint="default" w:ascii="Times New Roman" w:hAnsi="Times New Roman" w:eastAsia="黑体"/>
          <w:color w:val="auto"/>
          <w:sz w:val="52"/>
          <w:szCs w:val="24"/>
          <w:highlight w:val="none"/>
        </w:rPr>
      </w:pPr>
    </w:p>
    <w:p w14:paraId="068F415F">
      <w:pPr>
        <w:spacing w:line="360" w:lineRule="auto"/>
        <w:ind w:firstLine="2100" w:firstLineChars="1000"/>
        <w:rPr>
          <w:rFonts w:hint="eastAsia" w:ascii="华文中宋" w:hAnsi="华文中宋" w:eastAsia="华文中宋"/>
          <w:color w:val="auto"/>
          <w:spacing w:val="20"/>
          <w:sz w:val="32"/>
          <w:szCs w:val="24"/>
          <w:highlight w:val="none"/>
        </w:rPr>
        <w:sectPr>
          <w:footerReference r:id="rId6" w:type="default"/>
          <w:pgSz w:w="11906" w:h="16838"/>
          <w:pgMar w:top="1418" w:right="1028" w:bottom="1418" w:left="998" w:header="851" w:footer="907" w:gutter="0"/>
          <w:lnNumType w:countBy="0" w:distance="360"/>
          <w:pgNumType w:fmt="decimal" w:start="1"/>
          <w:cols w:space="720" w:num="1"/>
          <w:docGrid w:type="lines" w:linePitch="312" w:charSpace="0"/>
        </w:sectPr>
      </w:pPr>
      <w:r>
        <w:rPr>
          <w:rFonts w:hint="default"/>
          <w:color w:val="auto"/>
          <w:sz w:val="21"/>
          <w:szCs w:val="24"/>
          <w:highlight w:val="none"/>
        </w:rPr>
        <mc:AlternateContent>
          <mc:Choice Requires="wps">
            <w:drawing>
              <wp:anchor distT="0" distB="0" distL="114300" distR="114300" simplePos="0" relativeHeight="251661312" behindDoc="0" locked="0" layoutInCell="1" allowOverlap="1">
                <wp:simplePos x="0" y="0"/>
                <wp:positionH relativeFrom="column">
                  <wp:posOffset>3429635</wp:posOffset>
                </wp:positionH>
                <wp:positionV relativeFrom="paragraph">
                  <wp:posOffset>339725</wp:posOffset>
                </wp:positionV>
                <wp:extent cx="723900" cy="4572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a:noFill/>
                        </a:ln>
                      </wps:spPr>
                      <wps:txbx>
                        <w:txbxContent>
                          <w:p w14:paraId="443750C3">
                            <w:pPr>
                              <w:spacing w:line="360" w:lineRule="auto"/>
                              <w:jc w:val="center"/>
                              <w:rPr>
                                <w:rFonts w:hint="eastAsia" w:ascii="宋体"/>
                                <w:b/>
                                <w:sz w:val="34"/>
                                <w:szCs w:val="24"/>
                              </w:rPr>
                            </w:pPr>
                          </w:p>
                        </w:txbxContent>
                      </wps:txbx>
                      <wps:bodyPr upright="1"/>
                    </wps:wsp>
                  </a:graphicData>
                </a:graphic>
              </wp:anchor>
            </w:drawing>
          </mc:Choice>
          <mc:Fallback>
            <w:pict>
              <v:shape id="_x0000_s1026" o:spid="_x0000_s1026" o:spt="202" type="#_x0000_t202" style="position:absolute;left:0pt;margin-left:270.05pt;margin-top:26.75pt;height:36pt;width:57pt;z-index:251661312;mso-width-relative:page;mso-height-relative:page;" filled="f" stroked="f" coordsize="21600,21600" o:gfxdata="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tZBHB9YAAAAK&#10;AQAADwAAAAAAAAABACAAAAAiAAAAZHJzL2Rvd25yZXYueG1sUEsBAhQAFAAAAAgAh07iQGZLq8is&#10;AQAATQMAAA4AAAAAAAAAAQAgAAAAJQEAAGRycy9lMm9Eb2MueG1sUEsFBgAAAAAGAAYAWQEAAEMF&#10;AAAAAA==&#10;">
                <v:fill on="f" focussize="0,0"/>
                <v:stroke on="f"/>
                <v:imagedata o:title=""/>
                <o:lock v:ext="edit" aspectratio="f"/>
                <v:textbox>
                  <w:txbxContent>
                    <w:p w14:paraId="443750C3">
                      <w:pPr>
                        <w:spacing w:line="360" w:lineRule="auto"/>
                        <w:jc w:val="center"/>
                        <w:rPr>
                          <w:rFonts w:hint="eastAsia" w:ascii="宋体"/>
                          <w:b/>
                          <w:sz w:val="34"/>
                          <w:szCs w:val="24"/>
                        </w:rPr>
                      </w:pPr>
                    </w:p>
                  </w:txbxContent>
                </v:textbox>
              </v:shape>
            </w:pict>
          </mc:Fallback>
        </mc:AlternateContent>
      </w:r>
    </w:p>
    <w:p w14:paraId="12D65945">
      <w:pPr>
        <w:adjustRightInd w:val="0"/>
        <w:snapToGrid w:val="0"/>
        <w:spacing w:line="440" w:lineRule="exact"/>
        <w:jc w:val="center"/>
        <w:rPr>
          <w:rFonts w:hint="eastAsia" w:ascii="宋体" w:cs="宋体"/>
          <w:b/>
          <w:color w:val="auto"/>
          <w:kern w:val="0"/>
          <w:sz w:val="28"/>
          <w:szCs w:val="28"/>
          <w:highlight w:val="none"/>
        </w:rPr>
      </w:pPr>
      <w:r>
        <w:rPr>
          <w:rFonts w:hint="eastAsia" w:ascii="宋体" w:cs="宋体"/>
          <w:b/>
          <w:color w:val="auto"/>
          <w:kern w:val="0"/>
          <w:sz w:val="28"/>
          <w:szCs w:val="28"/>
          <w:highlight w:val="none"/>
          <w:lang w:val="en-US" w:eastAsia="zh-CN"/>
        </w:rPr>
        <w:t>2026年公园游园设施安全整治项目跟踪审计项目</w:t>
      </w:r>
      <w:r>
        <w:rPr>
          <w:rFonts w:hint="eastAsia" w:ascii="宋体" w:cs="宋体"/>
          <w:b/>
          <w:color w:val="auto"/>
          <w:kern w:val="0"/>
          <w:sz w:val="28"/>
          <w:szCs w:val="28"/>
          <w:highlight w:val="none"/>
        </w:rPr>
        <w:t>委托协议</w:t>
      </w:r>
    </w:p>
    <w:p w14:paraId="1F2F7CED">
      <w:pPr>
        <w:keepNext w:val="0"/>
        <w:keepLines w:val="0"/>
        <w:pageBreakBefore w:val="0"/>
        <w:kinsoku/>
        <w:overflowPunct/>
        <w:topLinePunct w:val="0"/>
        <w:autoSpaceDE/>
        <w:autoSpaceDN/>
        <w:bidi w:val="0"/>
        <w:adjustRightInd w:val="0"/>
        <w:snapToGrid w:val="0"/>
        <w:spacing w:line="312" w:lineRule="auto"/>
        <w:textAlignment w:val="auto"/>
        <w:rPr>
          <w:rFonts w:hint="eastAsia" w:ascii="宋体" w:cs="宋体"/>
          <w:color w:val="auto"/>
          <w:kern w:val="0"/>
          <w:sz w:val="24"/>
          <w:szCs w:val="24"/>
          <w:highlight w:val="none"/>
        </w:rPr>
      </w:pPr>
    </w:p>
    <w:p w14:paraId="0A914C52">
      <w:pPr>
        <w:keepNext w:val="0"/>
        <w:keepLines w:val="0"/>
        <w:pageBreakBefore w:val="0"/>
        <w:kinsoku/>
        <w:wordWrap/>
        <w:overflowPunct/>
        <w:topLinePunct w:val="0"/>
        <w:autoSpaceDE/>
        <w:autoSpaceDN/>
        <w:bidi w:val="0"/>
        <w:adjustRightInd w:val="0"/>
        <w:snapToGrid w:val="0"/>
        <w:spacing w:line="500" w:lineRule="exact"/>
        <w:textAlignment w:val="auto"/>
        <w:rPr>
          <w:rFonts w:hint="default" w:ascii="宋体" w:eastAsia="宋体" w:cs="宋体"/>
          <w:color w:val="auto"/>
          <w:kern w:val="0"/>
          <w:sz w:val="21"/>
          <w:szCs w:val="21"/>
          <w:highlight w:val="none"/>
          <w:lang w:val="en-US" w:eastAsia="zh-CN"/>
        </w:rPr>
      </w:pPr>
      <w:r>
        <w:rPr>
          <w:rFonts w:hint="eastAsia" w:ascii="宋体" w:cs="宋体"/>
          <w:color w:val="auto"/>
          <w:kern w:val="0"/>
          <w:sz w:val="21"/>
          <w:szCs w:val="21"/>
          <w:highlight w:val="none"/>
        </w:rPr>
        <w:t>委托方（甲方）：</w:t>
      </w:r>
      <w:r>
        <w:rPr>
          <w:rFonts w:hint="eastAsia" w:ascii="宋体" w:cs="宋体"/>
          <w:color w:val="auto"/>
          <w:kern w:val="0"/>
          <w:sz w:val="21"/>
          <w:szCs w:val="21"/>
          <w:highlight w:val="none"/>
          <w:u w:val="single"/>
          <w:lang w:val="en-US" w:eastAsia="zh-CN"/>
        </w:rPr>
        <w:t xml:space="preserve">                      </w:t>
      </w:r>
    </w:p>
    <w:p w14:paraId="6A23C706">
      <w:pPr>
        <w:keepNext w:val="0"/>
        <w:keepLines w:val="0"/>
        <w:pageBreakBefore w:val="0"/>
        <w:kinsoku/>
        <w:wordWrap/>
        <w:overflowPunct/>
        <w:topLinePunct w:val="0"/>
        <w:autoSpaceDE/>
        <w:autoSpaceDN/>
        <w:bidi w:val="0"/>
        <w:adjustRightInd w:val="0"/>
        <w:snapToGrid w:val="0"/>
        <w:spacing w:line="500" w:lineRule="exact"/>
        <w:textAlignment w:val="auto"/>
        <w:rPr>
          <w:rFonts w:hint="default" w:ascii="宋体" w:eastAsia="宋体" w:cs="宋体"/>
          <w:color w:val="auto"/>
          <w:kern w:val="0"/>
          <w:sz w:val="21"/>
          <w:szCs w:val="21"/>
          <w:highlight w:val="none"/>
          <w:lang w:val="en-US" w:eastAsia="zh-CN"/>
        </w:rPr>
      </w:pPr>
      <w:r>
        <w:rPr>
          <w:rFonts w:hint="eastAsia" w:ascii="宋体" w:cs="宋体"/>
          <w:color w:val="auto"/>
          <w:kern w:val="0"/>
          <w:sz w:val="21"/>
          <w:szCs w:val="21"/>
          <w:highlight w:val="none"/>
        </w:rPr>
        <w:t>受托方（乙方）：</w:t>
      </w:r>
      <w:r>
        <w:rPr>
          <w:rFonts w:hint="eastAsia" w:ascii="宋体" w:cs="宋体"/>
          <w:color w:val="auto"/>
          <w:kern w:val="0"/>
          <w:sz w:val="21"/>
          <w:szCs w:val="21"/>
          <w:highlight w:val="none"/>
          <w:u w:val="single"/>
        </w:rPr>
        <w:t xml:space="preserve">    </w:t>
      </w:r>
      <w:r>
        <w:rPr>
          <w:rFonts w:hint="eastAsia" w:ascii="宋体" w:cs="宋体"/>
          <w:color w:val="auto"/>
          <w:kern w:val="0"/>
          <w:sz w:val="21"/>
          <w:szCs w:val="21"/>
          <w:highlight w:val="none"/>
          <w:u w:val="single"/>
          <w:lang w:val="en-US" w:eastAsia="zh-CN"/>
        </w:rPr>
        <w:t xml:space="preserve">                  </w:t>
      </w:r>
    </w:p>
    <w:p w14:paraId="3CBECA3A">
      <w:pPr>
        <w:keepNext w:val="0"/>
        <w:keepLines w:val="0"/>
        <w:pageBreakBefore w:val="0"/>
        <w:kinsoku/>
        <w:wordWrap/>
        <w:overflowPunct/>
        <w:topLinePunct w:val="0"/>
        <w:autoSpaceDE/>
        <w:autoSpaceDN/>
        <w:bidi w:val="0"/>
        <w:snapToGrid w:val="0"/>
        <w:spacing w:line="500" w:lineRule="exact"/>
        <w:ind w:firstLine="420" w:firstLineChars="200"/>
        <w:textAlignment w:val="auto"/>
        <w:rPr>
          <w:rFonts w:hint="eastAsia" w:ascii="宋体" w:cs="宋体"/>
          <w:color w:val="auto"/>
          <w:kern w:val="0"/>
          <w:sz w:val="21"/>
          <w:szCs w:val="21"/>
          <w:highlight w:val="none"/>
        </w:rPr>
      </w:pPr>
      <w:r>
        <w:rPr>
          <w:rFonts w:hint="eastAsia" w:ascii="宋体" w:cs="宋体"/>
          <w:color w:val="auto"/>
          <w:kern w:val="0"/>
          <w:sz w:val="21"/>
          <w:szCs w:val="21"/>
          <w:highlight w:val="none"/>
        </w:rPr>
        <w:t>为保证滁州市政府投资项目审计工作质量和效率，依据《中华人民共和国审计法》、《中华人民共和国</w:t>
      </w:r>
      <w:r>
        <w:rPr>
          <w:rFonts w:hint="eastAsia" w:ascii="宋体" w:cs="宋体"/>
          <w:color w:val="auto"/>
          <w:kern w:val="0"/>
          <w:sz w:val="21"/>
          <w:szCs w:val="21"/>
          <w:highlight w:val="none"/>
          <w:lang w:val="en-US" w:eastAsia="zh-CN"/>
        </w:rPr>
        <w:t>民法典</w:t>
      </w:r>
      <w:r>
        <w:rPr>
          <w:rFonts w:hint="eastAsia" w:ascii="宋体" w:cs="宋体"/>
          <w:color w:val="auto"/>
          <w:kern w:val="0"/>
          <w:sz w:val="21"/>
          <w:szCs w:val="21"/>
          <w:highlight w:val="none"/>
        </w:rPr>
        <w:t>》、《滁州市政府投资项目管理暂行办法》、《滁州市政府投资建设项目审计监督办法》等有关法律法规，甲、乙双方经协商一致，自愿签订本协议。</w:t>
      </w:r>
    </w:p>
    <w:p w14:paraId="09986841">
      <w:pPr>
        <w:keepNext w:val="0"/>
        <w:keepLines w:val="0"/>
        <w:pageBreakBefore w:val="0"/>
        <w:kinsoku/>
        <w:wordWrap/>
        <w:overflowPunct/>
        <w:topLinePunct w:val="0"/>
        <w:autoSpaceDE/>
        <w:autoSpaceDN/>
        <w:bidi w:val="0"/>
        <w:snapToGrid w:val="0"/>
        <w:spacing w:line="500" w:lineRule="exact"/>
        <w:ind w:firstLine="482" w:firstLineChars="200"/>
        <w:textAlignment w:val="auto"/>
        <w:rPr>
          <w:rFonts w:hint="eastAsia" w:ascii="宋体" w:cs="宋体"/>
          <w:b/>
          <w:bCs/>
          <w:color w:val="auto"/>
          <w:kern w:val="0"/>
          <w:sz w:val="24"/>
          <w:szCs w:val="24"/>
          <w:highlight w:val="none"/>
        </w:rPr>
      </w:pPr>
      <w:r>
        <w:rPr>
          <w:rFonts w:hint="eastAsia" w:ascii="宋体" w:cs="宋体"/>
          <w:b/>
          <w:bCs/>
          <w:color w:val="auto"/>
          <w:kern w:val="0"/>
          <w:sz w:val="24"/>
          <w:szCs w:val="24"/>
          <w:highlight w:val="none"/>
        </w:rPr>
        <w:t>一、跟踪（结算）审计项目</w:t>
      </w:r>
    </w:p>
    <w:p w14:paraId="33EFA554">
      <w:pPr>
        <w:keepNext w:val="0"/>
        <w:keepLines w:val="0"/>
        <w:pageBreakBefore w:val="0"/>
        <w:kinsoku/>
        <w:wordWrap/>
        <w:overflowPunct/>
        <w:topLinePunct w:val="0"/>
        <w:autoSpaceDE/>
        <w:autoSpaceDN/>
        <w:bidi w:val="0"/>
        <w:snapToGrid w:val="0"/>
        <w:spacing w:line="500" w:lineRule="exact"/>
        <w:ind w:firstLine="420" w:firstLineChars="200"/>
        <w:textAlignment w:val="auto"/>
        <w:rPr>
          <w:rFonts w:hint="eastAsia" w:ascii="宋体" w:eastAsia="宋体" w:cs="宋体"/>
          <w:color w:val="auto"/>
          <w:kern w:val="0"/>
          <w:sz w:val="21"/>
          <w:szCs w:val="21"/>
          <w:highlight w:val="none"/>
          <w:lang w:eastAsia="zh-CN"/>
        </w:rPr>
      </w:pPr>
      <w:r>
        <w:rPr>
          <w:rFonts w:hint="eastAsia" w:ascii="宋体" w:cs="宋体"/>
          <w:color w:val="auto"/>
          <w:kern w:val="0"/>
          <w:sz w:val="21"/>
          <w:szCs w:val="21"/>
          <w:highlight w:val="none"/>
        </w:rPr>
        <w:t>1.项目名称：</w:t>
      </w:r>
      <w:r>
        <w:rPr>
          <w:rFonts w:hint="eastAsia" w:ascii="宋体" w:cs="宋体"/>
          <w:color w:val="auto"/>
          <w:kern w:val="0"/>
          <w:sz w:val="21"/>
          <w:szCs w:val="21"/>
          <w:highlight w:val="none"/>
          <w:lang w:val="en-US" w:eastAsia="zh-CN"/>
        </w:rPr>
        <w:t>2026年公园游园设施安全整治项目跟踪审计项目</w:t>
      </w:r>
    </w:p>
    <w:p w14:paraId="3F7A1B18">
      <w:pPr>
        <w:keepNext w:val="0"/>
        <w:keepLines w:val="0"/>
        <w:pageBreakBefore w:val="0"/>
        <w:kinsoku/>
        <w:wordWrap/>
        <w:overflowPunct/>
        <w:topLinePunct w:val="0"/>
        <w:autoSpaceDE/>
        <w:autoSpaceDN/>
        <w:bidi w:val="0"/>
        <w:snapToGrid w:val="0"/>
        <w:spacing w:line="500" w:lineRule="exact"/>
        <w:ind w:firstLine="420" w:firstLineChars="200"/>
        <w:textAlignment w:val="auto"/>
        <w:rPr>
          <w:rFonts w:hint="eastAsia" w:ascii="宋体" w:eastAsia="宋体" w:cs="宋体"/>
          <w:color w:val="auto"/>
          <w:kern w:val="0"/>
          <w:sz w:val="21"/>
          <w:szCs w:val="21"/>
          <w:highlight w:val="none"/>
          <w:lang w:eastAsia="zh-CN"/>
        </w:rPr>
      </w:pPr>
      <w:r>
        <w:rPr>
          <w:rFonts w:hint="eastAsia" w:ascii="宋体" w:cs="宋体"/>
          <w:color w:val="auto"/>
          <w:kern w:val="0"/>
          <w:sz w:val="21"/>
          <w:szCs w:val="21"/>
          <w:highlight w:val="none"/>
        </w:rPr>
        <w:t>2.项目投资额：</w:t>
      </w:r>
      <w:r>
        <w:rPr>
          <w:rFonts w:hint="eastAsia" w:ascii="宋体" w:cs="宋体"/>
          <w:color w:val="auto"/>
          <w:kern w:val="0"/>
          <w:sz w:val="21"/>
          <w:szCs w:val="21"/>
          <w:highlight w:val="none"/>
          <w:lang w:val="en-US" w:eastAsia="zh-CN"/>
        </w:rPr>
        <w:t xml:space="preserve">      </w:t>
      </w:r>
      <w:r>
        <w:rPr>
          <w:rFonts w:hint="eastAsia" w:ascii="宋体" w:cs="宋体"/>
          <w:color w:val="auto"/>
          <w:kern w:val="0"/>
          <w:sz w:val="21"/>
          <w:szCs w:val="21"/>
          <w:highlight w:val="none"/>
          <w:lang w:eastAsia="zh-CN"/>
        </w:rPr>
        <w:t>。</w:t>
      </w:r>
    </w:p>
    <w:p w14:paraId="3CD0A40E">
      <w:pPr>
        <w:keepNext w:val="0"/>
        <w:keepLines w:val="0"/>
        <w:pageBreakBefore w:val="0"/>
        <w:kinsoku/>
        <w:wordWrap/>
        <w:overflowPunct/>
        <w:topLinePunct w:val="0"/>
        <w:autoSpaceDE/>
        <w:autoSpaceDN/>
        <w:bidi w:val="0"/>
        <w:snapToGrid w:val="0"/>
        <w:spacing w:line="500" w:lineRule="exact"/>
        <w:ind w:firstLine="420" w:firstLineChars="200"/>
        <w:textAlignment w:val="auto"/>
        <w:rPr>
          <w:rFonts w:hint="eastAsia" w:ascii="宋体" w:cs="宋体"/>
          <w:color w:val="auto"/>
          <w:kern w:val="0"/>
          <w:sz w:val="21"/>
          <w:szCs w:val="21"/>
          <w:highlight w:val="none"/>
        </w:rPr>
      </w:pPr>
      <w:r>
        <w:rPr>
          <w:rFonts w:hint="eastAsia" w:ascii="宋体" w:cs="宋体"/>
          <w:color w:val="auto"/>
          <w:kern w:val="0"/>
          <w:sz w:val="21"/>
          <w:szCs w:val="21"/>
          <w:highlight w:val="none"/>
        </w:rPr>
        <w:t>3.委托内容：跟踪审计</w:t>
      </w:r>
    </w:p>
    <w:p w14:paraId="7568D35D">
      <w:pPr>
        <w:keepNext w:val="0"/>
        <w:keepLines w:val="0"/>
        <w:pageBreakBefore w:val="0"/>
        <w:kinsoku/>
        <w:wordWrap/>
        <w:overflowPunct/>
        <w:topLinePunct w:val="0"/>
        <w:autoSpaceDE/>
        <w:autoSpaceDN/>
        <w:bidi w:val="0"/>
        <w:snapToGrid w:val="0"/>
        <w:spacing w:line="500" w:lineRule="exact"/>
        <w:ind w:firstLine="420" w:firstLineChars="200"/>
        <w:textAlignment w:val="auto"/>
        <w:rPr>
          <w:rFonts w:hint="eastAsia" w:ascii="宋体"/>
          <w:color w:val="auto"/>
          <w:sz w:val="21"/>
          <w:szCs w:val="21"/>
          <w:highlight w:val="none"/>
        </w:rPr>
      </w:pPr>
      <w:r>
        <w:rPr>
          <w:rFonts w:hint="eastAsia" w:ascii="宋体"/>
          <w:color w:val="auto"/>
          <w:sz w:val="21"/>
          <w:szCs w:val="21"/>
          <w:highlight w:val="none"/>
          <w:lang w:eastAsia="zh-CN"/>
        </w:rPr>
        <w:t>（</w:t>
      </w:r>
      <w:r>
        <w:rPr>
          <w:rFonts w:hint="eastAsia" w:ascii="宋体"/>
          <w:color w:val="auto"/>
          <w:sz w:val="21"/>
          <w:szCs w:val="21"/>
          <w:highlight w:val="none"/>
          <w:lang w:val="en-US" w:eastAsia="zh-CN"/>
        </w:rPr>
        <w:t>1</w:t>
      </w:r>
      <w:r>
        <w:rPr>
          <w:rFonts w:hint="eastAsia" w:ascii="宋体"/>
          <w:color w:val="auto"/>
          <w:sz w:val="21"/>
          <w:szCs w:val="21"/>
          <w:highlight w:val="none"/>
          <w:lang w:eastAsia="zh-CN"/>
        </w:rPr>
        <w:t>）</w:t>
      </w:r>
      <w:r>
        <w:rPr>
          <w:rFonts w:hint="eastAsia" w:ascii="宋体"/>
          <w:color w:val="auto"/>
          <w:sz w:val="21"/>
          <w:szCs w:val="21"/>
          <w:highlight w:val="none"/>
        </w:rPr>
        <w:t xml:space="preserve">成立项目跟踪（结算）审计组，编制跟踪（结算）审计实施方案，确定投资控制目标、重点环节及应对措施； </w:t>
      </w:r>
    </w:p>
    <w:p w14:paraId="5167918E">
      <w:pPr>
        <w:keepNext w:val="0"/>
        <w:keepLines w:val="0"/>
        <w:pageBreakBefore w:val="0"/>
        <w:kinsoku/>
        <w:wordWrap/>
        <w:overflowPunct/>
        <w:topLinePunct w:val="0"/>
        <w:autoSpaceDE/>
        <w:autoSpaceDN/>
        <w:bidi w:val="0"/>
        <w:snapToGrid w:val="0"/>
        <w:spacing w:line="500" w:lineRule="exact"/>
        <w:ind w:firstLine="420" w:firstLineChars="200"/>
        <w:textAlignment w:val="auto"/>
        <w:rPr>
          <w:rFonts w:hint="eastAsia" w:ascii="宋体"/>
          <w:color w:val="auto"/>
          <w:sz w:val="21"/>
          <w:szCs w:val="21"/>
          <w:highlight w:val="none"/>
        </w:rPr>
      </w:pPr>
      <w:r>
        <w:rPr>
          <w:rFonts w:hint="eastAsia" w:ascii="宋体"/>
          <w:color w:val="auto"/>
          <w:sz w:val="21"/>
          <w:szCs w:val="21"/>
          <w:highlight w:val="none"/>
          <w:lang w:eastAsia="zh-CN"/>
        </w:rPr>
        <w:t>（</w:t>
      </w:r>
      <w:r>
        <w:rPr>
          <w:rFonts w:hint="eastAsia" w:ascii="宋体"/>
          <w:color w:val="auto"/>
          <w:sz w:val="21"/>
          <w:szCs w:val="21"/>
          <w:highlight w:val="none"/>
          <w:lang w:val="en-US" w:eastAsia="zh-CN"/>
        </w:rPr>
        <w:t>2</w:t>
      </w:r>
      <w:r>
        <w:rPr>
          <w:rFonts w:hint="eastAsia" w:ascii="宋体"/>
          <w:color w:val="auto"/>
          <w:sz w:val="21"/>
          <w:szCs w:val="21"/>
          <w:highlight w:val="none"/>
          <w:lang w:eastAsia="zh-CN"/>
        </w:rPr>
        <w:t>）</w:t>
      </w:r>
      <w:r>
        <w:rPr>
          <w:rFonts w:hint="eastAsia" w:ascii="宋体"/>
          <w:color w:val="auto"/>
          <w:sz w:val="21"/>
          <w:szCs w:val="21"/>
          <w:highlight w:val="none"/>
        </w:rPr>
        <w:t>审核项目前期资料（图纸、工程量清单及控制价、招标投标文件、施工合同等），向甲方提交审核结果；</w:t>
      </w:r>
    </w:p>
    <w:p w14:paraId="225E0233">
      <w:pPr>
        <w:keepNext w:val="0"/>
        <w:keepLines w:val="0"/>
        <w:pageBreakBefore w:val="0"/>
        <w:kinsoku/>
        <w:wordWrap/>
        <w:overflowPunct/>
        <w:topLinePunct w:val="0"/>
        <w:autoSpaceDE/>
        <w:autoSpaceDN/>
        <w:bidi w:val="0"/>
        <w:snapToGrid w:val="0"/>
        <w:spacing w:line="500" w:lineRule="exact"/>
        <w:ind w:firstLine="420" w:firstLineChars="200"/>
        <w:textAlignment w:val="auto"/>
        <w:rPr>
          <w:rFonts w:hint="eastAsia" w:ascii="宋体"/>
          <w:color w:val="auto"/>
          <w:sz w:val="21"/>
          <w:szCs w:val="21"/>
          <w:highlight w:val="none"/>
        </w:rPr>
      </w:pPr>
      <w:r>
        <w:rPr>
          <w:rFonts w:hint="eastAsia" w:ascii="宋体"/>
          <w:color w:val="auto"/>
          <w:sz w:val="21"/>
          <w:szCs w:val="21"/>
          <w:highlight w:val="none"/>
          <w:lang w:eastAsia="zh-CN"/>
        </w:rPr>
        <w:t>（</w:t>
      </w:r>
      <w:r>
        <w:rPr>
          <w:rFonts w:hint="eastAsia" w:ascii="宋体"/>
          <w:color w:val="auto"/>
          <w:sz w:val="21"/>
          <w:szCs w:val="21"/>
          <w:highlight w:val="none"/>
          <w:lang w:val="en-US" w:eastAsia="zh-CN"/>
        </w:rPr>
        <w:t>3</w:t>
      </w:r>
      <w:r>
        <w:rPr>
          <w:rFonts w:hint="eastAsia" w:ascii="宋体"/>
          <w:color w:val="auto"/>
          <w:sz w:val="21"/>
          <w:szCs w:val="21"/>
          <w:highlight w:val="none"/>
          <w:lang w:eastAsia="zh-CN"/>
        </w:rPr>
        <w:t>）</w:t>
      </w:r>
      <w:r>
        <w:rPr>
          <w:rFonts w:hint="eastAsia" w:ascii="宋体"/>
          <w:color w:val="auto"/>
          <w:sz w:val="21"/>
          <w:szCs w:val="21"/>
          <w:highlight w:val="none"/>
        </w:rPr>
        <w:t>对承包方上报的请款期已完成合格工程量的计量、计价进行审核，并提供按工程形象进度付款的意见、建议；</w:t>
      </w:r>
    </w:p>
    <w:p w14:paraId="4A9E9636">
      <w:pPr>
        <w:keepNext w:val="0"/>
        <w:keepLines w:val="0"/>
        <w:pageBreakBefore w:val="0"/>
        <w:kinsoku/>
        <w:wordWrap/>
        <w:overflowPunct/>
        <w:topLinePunct w:val="0"/>
        <w:autoSpaceDE/>
        <w:autoSpaceDN/>
        <w:bidi w:val="0"/>
        <w:snapToGrid w:val="0"/>
        <w:spacing w:line="500" w:lineRule="exact"/>
        <w:ind w:firstLine="420" w:firstLineChars="200"/>
        <w:textAlignment w:val="auto"/>
        <w:rPr>
          <w:rFonts w:hint="eastAsia" w:ascii="宋体"/>
          <w:color w:val="auto"/>
          <w:sz w:val="21"/>
          <w:szCs w:val="21"/>
          <w:highlight w:val="none"/>
        </w:rPr>
      </w:pPr>
      <w:r>
        <w:rPr>
          <w:rFonts w:hint="eastAsia" w:ascii="宋体"/>
          <w:color w:val="auto"/>
          <w:sz w:val="21"/>
          <w:szCs w:val="21"/>
          <w:highlight w:val="none"/>
          <w:lang w:eastAsia="zh-CN"/>
        </w:rPr>
        <w:t>（</w:t>
      </w:r>
      <w:r>
        <w:rPr>
          <w:rFonts w:hint="eastAsia" w:ascii="宋体"/>
          <w:color w:val="auto"/>
          <w:sz w:val="21"/>
          <w:szCs w:val="21"/>
          <w:highlight w:val="none"/>
          <w:lang w:val="en-US" w:eastAsia="zh-CN"/>
        </w:rPr>
        <w:t>4</w:t>
      </w:r>
      <w:r>
        <w:rPr>
          <w:rFonts w:hint="eastAsia" w:ascii="宋体"/>
          <w:color w:val="auto"/>
          <w:sz w:val="21"/>
          <w:szCs w:val="21"/>
          <w:highlight w:val="none"/>
          <w:lang w:eastAsia="zh-CN"/>
        </w:rPr>
        <w:t>）</w:t>
      </w:r>
      <w:r>
        <w:rPr>
          <w:rFonts w:hint="eastAsia" w:ascii="宋体"/>
          <w:color w:val="auto"/>
          <w:sz w:val="21"/>
          <w:szCs w:val="21"/>
          <w:highlight w:val="none"/>
        </w:rPr>
        <w:t>及时核定分阶段完工的项目分部、分项工程价款结算，项目竣工后，及时提交完整的竣工结算审核报告；</w:t>
      </w:r>
    </w:p>
    <w:p w14:paraId="2B3DEBC1">
      <w:pPr>
        <w:keepNext w:val="0"/>
        <w:keepLines w:val="0"/>
        <w:pageBreakBefore w:val="0"/>
        <w:kinsoku/>
        <w:wordWrap/>
        <w:overflowPunct/>
        <w:topLinePunct w:val="0"/>
        <w:autoSpaceDE/>
        <w:autoSpaceDN/>
        <w:bidi w:val="0"/>
        <w:snapToGrid w:val="0"/>
        <w:spacing w:line="500" w:lineRule="exact"/>
        <w:ind w:firstLine="420" w:firstLineChars="200"/>
        <w:textAlignment w:val="auto"/>
        <w:rPr>
          <w:rFonts w:hint="eastAsia" w:ascii="宋体"/>
          <w:color w:val="auto"/>
          <w:sz w:val="21"/>
          <w:szCs w:val="21"/>
          <w:highlight w:val="none"/>
        </w:rPr>
      </w:pPr>
      <w:r>
        <w:rPr>
          <w:rFonts w:hint="eastAsia" w:ascii="宋体"/>
          <w:color w:val="auto"/>
          <w:sz w:val="21"/>
          <w:szCs w:val="21"/>
          <w:highlight w:val="none"/>
          <w:lang w:eastAsia="zh-CN"/>
        </w:rPr>
        <w:t>（</w:t>
      </w:r>
      <w:r>
        <w:rPr>
          <w:rFonts w:hint="eastAsia" w:ascii="宋体"/>
          <w:color w:val="auto"/>
          <w:sz w:val="21"/>
          <w:szCs w:val="21"/>
          <w:highlight w:val="none"/>
          <w:lang w:val="en-US" w:eastAsia="zh-CN"/>
        </w:rPr>
        <w:t>5</w:t>
      </w:r>
      <w:r>
        <w:rPr>
          <w:rFonts w:hint="eastAsia" w:ascii="宋体"/>
          <w:color w:val="auto"/>
          <w:sz w:val="21"/>
          <w:szCs w:val="21"/>
          <w:highlight w:val="none"/>
          <w:lang w:eastAsia="zh-CN"/>
        </w:rPr>
        <w:t>）</w:t>
      </w:r>
      <w:r>
        <w:rPr>
          <w:rFonts w:hint="eastAsia" w:ascii="宋体"/>
          <w:color w:val="auto"/>
          <w:sz w:val="21"/>
          <w:szCs w:val="21"/>
          <w:highlight w:val="none"/>
        </w:rPr>
        <w:t>协助甲方及时审核设计变更、经济签证等发生的费用，超过一定限额的，提请甲方履行报批程序；</w:t>
      </w:r>
    </w:p>
    <w:p w14:paraId="5680E1A0">
      <w:pPr>
        <w:keepNext w:val="0"/>
        <w:keepLines w:val="0"/>
        <w:pageBreakBefore w:val="0"/>
        <w:kinsoku/>
        <w:wordWrap/>
        <w:overflowPunct/>
        <w:topLinePunct w:val="0"/>
        <w:autoSpaceDE/>
        <w:autoSpaceDN/>
        <w:bidi w:val="0"/>
        <w:snapToGrid w:val="0"/>
        <w:spacing w:line="500" w:lineRule="exact"/>
        <w:ind w:firstLine="420" w:firstLineChars="200"/>
        <w:textAlignment w:val="auto"/>
        <w:rPr>
          <w:rFonts w:hint="eastAsia" w:ascii="宋体"/>
          <w:color w:val="auto"/>
          <w:sz w:val="21"/>
          <w:szCs w:val="21"/>
          <w:highlight w:val="none"/>
        </w:rPr>
      </w:pPr>
      <w:r>
        <w:rPr>
          <w:rFonts w:hint="eastAsia" w:ascii="宋体"/>
          <w:color w:val="auto"/>
          <w:sz w:val="21"/>
          <w:szCs w:val="21"/>
          <w:highlight w:val="none"/>
          <w:lang w:eastAsia="zh-CN"/>
        </w:rPr>
        <w:t>（</w:t>
      </w:r>
      <w:r>
        <w:rPr>
          <w:rFonts w:hint="eastAsia" w:ascii="宋体"/>
          <w:color w:val="auto"/>
          <w:sz w:val="21"/>
          <w:szCs w:val="21"/>
          <w:highlight w:val="none"/>
          <w:lang w:val="en-US" w:eastAsia="zh-CN"/>
        </w:rPr>
        <w:t>6</w:t>
      </w:r>
      <w:r>
        <w:rPr>
          <w:rFonts w:hint="eastAsia" w:ascii="宋体"/>
          <w:color w:val="auto"/>
          <w:sz w:val="21"/>
          <w:szCs w:val="21"/>
          <w:highlight w:val="none"/>
          <w:lang w:eastAsia="zh-CN"/>
        </w:rPr>
        <w:t>）</w:t>
      </w:r>
      <w:r>
        <w:rPr>
          <w:rFonts w:hint="eastAsia" w:ascii="宋体"/>
          <w:color w:val="auto"/>
          <w:sz w:val="21"/>
          <w:szCs w:val="21"/>
          <w:highlight w:val="none"/>
        </w:rPr>
        <w:t>项目承、发包方发生工程价款结算争议时，为甲方提供咨询意见；</w:t>
      </w:r>
    </w:p>
    <w:p w14:paraId="63F76154">
      <w:pPr>
        <w:keepNext w:val="0"/>
        <w:keepLines w:val="0"/>
        <w:pageBreakBefore w:val="0"/>
        <w:kinsoku/>
        <w:wordWrap/>
        <w:overflowPunct/>
        <w:topLinePunct w:val="0"/>
        <w:autoSpaceDE/>
        <w:autoSpaceDN/>
        <w:bidi w:val="0"/>
        <w:snapToGrid w:val="0"/>
        <w:spacing w:line="500" w:lineRule="exact"/>
        <w:ind w:firstLine="420" w:firstLineChars="200"/>
        <w:textAlignment w:val="auto"/>
        <w:rPr>
          <w:rFonts w:hint="eastAsia" w:ascii="宋体"/>
          <w:color w:val="auto"/>
          <w:sz w:val="21"/>
          <w:szCs w:val="21"/>
          <w:highlight w:val="none"/>
        </w:rPr>
      </w:pPr>
      <w:r>
        <w:rPr>
          <w:rFonts w:hint="eastAsia" w:ascii="宋体"/>
          <w:color w:val="auto"/>
          <w:sz w:val="21"/>
          <w:szCs w:val="21"/>
          <w:highlight w:val="none"/>
          <w:lang w:eastAsia="zh-CN"/>
        </w:rPr>
        <w:t>（</w:t>
      </w:r>
      <w:r>
        <w:rPr>
          <w:rFonts w:hint="eastAsia" w:ascii="宋体"/>
          <w:color w:val="auto"/>
          <w:sz w:val="21"/>
          <w:szCs w:val="21"/>
          <w:highlight w:val="none"/>
          <w:lang w:val="en-US" w:eastAsia="zh-CN"/>
        </w:rPr>
        <w:t>7</w:t>
      </w:r>
      <w:r>
        <w:rPr>
          <w:rFonts w:hint="eastAsia" w:ascii="宋体"/>
          <w:color w:val="auto"/>
          <w:sz w:val="21"/>
          <w:szCs w:val="21"/>
          <w:highlight w:val="none"/>
          <w:lang w:eastAsia="zh-CN"/>
        </w:rPr>
        <w:t>）</w:t>
      </w:r>
      <w:r>
        <w:rPr>
          <w:rFonts w:hint="eastAsia" w:ascii="宋体"/>
          <w:color w:val="auto"/>
          <w:sz w:val="21"/>
          <w:szCs w:val="21"/>
          <w:highlight w:val="none"/>
        </w:rPr>
        <w:t xml:space="preserve">参与项目建设管理的有关会议，对项目投资控制的有关事项发表独立审计意见； </w:t>
      </w:r>
    </w:p>
    <w:p w14:paraId="78096D16">
      <w:pPr>
        <w:keepNext w:val="0"/>
        <w:keepLines w:val="0"/>
        <w:pageBreakBefore w:val="0"/>
        <w:kinsoku/>
        <w:wordWrap/>
        <w:overflowPunct/>
        <w:topLinePunct w:val="0"/>
        <w:autoSpaceDE/>
        <w:autoSpaceDN/>
        <w:bidi w:val="0"/>
        <w:snapToGrid w:val="0"/>
        <w:spacing w:line="500" w:lineRule="exact"/>
        <w:ind w:firstLine="420" w:firstLineChars="200"/>
        <w:textAlignment w:val="auto"/>
        <w:rPr>
          <w:rFonts w:hint="eastAsia" w:ascii="宋体"/>
          <w:color w:val="auto"/>
          <w:sz w:val="21"/>
          <w:szCs w:val="21"/>
          <w:highlight w:val="none"/>
        </w:rPr>
      </w:pPr>
      <w:r>
        <w:rPr>
          <w:rFonts w:hint="eastAsia" w:ascii="宋体"/>
          <w:color w:val="auto"/>
          <w:sz w:val="21"/>
          <w:szCs w:val="21"/>
          <w:highlight w:val="none"/>
          <w:lang w:eastAsia="zh-CN"/>
        </w:rPr>
        <w:t>（</w:t>
      </w:r>
      <w:r>
        <w:rPr>
          <w:rFonts w:hint="eastAsia" w:ascii="宋体"/>
          <w:color w:val="auto"/>
          <w:sz w:val="21"/>
          <w:szCs w:val="21"/>
          <w:highlight w:val="none"/>
          <w:lang w:val="en-US" w:eastAsia="zh-CN"/>
        </w:rPr>
        <w:t>8</w:t>
      </w:r>
      <w:r>
        <w:rPr>
          <w:rFonts w:hint="eastAsia" w:ascii="宋体"/>
          <w:color w:val="auto"/>
          <w:sz w:val="21"/>
          <w:szCs w:val="21"/>
          <w:highlight w:val="none"/>
          <w:lang w:eastAsia="zh-CN"/>
        </w:rPr>
        <w:t>）</w:t>
      </w:r>
      <w:r>
        <w:rPr>
          <w:rFonts w:hint="eastAsia" w:ascii="宋体"/>
          <w:color w:val="auto"/>
          <w:sz w:val="21"/>
          <w:szCs w:val="21"/>
          <w:highlight w:val="none"/>
        </w:rPr>
        <w:t>其他与项目投资控制相关的工作。</w:t>
      </w:r>
    </w:p>
    <w:p w14:paraId="3B4A51D7">
      <w:pPr>
        <w:keepNext w:val="0"/>
        <w:keepLines w:val="0"/>
        <w:pageBreakBefore w:val="0"/>
        <w:kinsoku/>
        <w:wordWrap/>
        <w:overflowPunct/>
        <w:topLinePunct w:val="0"/>
        <w:autoSpaceDE/>
        <w:autoSpaceDN/>
        <w:bidi w:val="0"/>
        <w:snapToGrid w:val="0"/>
        <w:spacing w:line="500" w:lineRule="exact"/>
        <w:ind w:firstLine="482" w:firstLineChars="200"/>
        <w:textAlignment w:val="auto"/>
        <w:rPr>
          <w:rFonts w:hint="eastAsia" w:ascii="宋体"/>
          <w:color w:val="auto"/>
          <w:sz w:val="24"/>
          <w:szCs w:val="24"/>
          <w:highlight w:val="none"/>
        </w:rPr>
      </w:pPr>
      <w:r>
        <w:rPr>
          <w:rFonts w:hint="eastAsia" w:ascii="宋体" w:cs="宋体"/>
          <w:b/>
          <w:bCs/>
          <w:color w:val="auto"/>
          <w:kern w:val="0"/>
          <w:sz w:val="24"/>
          <w:szCs w:val="24"/>
          <w:highlight w:val="none"/>
          <w:lang w:val="en-US" w:eastAsia="zh-CN"/>
        </w:rPr>
        <w:t>二</w:t>
      </w:r>
      <w:r>
        <w:rPr>
          <w:rFonts w:hint="eastAsia" w:ascii="宋体" w:cs="宋体"/>
          <w:b/>
          <w:bCs/>
          <w:color w:val="auto"/>
          <w:kern w:val="0"/>
          <w:sz w:val="24"/>
          <w:szCs w:val="24"/>
          <w:highlight w:val="none"/>
        </w:rPr>
        <w:t>、项目跟踪（结算）审计制度及相关要求</w:t>
      </w:r>
    </w:p>
    <w:p w14:paraId="50104B61">
      <w:pPr>
        <w:keepNext w:val="0"/>
        <w:keepLines w:val="0"/>
        <w:pageBreakBefore w:val="0"/>
        <w:kinsoku/>
        <w:wordWrap/>
        <w:overflowPunct/>
        <w:topLinePunct w:val="0"/>
        <w:autoSpaceDE/>
        <w:autoSpaceDN/>
        <w:bidi w:val="0"/>
        <w:snapToGrid w:val="0"/>
        <w:spacing w:line="500" w:lineRule="exact"/>
        <w:ind w:firstLine="420" w:firstLineChars="200"/>
        <w:textAlignment w:val="auto"/>
        <w:rPr>
          <w:rFonts w:hint="eastAsia" w:ascii="宋体"/>
          <w:color w:val="auto"/>
          <w:sz w:val="21"/>
          <w:szCs w:val="21"/>
          <w:highlight w:val="none"/>
        </w:rPr>
      </w:pPr>
      <w:r>
        <w:rPr>
          <w:rFonts w:hint="eastAsia" w:ascii="宋体"/>
          <w:color w:val="auto"/>
          <w:sz w:val="21"/>
          <w:szCs w:val="21"/>
          <w:highlight w:val="none"/>
        </w:rPr>
        <w:t>1.滁州市政府投资项目审计“八不准制度”和市重点处“工程建设十六条禁令”；</w:t>
      </w:r>
    </w:p>
    <w:p w14:paraId="44C87A33">
      <w:pPr>
        <w:keepNext w:val="0"/>
        <w:keepLines w:val="0"/>
        <w:pageBreakBefore w:val="0"/>
        <w:kinsoku/>
        <w:wordWrap/>
        <w:overflowPunct/>
        <w:topLinePunct w:val="0"/>
        <w:autoSpaceDE/>
        <w:autoSpaceDN/>
        <w:bidi w:val="0"/>
        <w:snapToGrid w:val="0"/>
        <w:spacing w:line="500" w:lineRule="exact"/>
        <w:ind w:firstLine="420" w:firstLineChars="200"/>
        <w:textAlignment w:val="auto"/>
        <w:rPr>
          <w:rFonts w:hint="eastAsia" w:ascii="宋体"/>
          <w:color w:val="auto"/>
          <w:sz w:val="21"/>
          <w:szCs w:val="21"/>
          <w:highlight w:val="none"/>
        </w:rPr>
      </w:pPr>
      <w:r>
        <w:rPr>
          <w:rFonts w:hint="eastAsia" w:ascii="宋体"/>
          <w:color w:val="auto"/>
          <w:sz w:val="21"/>
          <w:szCs w:val="21"/>
          <w:highlight w:val="none"/>
        </w:rPr>
        <w:t>2.滁州市政府投资项目竣工结算审计结果备案制度；</w:t>
      </w:r>
    </w:p>
    <w:p w14:paraId="5E2CA5E9">
      <w:pPr>
        <w:keepNext w:val="0"/>
        <w:keepLines w:val="0"/>
        <w:pageBreakBefore w:val="0"/>
        <w:kinsoku/>
        <w:wordWrap/>
        <w:overflowPunct/>
        <w:topLinePunct w:val="0"/>
        <w:autoSpaceDE/>
        <w:autoSpaceDN/>
        <w:bidi w:val="0"/>
        <w:snapToGrid w:val="0"/>
        <w:spacing w:line="500" w:lineRule="exact"/>
        <w:ind w:firstLine="420" w:firstLineChars="200"/>
        <w:textAlignment w:val="auto"/>
        <w:rPr>
          <w:rFonts w:hint="eastAsia" w:ascii="宋体"/>
          <w:color w:val="auto"/>
          <w:sz w:val="21"/>
          <w:szCs w:val="21"/>
          <w:highlight w:val="none"/>
        </w:rPr>
      </w:pPr>
      <w:r>
        <w:rPr>
          <w:rFonts w:hint="eastAsia" w:ascii="宋体"/>
          <w:color w:val="auto"/>
          <w:sz w:val="21"/>
          <w:szCs w:val="21"/>
          <w:highlight w:val="none"/>
        </w:rPr>
        <w:t>3.滁州市建设项目施工阶段全过程造价控制管理暂行办法；</w:t>
      </w:r>
    </w:p>
    <w:p w14:paraId="123FE01F">
      <w:pPr>
        <w:keepNext w:val="0"/>
        <w:keepLines w:val="0"/>
        <w:pageBreakBefore w:val="0"/>
        <w:kinsoku/>
        <w:wordWrap/>
        <w:overflowPunct/>
        <w:topLinePunct w:val="0"/>
        <w:autoSpaceDE/>
        <w:autoSpaceDN/>
        <w:bidi w:val="0"/>
        <w:snapToGrid w:val="0"/>
        <w:spacing w:line="500" w:lineRule="exact"/>
        <w:ind w:firstLine="420" w:firstLineChars="200"/>
        <w:textAlignment w:val="auto"/>
        <w:rPr>
          <w:rFonts w:hint="eastAsia" w:ascii="宋体"/>
          <w:color w:val="auto"/>
          <w:sz w:val="21"/>
          <w:szCs w:val="21"/>
          <w:highlight w:val="none"/>
        </w:rPr>
      </w:pPr>
      <w:r>
        <w:rPr>
          <w:rFonts w:hint="eastAsia" w:ascii="宋体"/>
          <w:color w:val="auto"/>
          <w:sz w:val="21"/>
          <w:szCs w:val="21"/>
          <w:highlight w:val="none"/>
        </w:rPr>
        <w:t>4.实行定期、分段报告制度。乙方应及时提交项目前期资料审核结果、跟踪（结算）审计月报、竣工结算审核报告；</w:t>
      </w:r>
    </w:p>
    <w:p w14:paraId="7AC2383A">
      <w:pPr>
        <w:keepNext w:val="0"/>
        <w:keepLines w:val="0"/>
        <w:pageBreakBefore w:val="0"/>
        <w:kinsoku/>
        <w:wordWrap/>
        <w:overflowPunct/>
        <w:topLinePunct w:val="0"/>
        <w:autoSpaceDE/>
        <w:autoSpaceDN/>
        <w:bidi w:val="0"/>
        <w:snapToGrid w:val="0"/>
        <w:spacing w:line="500" w:lineRule="exact"/>
        <w:ind w:firstLine="420" w:firstLineChars="200"/>
        <w:textAlignment w:val="auto"/>
        <w:rPr>
          <w:rFonts w:hint="eastAsia" w:ascii="宋体"/>
          <w:color w:val="auto"/>
          <w:sz w:val="21"/>
          <w:szCs w:val="21"/>
          <w:highlight w:val="none"/>
        </w:rPr>
      </w:pPr>
      <w:r>
        <w:rPr>
          <w:rFonts w:hint="eastAsia" w:ascii="宋体"/>
          <w:color w:val="auto"/>
          <w:sz w:val="21"/>
          <w:szCs w:val="21"/>
          <w:highlight w:val="none"/>
        </w:rPr>
        <w:t>5.加强对项目变更事项的合理性、经济性审核。对涉及工程造价的重大事项须及时书面报告甲方，否则项目竣工结算不予审核备案，由此造成的后果由乙方承担；</w:t>
      </w:r>
    </w:p>
    <w:p w14:paraId="350FFCA3">
      <w:pPr>
        <w:keepNext w:val="0"/>
        <w:keepLines w:val="0"/>
        <w:pageBreakBefore w:val="0"/>
        <w:kinsoku/>
        <w:wordWrap/>
        <w:overflowPunct/>
        <w:topLinePunct w:val="0"/>
        <w:autoSpaceDE/>
        <w:autoSpaceDN/>
        <w:bidi w:val="0"/>
        <w:snapToGrid w:val="0"/>
        <w:spacing w:line="500" w:lineRule="exact"/>
        <w:ind w:firstLine="420" w:firstLineChars="200"/>
        <w:textAlignment w:val="auto"/>
        <w:rPr>
          <w:rFonts w:hint="eastAsia" w:ascii="宋体"/>
          <w:color w:val="auto"/>
          <w:sz w:val="21"/>
          <w:szCs w:val="21"/>
          <w:highlight w:val="none"/>
        </w:rPr>
      </w:pPr>
      <w:r>
        <w:rPr>
          <w:rFonts w:hint="eastAsia" w:ascii="宋体"/>
          <w:color w:val="auto"/>
          <w:sz w:val="21"/>
          <w:szCs w:val="21"/>
          <w:highlight w:val="none"/>
        </w:rPr>
        <w:t>6.协助甲方完成项目投资控制的各项工作，接受甲方的项目现场管理。</w:t>
      </w:r>
    </w:p>
    <w:p w14:paraId="6FF92F17">
      <w:pPr>
        <w:keepNext w:val="0"/>
        <w:keepLines w:val="0"/>
        <w:pageBreakBefore w:val="0"/>
        <w:kinsoku/>
        <w:wordWrap/>
        <w:overflowPunct/>
        <w:topLinePunct w:val="0"/>
        <w:autoSpaceDE/>
        <w:autoSpaceDN/>
        <w:bidi w:val="0"/>
        <w:snapToGrid w:val="0"/>
        <w:spacing w:line="500" w:lineRule="exact"/>
        <w:ind w:firstLine="482" w:firstLineChars="200"/>
        <w:textAlignment w:val="auto"/>
        <w:rPr>
          <w:rFonts w:hint="eastAsia" w:ascii="宋体"/>
          <w:color w:val="auto"/>
          <w:sz w:val="24"/>
          <w:szCs w:val="24"/>
          <w:highlight w:val="none"/>
        </w:rPr>
      </w:pPr>
      <w:r>
        <w:rPr>
          <w:rFonts w:hint="eastAsia" w:ascii="宋体" w:cs="宋体"/>
          <w:b/>
          <w:bCs/>
          <w:color w:val="auto"/>
          <w:kern w:val="0"/>
          <w:sz w:val="24"/>
          <w:szCs w:val="24"/>
          <w:highlight w:val="none"/>
          <w:lang w:val="en-US" w:eastAsia="zh-CN"/>
        </w:rPr>
        <w:t>三、项目跟踪（结算）审计组及人员配备要求</w:t>
      </w:r>
    </w:p>
    <w:p w14:paraId="6C0C6494">
      <w:pPr>
        <w:keepNext w:val="0"/>
        <w:keepLines w:val="0"/>
        <w:pageBreakBefore w:val="0"/>
        <w:kinsoku/>
        <w:wordWrap/>
        <w:overflowPunct/>
        <w:topLinePunct w:val="0"/>
        <w:autoSpaceDE/>
        <w:autoSpaceDN/>
        <w:bidi w:val="0"/>
        <w:snapToGrid w:val="0"/>
        <w:spacing w:line="500" w:lineRule="exact"/>
        <w:ind w:firstLine="420" w:firstLineChars="200"/>
        <w:textAlignment w:val="auto"/>
        <w:rPr>
          <w:rFonts w:hint="eastAsia" w:ascii="宋体"/>
          <w:color w:val="auto"/>
          <w:sz w:val="21"/>
          <w:szCs w:val="21"/>
          <w:highlight w:val="none"/>
        </w:rPr>
      </w:pPr>
      <w:r>
        <w:rPr>
          <w:rFonts w:hint="eastAsia" w:ascii="宋体"/>
          <w:color w:val="auto"/>
          <w:sz w:val="21"/>
          <w:szCs w:val="21"/>
          <w:highlight w:val="none"/>
        </w:rPr>
        <w:t>1.乙方须成立项目跟踪（结算）审计组，配备相应数量具有相关专业执业资质的审计人员（须为备选库入库人员）。本项目审计组负责人为</w:t>
      </w:r>
      <w:r>
        <w:rPr>
          <w:rFonts w:hint="eastAsia" w:ascii="宋体"/>
          <w:color w:val="auto"/>
          <w:sz w:val="21"/>
          <w:szCs w:val="21"/>
          <w:highlight w:val="none"/>
          <w:u w:val="single"/>
        </w:rPr>
        <w:t>姓名、注册造价师证书号、联系电话</w:t>
      </w:r>
      <w:r>
        <w:rPr>
          <w:rFonts w:hint="eastAsia" w:ascii="宋体"/>
          <w:color w:val="auto"/>
          <w:sz w:val="21"/>
          <w:szCs w:val="21"/>
          <w:highlight w:val="none"/>
        </w:rPr>
        <w:t>，成员为</w:t>
      </w:r>
      <w:r>
        <w:rPr>
          <w:rFonts w:hint="eastAsia" w:ascii="宋体"/>
          <w:color w:val="auto"/>
          <w:sz w:val="21"/>
          <w:szCs w:val="21"/>
          <w:highlight w:val="none"/>
          <w:u w:val="single"/>
        </w:rPr>
        <w:t>姓名、</w:t>
      </w:r>
      <w:r>
        <w:rPr>
          <w:rFonts w:hint="eastAsia" w:ascii="宋体"/>
          <w:color w:val="auto"/>
          <w:sz w:val="21"/>
          <w:szCs w:val="21"/>
          <w:highlight w:val="none"/>
          <w:u w:val="single"/>
          <w:lang w:val="en-US" w:eastAsia="zh-CN"/>
        </w:rPr>
        <w:t>造价师</w:t>
      </w:r>
      <w:r>
        <w:rPr>
          <w:rFonts w:hint="eastAsia" w:ascii="宋体"/>
          <w:color w:val="auto"/>
          <w:sz w:val="21"/>
          <w:szCs w:val="21"/>
          <w:highlight w:val="none"/>
          <w:u w:val="single"/>
        </w:rPr>
        <w:t>证书号、联系电话（现场负责人）</w:t>
      </w:r>
      <w:r>
        <w:rPr>
          <w:rFonts w:hint="eastAsia" w:ascii="宋体"/>
          <w:color w:val="auto"/>
          <w:sz w:val="21"/>
          <w:szCs w:val="21"/>
          <w:highlight w:val="none"/>
        </w:rPr>
        <w:t>；</w:t>
      </w:r>
    </w:p>
    <w:p w14:paraId="78211BD2">
      <w:pPr>
        <w:keepNext w:val="0"/>
        <w:keepLines w:val="0"/>
        <w:pageBreakBefore w:val="0"/>
        <w:kinsoku/>
        <w:wordWrap/>
        <w:overflowPunct/>
        <w:topLinePunct w:val="0"/>
        <w:autoSpaceDE/>
        <w:autoSpaceDN/>
        <w:bidi w:val="0"/>
        <w:snapToGrid w:val="0"/>
        <w:spacing w:line="500" w:lineRule="exact"/>
        <w:ind w:firstLine="420" w:firstLineChars="200"/>
        <w:textAlignment w:val="auto"/>
        <w:rPr>
          <w:rFonts w:hint="eastAsia" w:ascii="宋体"/>
          <w:color w:val="auto"/>
          <w:sz w:val="21"/>
          <w:szCs w:val="21"/>
          <w:highlight w:val="none"/>
        </w:rPr>
      </w:pPr>
      <w:r>
        <w:rPr>
          <w:rFonts w:hint="eastAsia" w:ascii="宋体"/>
          <w:color w:val="auto"/>
          <w:sz w:val="21"/>
          <w:szCs w:val="21"/>
          <w:highlight w:val="none"/>
        </w:rPr>
        <w:t>2.项目审计人员须服从甲方的工作安排，未经甲方许可，乙方不得随意更换、调整审计组人员。</w:t>
      </w:r>
    </w:p>
    <w:p w14:paraId="20235ED6">
      <w:pPr>
        <w:pStyle w:val="41"/>
        <w:keepNext w:val="0"/>
        <w:keepLines w:val="0"/>
        <w:pageBreakBefore w:val="0"/>
        <w:kinsoku/>
        <w:wordWrap/>
        <w:overflowPunct/>
        <w:topLinePunct w:val="0"/>
        <w:autoSpaceDE/>
        <w:autoSpaceDN/>
        <w:bidi w:val="0"/>
        <w:snapToGrid w:val="0"/>
        <w:spacing w:before="0" w:beforeAutospacing="0" w:after="0" w:afterAutospacing="0" w:line="500" w:lineRule="exact"/>
        <w:ind w:firstLine="482" w:firstLineChars="200"/>
        <w:textAlignment w:val="auto"/>
        <w:rPr>
          <w:rFonts w:hint="eastAsia" w:eastAsia="宋体" w:cs="Times New Roman"/>
          <w:color w:val="auto"/>
          <w:kern w:val="2"/>
          <w:sz w:val="24"/>
          <w:szCs w:val="24"/>
          <w:highlight w:val="none"/>
        </w:rPr>
      </w:pPr>
      <w:r>
        <w:rPr>
          <w:rFonts w:hint="eastAsia" w:hAnsi="Times New Roman" w:eastAsia="宋体" w:cs="宋体"/>
          <w:b/>
          <w:bCs/>
          <w:color w:val="auto"/>
          <w:kern w:val="0"/>
          <w:sz w:val="24"/>
          <w:szCs w:val="24"/>
          <w:highlight w:val="none"/>
          <w:lang w:val="en-US" w:eastAsia="zh-CN" w:bidi="ar-SA"/>
        </w:rPr>
        <w:t>四</w:t>
      </w:r>
      <w:r>
        <w:rPr>
          <w:rFonts w:hint="eastAsia" w:ascii="宋体" w:hAnsi="Times New Roman" w:eastAsia="宋体" w:cs="宋体"/>
          <w:b/>
          <w:bCs/>
          <w:color w:val="auto"/>
          <w:kern w:val="0"/>
          <w:sz w:val="24"/>
          <w:szCs w:val="24"/>
          <w:highlight w:val="none"/>
          <w:lang w:val="en-US" w:eastAsia="zh-CN" w:bidi="ar-SA"/>
        </w:rPr>
        <w:t>、项目跟踪（结算）审计质量要求</w:t>
      </w:r>
    </w:p>
    <w:p w14:paraId="44F5B9E4">
      <w:pPr>
        <w:pStyle w:val="41"/>
        <w:keepNext w:val="0"/>
        <w:keepLines w:val="0"/>
        <w:pageBreakBefore w:val="0"/>
        <w:kinsoku/>
        <w:wordWrap/>
        <w:overflowPunct/>
        <w:topLinePunct w:val="0"/>
        <w:autoSpaceDE/>
        <w:autoSpaceDN/>
        <w:bidi w:val="0"/>
        <w:snapToGrid w:val="0"/>
        <w:spacing w:before="0" w:beforeAutospacing="0" w:after="0" w:afterAutospacing="0" w:line="500" w:lineRule="exact"/>
        <w:ind w:firstLine="420" w:firstLineChars="200"/>
        <w:textAlignment w:val="auto"/>
        <w:rPr>
          <w:rFonts w:hint="eastAsia" w:eastAsia="宋体" w:cs="Times New Roman"/>
          <w:color w:val="auto"/>
          <w:kern w:val="2"/>
          <w:sz w:val="21"/>
          <w:szCs w:val="21"/>
          <w:highlight w:val="none"/>
        </w:rPr>
      </w:pPr>
      <w:r>
        <w:rPr>
          <w:rFonts w:hint="eastAsia" w:eastAsia="宋体" w:cs="Times New Roman"/>
          <w:color w:val="auto"/>
          <w:kern w:val="2"/>
          <w:sz w:val="21"/>
          <w:szCs w:val="21"/>
          <w:highlight w:val="none"/>
        </w:rPr>
        <w:t>项目跟踪审计、结算审核服务费的误差违约金处罚根据第三方复审、综合计划科复核或市财政工程造价审核中心的审核结果确定：</w:t>
      </w:r>
    </w:p>
    <w:p w14:paraId="29DA9FA9">
      <w:pPr>
        <w:pStyle w:val="41"/>
        <w:keepNext w:val="0"/>
        <w:keepLines w:val="0"/>
        <w:pageBreakBefore w:val="0"/>
        <w:kinsoku/>
        <w:wordWrap/>
        <w:overflowPunct/>
        <w:topLinePunct w:val="0"/>
        <w:autoSpaceDE/>
        <w:autoSpaceDN/>
        <w:bidi w:val="0"/>
        <w:snapToGrid w:val="0"/>
        <w:spacing w:before="0" w:beforeAutospacing="0" w:after="0" w:afterAutospacing="0" w:line="500" w:lineRule="exact"/>
        <w:ind w:firstLine="420" w:firstLineChars="200"/>
        <w:textAlignment w:val="auto"/>
        <w:rPr>
          <w:rFonts w:hint="eastAsia" w:eastAsia="宋体" w:cs="Times New Roman"/>
          <w:color w:val="auto"/>
          <w:kern w:val="2"/>
          <w:sz w:val="21"/>
          <w:szCs w:val="21"/>
          <w:highlight w:val="none"/>
        </w:rPr>
      </w:pPr>
      <w:r>
        <w:rPr>
          <w:rFonts w:hint="eastAsia" w:eastAsia="宋体" w:cs="Times New Roman"/>
          <w:color w:val="auto"/>
          <w:kern w:val="2"/>
          <w:sz w:val="21"/>
          <w:szCs w:val="21"/>
          <w:highlight w:val="none"/>
        </w:rPr>
        <w:t>（一）审核结果误差在1%-2%（含）之间，以服务费的25%作为违约金；</w:t>
      </w:r>
    </w:p>
    <w:p w14:paraId="307F83FE">
      <w:pPr>
        <w:pStyle w:val="41"/>
        <w:keepNext w:val="0"/>
        <w:keepLines w:val="0"/>
        <w:pageBreakBefore w:val="0"/>
        <w:kinsoku/>
        <w:wordWrap/>
        <w:overflowPunct/>
        <w:topLinePunct w:val="0"/>
        <w:autoSpaceDE/>
        <w:autoSpaceDN/>
        <w:bidi w:val="0"/>
        <w:snapToGrid w:val="0"/>
        <w:spacing w:before="0" w:beforeAutospacing="0" w:after="0" w:afterAutospacing="0" w:line="500" w:lineRule="exact"/>
        <w:ind w:firstLine="420" w:firstLineChars="200"/>
        <w:textAlignment w:val="auto"/>
        <w:rPr>
          <w:rFonts w:hint="eastAsia" w:eastAsia="宋体" w:cs="Times New Roman"/>
          <w:color w:val="auto"/>
          <w:kern w:val="2"/>
          <w:sz w:val="21"/>
          <w:szCs w:val="21"/>
          <w:highlight w:val="none"/>
        </w:rPr>
      </w:pPr>
      <w:r>
        <w:rPr>
          <w:rFonts w:hint="eastAsia" w:eastAsia="宋体" w:cs="Times New Roman"/>
          <w:color w:val="auto"/>
          <w:kern w:val="2"/>
          <w:sz w:val="21"/>
          <w:szCs w:val="21"/>
          <w:highlight w:val="none"/>
        </w:rPr>
        <w:t>（二）审核结果误差在2%-3%（含）之间，以服务费的50%作为违约金；</w:t>
      </w:r>
    </w:p>
    <w:p w14:paraId="268C8DAC">
      <w:pPr>
        <w:pStyle w:val="41"/>
        <w:keepNext w:val="0"/>
        <w:keepLines w:val="0"/>
        <w:pageBreakBefore w:val="0"/>
        <w:kinsoku/>
        <w:wordWrap/>
        <w:overflowPunct/>
        <w:topLinePunct w:val="0"/>
        <w:autoSpaceDE/>
        <w:autoSpaceDN/>
        <w:bidi w:val="0"/>
        <w:snapToGrid w:val="0"/>
        <w:spacing w:before="0" w:beforeAutospacing="0" w:after="0" w:afterAutospacing="0" w:line="500" w:lineRule="exact"/>
        <w:ind w:firstLine="420" w:firstLineChars="200"/>
        <w:textAlignment w:val="auto"/>
        <w:rPr>
          <w:rFonts w:hint="eastAsia" w:eastAsia="宋体" w:cs="Times New Roman"/>
          <w:color w:val="auto"/>
          <w:kern w:val="2"/>
          <w:sz w:val="21"/>
          <w:szCs w:val="21"/>
          <w:highlight w:val="none"/>
        </w:rPr>
      </w:pPr>
      <w:r>
        <w:rPr>
          <w:rFonts w:hint="eastAsia" w:eastAsia="宋体" w:cs="Times New Roman"/>
          <w:color w:val="auto"/>
          <w:kern w:val="2"/>
          <w:sz w:val="21"/>
          <w:szCs w:val="21"/>
          <w:highlight w:val="none"/>
        </w:rPr>
        <w:t>（三）审核结果误差在3%-4%（含）之间，以服务费的75%作为违约金；</w:t>
      </w:r>
    </w:p>
    <w:p w14:paraId="6F776228">
      <w:pPr>
        <w:pStyle w:val="41"/>
        <w:keepNext w:val="0"/>
        <w:keepLines w:val="0"/>
        <w:pageBreakBefore w:val="0"/>
        <w:kinsoku/>
        <w:wordWrap/>
        <w:overflowPunct/>
        <w:topLinePunct w:val="0"/>
        <w:autoSpaceDE/>
        <w:autoSpaceDN/>
        <w:bidi w:val="0"/>
        <w:snapToGrid w:val="0"/>
        <w:spacing w:before="0" w:beforeAutospacing="0" w:after="0" w:afterAutospacing="0" w:line="500" w:lineRule="exact"/>
        <w:ind w:firstLine="420" w:firstLineChars="200"/>
        <w:textAlignment w:val="auto"/>
        <w:rPr>
          <w:rFonts w:hint="eastAsia" w:eastAsia="宋体" w:cs="Times New Roman"/>
          <w:color w:val="auto"/>
          <w:kern w:val="2"/>
          <w:sz w:val="21"/>
          <w:szCs w:val="21"/>
          <w:highlight w:val="none"/>
        </w:rPr>
      </w:pPr>
      <w:r>
        <w:rPr>
          <w:rFonts w:hint="eastAsia" w:eastAsia="宋体" w:cs="Times New Roman"/>
          <w:color w:val="auto"/>
          <w:kern w:val="2"/>
          <w:sz w:val="21"/>
          <w:szCs w:val="21"/>
          <w:highlight w:val="none"/>
        </w:rPr>
        <w:t>（四）审核结果误差超过4%的, 以全额服务费作为违约金。同时，工程造价 1000-5000 万元项目，暂停业务6个月；工程造价 5000 万元以上项目，暂停业务12个月。</w:t>
      </w:r>
    </w:p>
    <w:p w14:paraId="4A3427E2">
      <w:pPr>
        <w:pStyle w:val="41"/>
        <w:keepNext w:val="0"/>
        <w:keepLines w:val="0"/>
        <w:pageBreakBefore w:val="0"/>
        <w:kinsoku/>
        <w:wordWrap/>
        <w:overflowPunct/>
        <w:topLinePunct w:val="0"/>
        <w:autoSpaceDE/>
        <w:autoSpaceDN/>
        <w:bidi w:val="0"/>
        <w:snapToGrid w:val="0"/>
        <w:spacing w:before="0" w:beforeAutospacing="0" w:after="0" w:afterAutospacing="0" w:line="500" w:lineRule="exact"/>
        <w:ind w:firstLine="482" w:firstLineChars="200"/>
        <w:textAlignment w:val="auto"/>
        <w:rPr>
          <w:rFonts w:hint="eastAsia" w:hAnsi="Times New Roman" w:eastAsia="宋体" w:cs="宋体"/>
          <w:b/>
          <w:bCs/>
          <w:color w:val="auto"/>
          <w:kern w:val="0"/>
          <w:sz w:val="24"/>
          <w:szCs w:val="24"/>
          <w:highlight w:val="none"/>
          <w:lang w:val="en-US" w:eastAsia="zh-CN" w:bidi="ar-SA"/>
        </w:rPr>
      </w:pPr>
      <w:r>
        <w:rPr>
          <w:rFonts w:hint="eastAsia" w:hAnsi="Times New Roman" w:eastAsia="宋体" w:cs="宋体"/>
          <w:b/>
          <w:bCs/>
          <w:color w:val="auto"/>
          <w:kern w:val="0"/>
          <w:sz w:val="24"/>
          <w:szCs w:val="24"/>
          <w:highlight w:val="none"/>
          <w:lang w:val="en-US" w:eastAsia="zh-CN" w:bidi="ar-SA"/>
        </w:rPr>
        <w:t>五、项目跟踪（结算）审计服务费用标准及结算方式</w:t>
      </w:r>
    </w:p>
    <w:p w14:paraId="334EB0EB">
      <w:pPr>
        <w:pStyle w:val="41"/>
        <w:keepNext w:val="0"/>
        <w:keepLines w:val="0"/>
        <w:pageBreakBefore w:val="0"/>
        <w:kinsoku/>
        <w:wordWrap/>
        <w:overflowPunct/>
        <w:topLinePunct w:val="0"/>
        <w:autoSpaceDE/>
        <w:autoSpaceDN/>
        <w:bidi w:val="0"/>
        <w:snapToGrid w:val="0"/>
        <w:spacing w:before="0" w:beforeAutospacing="0" w:after="0" w:afterAutospacing="0" w:line="500" w:lineRule="exact"/>
        <w:ind w:firstLine="420" w:firstLineChars="200"/>
        <w:textAlignment w:val="auto"/>
        <w:rPr>
          <w:rFonts w:hint="eastAsia" w:eastAsia="宋体" w:cs="Times New Roman"/>
          <w:color w:val="auto"/>
          <w:kern w:val="2"/>
          <w:sz w:val="21"/>
          <w:szCs w:val="21"/>
          <w:highlight w:val="none"/>
          <w:lang w:eastAsia="zh-CN"/>
        </w:rPr>
      </w:pPr>
      <w:r>
        <w:rPr>
          <w:rFonts w:hint="eastAsia" w:eastAsia="宋体" w:cs="Times New Roman"/>
          <w:color w:val="auto"/>
          <w:kern w:val="2"/>
          <w:sz w:val="21"/>
          <w:szCs w:val="21"/>
          <w:highlight w:val="none"/>
        </w:rPr>
        <w:t>（一）项目跟踪（结算）审计服务费用</w:t>
      </w:r>
      <w:r>
        <w:rPr>
          <w:rFonts w:hint="eastAsia" w:cs="Times New Roman"/>
          <w:color w:val="auto"/>
          <w:kern w:val="2"/>
          <w:sz w:val="21"/>
          <w:szCs w:val="21"/>
          <w:highlight w:val="none"/>
          <w:lang w:eastAsia="zh-CN"/>
        </w:rPr>
        <w:t>：为基本费率</w:t>
      </w:r>
      <w:r>
        <w:rPr>
          <w:rFonts w:hint="eastAsia" w:cs="Times New Roman"/>
          <w:color w:val="auto"/>
          <w:kern w:val="2"/>
          <w:sz w:val="21"/>
          <w:szCs w:val="21"/>
          <w:highlight w:val="none"/>
          <w:u w:val="single"/>
          <w:lang w:val="en-US" w:eastAsia="zh-CN"/>
        </w:rPr>
        <w:t xml:space="preserve">   </w:t>
      </w:r>
      <w:r>
        <w:rPr>
          <w:rFonts w:hint="eastAsia" w:cs="Times New Roman"/>
          <w:color w:val="auto"/>
          <w:kern w:val="2"/>
          <w:sz w:val="21"/>
          <w:szCs w:val="21"/>
          <w:highlight w:val="none"/>
          <w:lang w:eastAsia="zh-CN"/>
        </w:rPr>
        <w:t>‰、审核成果费率</w:t>
      </w:r>
      <w:r>
        <w:rPr>
          <w:rFonts w:hint="eastAsia" w:cs="Times New Roman"/>
          <w:color w:val="auto"/>
          <w:kern w:val="2"/>
          <w:sz w:val="21"/>
          <w:szCs w:val="21"/>
          <w:highlight w:val="none"/>
          <w:u w:val="single"/>
          <w:lang w:eastAsia="zh-CN"/>
        </w:rPr>
        <w:t>4</w:t>
      </w:r>
      <w:r>
        <w:rPr>
          <w:rFonts w:hint="eastAsia" w:cs="Times New Roman"/>
          <w:color w:val="auto"/>
          <w:kern w:val="2"/>
          <w:sz w:val="21"/>
          <w:szCs w:val="21"/>
          <w:highlight w:val="none"/>
          <w:lang w:eastAsia="zh-CN"/>
        </w:rPr>
        <w:t>%。</w:t>
      </w:r>
    </w:p>
    <w:p w14:paraId="1D3B6FE7">
      <w:pPr>
        <w:keepNext w:val="0"/>
        <w:keepLines w:val="0"/>
        <w:pageBreakBefore w:val="0"/>
        <w:kinsoku/>
        <w:wordWrap/>
        <w:overflowPunct/>
        <w:topLinePunct w:val="0"/>
        <w:autoSpaceDE/>
        <w:autoSpaceDN/>
        <w:bidi w:val="0"/>
        <w:adjustRightInd/>
        <w:spacing w:line="50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r>
        <w:rPr>
          <w:rFonts w:hint="eastAsia" w:ascii="宋体" w:hAnsi="宋体" w:eastAsia="宋体" w:cs="宋体"/>
          <w:color w:val="auto"/>
          <w:sz w:val="21"/>
          <w:szCs w:val="21"/>
          <w:highlight w:val="none"/>
          <w:lang w:val="en-US" w:eastAsia="zh-CN"/>
        </w:rPr>
        <w:t xml:space="preserve">1. </w:t>
      </w:r>
      <w:r>
        <w:rPr>
          <w:rFonts w:hint="eastAsia" w:ascii="宋体" w:hAnsi="宋体" w:eastAsia="宋体" w:cs="宋体"/>
          <w:color w:val="auto"/>
          <w:sz w:val="21"/>
          <w:szCs w:val="21"/>
          <w:highlight w:val="none"/>
          <w:lang w:eastAsia="zh-CN"/>
        </w:rPr>
        <w:t>服务</w:t>
      </w:r>
      <w:r>
        <w:rPr>
          <w:rFonts w:hint="eastAsia" w:ascii="宋体" w:hAnsi="宋体" w:eastAsia="宋体" w:cs="宋体"/>
          <w:color w:val="auto"/>
          <w:sz w:val="21"/>
          <w:szCs w:val="21"/>
          <w:highlight w:val="none"/>
        </w:rPr>
        <w:t>费计算方式为：基本费+审核成果费。其中，跟踪审计服务基本费计算基数为审定金额；审核成果费计算基数为</w:t>
      </w:r>
      <w:r>
        <w:rPr>
          <w:rFonts w:hint="eastAsia" w:ascii="宋体" w:hAnsi="宋体" w:eastAsia="宋体" w:cs="宋体"/>
          <w:color w:val="auto"/>
          <w:sz w:val="21"/>
          <w:szCs w:val="21"/>
          <w:highlight w:val="none"/>
          <w:lang w:eastAsia="zh-CN"/>
        </w:rPr>
        <w:t>独立</w:t>
      </w:r>
      <w:r>
        <w:rPr>
          <w:rFonts w:hint="eastAsia" w:ascii="宋体" w:hAnsi="宋体" w:eastAsia="宋体" w:cs="宋体"/>
          <w:color w:val="auto"/>
          <w:sz w:val="21"/>
          <w:szCs w:val="21"/>
          <w:highlight w:val="none"/>
        </w:rPr>
        <w:t>核减金额。</w:t>
      </w:r>
    </w:p>
    <w:p w14:paraId="6CFCEB48">
      <w:pPr>
        <w:keepNext w:val="0"/>
        <w:keepLines w:val="0"/>
        <w:pageBreakBefore w:val="0"/>
        <w:numPr>
          <w:ilvl w:val="0"/>
          <w:numId w:val="0"/>
        </w:numPr>
        <w:kinsoku/>
        <w:wordWrap/>
        <w:overflowPunct/>
        <w:topLinePunct w:val="0"/>
        <w:autoSpaceDE/>
        <w:autoSpaceDN/>
        <w:bidi w:val="0"/>
        <w:adjustRightInd/>
        <w:spacing w:line="50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工程造价审减率超过</w:t>
      </w:r>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rPr>
        <w:t>%</w:t>
      </w:r>
      <w:r>
        <w:rPr>
          <w:rFonts w:hint="eastAsia" w:ascii="宋体" w:hAnsi="宋体" w:eastAsia="宋体" w:cs="宋体"/>
          <w:color w:val="auto"/>
          <w:sz w:val="21"/>
          <w:szCs w:val="21"/>
          <w:highlight w:val="none"/>
          <w:lang w:eastAsia="zh-CN"/>
        </w:rPr>
        <w:t>时</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将对施工单位进行处罚，处罚金额为</w:t>
      </w:r>
      <w:r>
        <w:rPr>
          <w:rFonts w:hint="eastAsia" w:ascii="宋体" w:hAnsi="宋体" w:eastAsia="宋体" w:cs="宋体"/>
          <w:color w:val="auto"/>
          <w:sz w:val="21"/>
          <w:szCs w:val="21"/>
          <w:highlight w:val="none"/>
        </w:rPr>
        <w:t>审减率</w:t>
      </w:r>
      <w:r>
        <w:rPr>
          <w:rFonts w:hint="eastAsia" w:ascii="宋体" w:hAnsi="宋体" w:eastAsia="宋体" w:cs="宋体"/>
          <w:color w:val="auto"/>
          <w:sz w:val="21"/>
          <w:szCs w:val="21"/>
          <w:highlight w:val="none"/>
          <w:lang w:eastAsia="zh-CN"/>
        </w:rPr>
        <w:t>超出</w:t>
      </w:r>
      <w:r>
        <w:rPr>
          <w:rFonts w:hint="eastAsia" w:ascii="宋体" w:hAnsi="宋体" w:eastAsia="宋体" w:cs="宋体"/>
          <w:b/>
          <w:bCs/>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以上的报送金额的</w:t>
      </w:r>
      <w:r>
        <w:rPr>
          <w:rFonts w:hint="eastAsia" w:ascii="宋体" w:hAnsi="宋体" w:eastAsia="宋体" w:cs="宋体"/>
          <w:b/>
          <w:bCs/>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由综合计划科在定案时明确处罚金额报工程监管科落实处罚</w:t>
      </w:r>
      <w:r>
        <w:rPr>
          <w:rFonts w:hint="eastAsia" w:ascii="宋体" w:hAnsi="宋体" w:eastAsia="宋体" w:cs="宋体"/>
          <w:b w:val="0"/>
          <w:bCs w:val="0"/>
          <w:color w:val="auto"/>
          <w:sz w:val="21"/>
          <w:szCs w:val="21"/>
          <w:highlight w:val="none"/>
        </w:rPr>
        <w:t>。</w:t>
      </w:r>
    </w:p>
    <w:p w14:paraId="2C08F6CB">
      <w:pPr>
        <w:pStyle w:val="41"/>
        <w:keepNext w:val="0"/>
        <w:keepLines w:val="0"/>
        <w:pageBreakBefore w:val="0"/>
        <w:kinsoku/>
        <w:wordWrap/>
        <w:overflowPunct/>
        <w:topLinePunct w:val="0"/>
        <w:autoSpaceDE/>
        <w:autoSpaceDN/>
        <w:bidi w:val="0"/>
        <w:snapToGrid w:val="0"/>
        <w:spacing w:before="0" w:beforeAutospacing="0" w:after="0" w:afterAutospacing="0" w:line="500" w:lineRule="exact"/>
        <w:ind w:firstLine="420" w:firstLineChars="200"/>
        <w:textAlignment w:val="auto"/>
        <w:rPr>
          <w:rFonts w:hint="eastAsia" w:eastAsia="宋体" w:cs="Times New Roman"/>
          <w:color w:val="auto"/>
          <w:kern w:val="2"/>
          <w:sz w:val="21"/>
          <w:szCs w:val="21"/>
          <w:highlight w:val="none"/>
        </w:rPr>
      </w:pPr>
      <w:r>
        <w:rPr>
          <w:rFonts w:hint="eastAsia" w:eastAsia="宋体" w:cs="Times New Roman"/>
          <w:color w:val="auto"/>
          <w:kern w:val="2"/>
          <w:sz w:val="21"/>
          <w:szCs w:val="21"/>
          <w:highlight w:val="none"/>
        </w:rPr>
        <w:t>（</w:t>
      </w:r>
      <w:r>
        <w:rPr>
          <w:rFonts w:hint="eastAsia" w:eastAsia="宋体" w:cs="Times New Roman"/>
          <w:color w:val="auto"/>
          <w:kern w:val="2"/>
          <w:sz w:val="21"/>
          <w:szCs w:val="21"/>
          <w:highlight w:val="none"/>
          <w:lang w:val="en-US" w:eastAsia="zh-CN"/>
        </w:rPr>
        <w:t>二</w:t>
      </w:r>
      <w:r>
        <w:rPr>
          <w:rFonts w:hint="eastAsia" w:eastAsia="宋体" w:cs="Times New Roman"/>
          <w:color w:val="auto"/>
          <w:kern w:val="2"/>
          <w:sz w:val="21"/>
          <w:szCs w:val="21"/>
          <w:highlight w:val="none"/>
        </w:rPr>
        <w:t>）项目跟踪（结算）审计费用结算方式</w:t>
      </w:r>
    </w:p>
    <w:p w14:paraId="0DB3ADB2">
      <w:pPr>
        <w:pStyle w:val="41"/>
        <w:keepNext w:val="0"/>
        <w:keepLines w:val="0"/>
        <w:pageBreakBefore w:val="0"/>
        <w:kinsoku/>
        <w:wordWrap/>
        <w:overflowPunct/>
        <w:topLinePunct w:val="0"/>
        <w:autoSpaceDE/>
        <w:autoSpaceDN/>
        <w:bidi w:val="0"/>
        <w:snapToGrid w:val="0"/>
        <w:spacing w:before="0" w:beforeAutospacing="0" w:after="0" w:afterAutospacing="0" w:line="500" w:lineRule="exact"/>
        <w:ind w:firstLine="422" w:firstLineChars="200"/>
        <w:textAlignment w:val="auto"/>
        <w:rPr>
          <w:rFonts w:hint="eastAsia" w:cs="Times New Roman"/>
          <w:b/>
          <w:bCs/>
          <w:color w:val="auto"/>
          <w:kern w:val="2"/>
          <w:sz w:val="21"/>
          <w:szCs w:val="21"/>
          <w:highlight w:val="none"/>
          <w:lang w:val="en-US" w:eastAsia="zh-CN"/>
        </w:rPr>
      </w:pPr>
      <w:r>
        <w:rPr>
          <w:rFonts w:hint="eastAsia" w:eastAsia="宋体" w:cs="Times New Roman"/>
          <w:b/>
          <w:bCs/>
          <w:color w:val="auto"/>
          <w:kern w:val="2"/>
          <w:sz w:val="21"/>
          <w:szCs w:val="21"/>
          <w:highlight w:val="none"/>
        </w:rPr>
        <w:t>（1）</w:t>
      </w:r>
      <w:r>
        <w:rPr>
          <w:rFonts w:hint="eastAsia" w:cs="Times New Roman"/>
          <w:b/>
          <w:bCs/>
          <w:color w:val="auto"/>
          <w:kern w:val="2"/>
          <w:sz w:val="21"/>
          <w:szCs w:val="21"/>
          <w:highlight w:val="none"/>
          <w:lang w:val="en-US" w:eastAsia="zh-CN"/>
        </w:rPr>
        <w:t>付款方式：出具审核报告，经招标人审查备案通过后，按照备案金额为基数结算支付审计服务费用。（注：发包人请款额度须在政府资金调度会批准且发票送达后完成支付）。</w:t>
      </w:r>
    </w:p>
    <w:p w14:paraId="3855DD4C">
      <w:pPr>
        <w:pStyle w:val="41"/>
        <w:keepNext w:val="0"/>
        <w:keepLines w:val="0"/>
        <w:pageBreakBefore w:val="0"/>
        <w:kinsoku/>
        <w:wordWrap/>
        <w:overflowPunct/>
        <w:topLinePunct w:val="0"/>
        <w:autoSpaceDE/>
        <w:autoSpaceDN/>
        <w:bidi w:val="0"/>
        <w:snapToGrid w:val="0"/>
        <w:spacing w:before="0" w:beforeAutospacing="0" w:after="0" w:afterAutospacing="0" w:line="500" w:lineRule="exact"/>
        <w:ind w:firstLine="422" w:firstLineChars="200"/>
        <w:textAlignment w:val="auto"/>
        <w:rPr>
          <w:rFonts w:hint="eastAsia" w:eastAsia="宋体" w:cs="Times New Roman"/>
          <w:b/>
          <w:bCs/>
          <w:color w:val="auto"/>
          <w:kern w:val="2"/>
          <w:sz w:val="21"/>
          <w:szCs w:val="21"/>
          <w:highlight w:val="none"/>
          <w:lang w:eastAsia="zh-CN"/>
        </w:rPr>
      </w:pPr>
      <w:r>
        <w:rPr>
          <w:rFonts w:hint="eastAsia" w:eastAsia="宋体" w:cs="Times New Roman"/>
          <w:b/>
          <w:bCs/>
          <w:color w:val="auto"/>
          <w:kern w:val="2"/>
          <w:sz w:val="21"/>
          <w:szCs w:val="21"/>
          <w:highlight w:val="none"/>
        </w:rPr>
        <w:t>（2）项目</w:t>
      </w:r>
      <w:r>
        <w:rPr>
          <w:rFonts w:hint="eastAsia" w:eastAsia="宋体" w:cs="Times New Roman"/>
          <w:b/>
          <w:bCs/>
          <w:color w:val="auto"/>
          <w:kern w:val="2"/>
          <w:sz w:val="21"/>
          <w:szCs w:val="21"/>
          <w:highlight w:val="none"/>
          <w:lang w:eastAsia="zh-CN"/>
        </w:rPr>
        <w:t>跟踪审计机构</w:t>
      </w:r>
      <w:r>
        <w:rPr>
          <w:rFonts w:hint="eastAsia" w:eastAsia="宋体" w:cs="Times New Roman"/>
          <w:b/>
          <w:bCs/>
          <w:color w:val="auto"/>
          <w:kern w:val="2"/>
          <w:sz w:val="21"/>
          <w:szCs w:val="21"/>
          <w:highlight w:val="none"/>
        </w:rPr>
        <w:t>未按要求完成协审工作并移交相关资料，招标人有权拒付审计服务费用，并按照《工程造价咨询服务管理办法》的有关规定追究该项目</w:t>
      </w:r>
      <w:r>
        <w:rPr>
          <w:rFonts w:hint="eastAsia" w:eastAsia="宋体" w:cs="Times New Roman"/>
          <w:b/>
          <w:bCs/>
          <w:color w:val="auto"/>
          <w:kern w:val="2"/>
          <w:sz w:val="21"/>
          <w:szCs w:val="21"/>
          <w:highlight w:val="none"/>
          <w:lang w:eastAsia="zh-CN"/>
        </w:rPr>
        <w:t>跟踪审计机构相关责任。</w:t>
      </w:r>
    </w:p>
    <w:p w14:paraId="3A106AD5">
      <w:pPr>
        <w:spacing w:line="440" w:lineRule="exact"/>
        <w:ind w:firstLine="600"/>
        <w:jc w:val="left"/>
        <w:rPr>
          <w:rFonts w:hint="default" w:ascii="宋体" w:hAnsi="宋体" w:eastAsia="宋体" w:cs="Times New Roman"/>
          <w:b/>
          <w:bCs/>
          <w:color w:val="auto"/>
          <w:kern w:val="2"/>
          <w:sz w:val="21"/>
          <w:szCs w:val="21"/>
          <w:highlight w:val="none"/>
          <w:lang w:val="en-US" w:eastAsia="zh-CN"/>
        </w:rPr>
      </w:pPr>
      <w:r>
        <w:rPr>
          <w:rFonts w:hint="eastAsia" w:ascii="宋体" w:hAnsi="宋体" w:eastAsia="宋体" w:cs="Times New Roman"/>
          <w:b/>
          <w:bCs/>
          <w:color w:val="auto"/>
          <w:kern w:val="2"/>
          <w:sz w:val="21"/>
          <w:szCs w:val="21"/>
          <w:highlight w:val="none"/>
          <w:lang w:val="en-US" w:eastAsia="zh-CN"/>
        </w:rPr>
        <w:t>（3）本项目费用由招标人指定的付款单位支付，发票付款单位名称为其付款单位。本项目工程款不与分公司结算，仅支付给中标单位（请款所提供的发票名称须与中标单位名称保持一致）。</w:t>
      </w:r>
    </w:p>
    <w:p w14:paraId="655744F8">
      <w:pPr>
        <w:pStyle w:val="41"/>
        <w:keepNext w:val="0"/>
        <w:keepLines w:val="0"/>
        <w:pageBreakBefore w:val="0"/>
        <w:kinsoku/>
        <w:wordWrap/>
        <w:overflowPunct/>
        <w:topLinePunct w:val="0"/>
        <w:autoSpaceDE/>
        <w:autoSpaceDN/>
        <w:bidi w:val="0"/>
        <w:snapToGrid w:val="0"/>
        <w:spacing w:before="0" w:beforeAutospacing="0" w:after="0" w:afterAutospacing="0" w:line="500" w:lineRule="exact"/>
        <w:ind w:firstLine="482" w:firstLineChars="200"/>
        <w:textAlignment w:val="auto"/>
        <w:rPr>
          <w:rFonts w:hint="eastAsia" w:hAnsi="Times New Roman" w:eastAsia="宋体" w:cs="宋体"/>
          <w:b/>
          <w:bCs/>
          <w:color w:val="auto"/>
          <w:kern w:val="0"/>
          <w:sz w:val="24"/>
          <w:szCs w:val="24"/>
          <w:highlight w:val="none"/>
          <w:lang w:val="en-US" w:eastAsia="zh-CN" w:bidi="ar-SA"/>
        </w:rPr>
      </w:pPr>
      <w:r>
        <w:rPr>
          <w:rFonts w:hint="eastAsia" w:hAnsi="Times New Roman" w:eastAsia="宋体" w:cs="宋体"/>
          <w:b/>
          <w:bCs/>
          <w:color w:val="auto"/>
          <w:kern w:val="0"/>
          <w:sz w:val="24"/>
          <w:szCs w:val="24"/>
          <w:highlight w:val="none"/>
          <w:lang w:val="en-US" w:eastAsia="zh-CN" w:bidi="ar-SA"/>
        </w:rPr>
        <w:t>六、审计质量、时限及过程管理要求</w:t>
      </w:r>
    </w:p>
    <w:p w14:paraId="3582F073">
      <w:pPr>
        <w:pStyle w:val="41"/>
        <w:keepNext w:val="0"/>
        <w:keepLines w:val="0"/>
        <w:pageBreakBefore w:val="0"/>
        <w:kinsoku/>
        <w:wordWrap/>
        <w:overflowPunct/>
        <w:topLinePunct w:val="0"/>
        <w:autoSpaceDE/>
        <w:autoSpaceDN/>
        <w:bidi w:val="0"/>
        <w:snapToGrid w:val="0"/>
        <w:spacing w:before="0" w:beforeAutospacing="0" w:after="0" w:afterAutospacing="0" w:line="500" w:lineRule="exact"/>
        <w:ind w:firstLine="420" w:firstLineChars="200"/>
        <w:textAlignment w:val="auto"/>
        <w:rPr>
          <w:rFonts w:hint="eastAsia" w:eastAsia="宋体" w:cs="Times New Roman"/>
          <w:color w:val="auto"/>
          <w:kern w:val="2"/>
          <w:sz w:val="21"/>
          <w:szCs w:val="21"/>
          <w:highlight w:val="none"/>
        </w:rPr>
      </w:pPr>
      <w:r>
        <w:rPr>
          <w:rFonts w:hint="eastAsia" w:eastAsia="宋体" w:cs="Times New Roman"/>
          <w:color w:val="auto"/>
          <w:kern w:val="2"/>
          <w:sz w:val="21"/>
          <w:szCs w:val="21"/>
          <w:highlight w:val="none"/>
          <w:lang w:val="en-US" w:eastAsia="zh-CN"/>
        </w:rPr>
        <w:t>跟踪审计</w:t>
      </w:r>
      <w:r>
        <w:rPr>
          <w:rFonts w:hint="eastAsia" w:eastAsia="宋体" w:cs="Times New Roman"/>
          <w:color w:val="auto"/>
          <w:kern w:val="2"/>
          <w:sz w:val="21"/>
          <w:szCs w:val="21"/>
          <w:highlight w:val="none"/>
        </w:rPr>
        <w:t>机构应及时认真地分析阅读工程量清单及控制价、招投标文件、合同（协议）、施工图纸、设计变更、技术签证等相关文件资料，在施工现场勘察测量和了解实际情况并做好记录。</w:t>
      </w:r>
      <w:r>
        <w:rPr>
          <w:rFonts w:hint="eastAsia" w:eastAsia="宋体" w:cs="Times New Roman"/>
          <w:color w:val="auto"/>
          <w:kern w:val="2"/>
          <w:sz w:val="21"/>
          <w:szCs w:val="21"/>
          <w:highlight w:val="none"/>
          <w:lang w:eastAsia="zh-CN"/>
        </w:rPr>
        <w:t>跟踪审计机构</w:t>
      </w:r>
      <w:r>
        <w:rPr>
          <w:rFonts w:hint="eastAsia" w:eastAsia="宋体" w:cs="Times New Roman"/>
          <w:color w:val="auto"/>
          <w:kern w:val="2"/>
          <w:sz w:val="21"/>
          <w:szCs w:val="21"/>
          <w:highlight w:val="none"/>
        </w:rPr>
        <w:t>应根据建设单位、监理单位、施工单位提供的有关资料在《工程造价咨询服务管理办法》文件规定的工作日内完成审核工作，不得无故拖延时间。</w:t>
      </w:r>
    </w:p>
    <w:p w14:paraId="0319EC1B">
      <w:pPr>
        <w:pStyle w:val="41"/>
        <w:keepNext w:val="0"/>
        <w:keepLines w:val="0"/>
        <w:pageBreakBefore w:val="0"/>
        <w:kinsoku/>
        <w:wordWrap/>
        <w:overflowPunct/>
        <w:topLinePunct w:val="0"/>
        <w:autoSpaceDE/>
        <w:autoSpaceDN/>
        <w:bidi w:val="0"/>
        <w:snapToGrid w:val="0"/>
        <w:spacing w:before="0" w:beforeAutospacing="0" w:after="0" w:afterAutospacing="0" w:line="500" w:lineRule="exact"/>
        <w:ind w:firstLine="420" w:firstLineChars="200"/>
        <w:textAlignment w:val="auto"/>
        <w:rPr>
          <w:rFonts w:hint="eastAsia" w:eastAsia="宋体" w:cs="Times New Roman"/>
          <w:color w:val="auto"/>
          <w:kern w:val="2"/>
          <w:sz w:val="21"/>
          <w:szCs w:val="21"/>
          <w:highlight w:val="none"/>
        </w:rPr>
      </w:pPr>
      <w:r>
        <w:rPr>
          <w:rFonts w:hint="eastAsia" w:eastAsia="宋体" w:cs="Times New Roman"/>
          <w:color w:val="auto"/>
          <w:kern w:val="2"/>
          <w:sz w:val="21"/>
          <w:szCs w:val="21"/>
          <w:highlight w:val="none"/>
          <w:lang w:val="en-US" w:eastAsia="zh-CN"/>
        </w:rPr>
        <w:t>跟踪审计</w:t>
      </w:r>
      <w:r>
        <w:rPr>
          <w:rFonts w:hint="eastAsia" w:eastAsia="宋体" w:cs="Times New Roman"/>
          <w:color w:val="auto"/>
          <w:kern w:val="2"/>
          <w:sz w:val="21"/>
          <w:szCs w:val="21"/>
          <w:highlight w:val="none"/>
        </w:rPr>
        <w:t>机构在</w:t>
      </w:r>
      <w:r>
        <w:rPr>
          <w:rFonts w:hint="eastAsia" w:eastAsia="宋体" w:cs="Times New Roman"/>
          <w:color w:val="auto"/>
          <w:kern w:val="2"/>
          <w:sz w:val="21"/>
          <w:szCs w:val="21"/>
          <w:highlight w:val="none"/>
          <w:lang w:val="en-US" w:eastAsia="zh-CN"/>
        </w:rPr>
        <w:t>跟踪审计</w:t>
      </w:r>
      <w:r>
        <w:rPr>
          <w:rFonts w:hint="eastAsia" w:eastAsia="宋体" w:cs="Times New Roman"/>
          <w:color w:val="auto"/>
          <w:kern w:val="2"/>
          <w:sz w:val="21"/>
          <w:szCs w:val="21"/>
          <w:highlight w:val="none"/>
        </w:rPr>
        <w:t>过程须遵守招标人制定的《工程造价咨询服务管理办法》</w:t>
      </w:r>
      <w:r>
        <w:rPr>
          <w:rFonts w:hint="eastAsia" w:eastAsia="宋体" w:cs="Times New Roman"/>
          <w:color w:val="auto"/>
          <w:kern w:val="2"/>
          <w:sz w:val="21"/>
          <w:szCs w:val="21"/>
          <w:highlight w:val="none"/>
          <w:lang w:eastAsia="zh-CN"/>
        </w:rPr>
        <w:t>、</w:t>
      </w:r>
      <w:r>
        <w:rPr>
          <w:rFonts w:hint="eastAsia" w:eastAsia="宋体" w:cs="Times New Roman"/>
          <w:color w:val="auto"/>
          <w:kern w:val="2"/>
          <w:sz w:val="21"/>
          <w:szCs w:val="21"/>
          <w:highlight w:val="none"/>
        </w:rPr>
        <w:t>以及为提升审计质量和效率、控制廉政风险等方面制定的各项规定。</w:t>
      </w:r>
    </w:p>
    <w:p w14:paraId="36487EBF">
      <w:pPr>
        <w:pStyle w:val="41"/>
        <w:keepNext w:val="0"/>
        <w:keepLines w:val="0"/>
        <w:pageBreakBefore w:val="0"/>
        <w:kinsoku/>
        <w:wordWrap/>
        <w:overflowPunct/>
        <w:topLinePunct w:val="0"/>
        <w:autoSpaceDE/>
        <w:autoSpaceDN/>
        <w:bidi w:val="0"/>
        <w:snapToGrid w:val="0"/>
        <w:spacing w:before="0" w:beforeAutospacing="0" w:after="0" w:afterAutospacing="0" w:line="500" w:lineRule="exact"/>
        <w:ind w:firstLine="482" w:firstLineChars="200"/>
        <w:textAlignment w:val="auto"/>
        <w:rPr>
          <w:rFonts w:hint="eastAsia" w:eastAsia="宋体" w:cs="Times New Roman"/>
          <w:b/>
          <w:bCs/>
          <w:color w:val="auto"/>
          <w:kern w:val="2"/>
          <w:sz w:val="24"/>
          <w:szCs w:val="24"/>
          <w:highlight w:val="none"/>
        </w:rPr>
      </w:pPr>
      <w:r>
        <w:rPr>
          <w:rFonts w:hint="eastAsia" w:eastAsia="宋体" w:cs="Times New Roman"/>
          <w:b/>
          <w:bCs/>
          <w:color w:val="auto"/>
          <w:kern w:val="2"/>
          <w:sz w:val="24"/>
          <w:szCs w:val="24"/>
          <w:highlight w:val="none"/>
          <w:lang w:val="en-US" w:eastAsia="zh-CN"/>
        </w:rPr>
        <w:t>七</w:t>
      </w:r>
      <w:r>
        <w:rPr>
          <w:rFonts w:hint="eastAsia" w:eastAsia="宋体" w:cs="Times New Roman"/>
          <w:b/>
          <w:bCs/>
          <w:color w:val="auto"/>
          <w:kern w:val="2"/>
          <w:sz w:val="24"/>
          <w:szCs w:val="24"/>
          <w:highlight w:val="none"/>
        </w:rPr>
        <w:t>、项目跟踪（结算）审计工作考核奖惩</w:t>
      </w:r>
    </w:p>
    <w:p w14:paraId="3B9364AA">
      <w:pPr>
        <w:pStyle w:val="41"/>
        <w:keepNext w:val="0"/>
        <w:keepLines w:val="0"/>
        <w:pageBreakBefore w:val="0"/>
        <w:kinsoku/>
        <w:wordWrap/>
        <w:overflowPunct/>
        <w:topLinePunct w:val="0"/>
        <w:autoSpaceDE/>
        <w:autoSpaceDN/>
        <w:bidi w:val="0"/>
        <w:snapToGrid w:val="0"/>
        <w:spacing w:before="0" w:beforeAutospacing="0" w:after="0" w:afterAutospacing="0" w:line="500" w:lineRule="exact"/>
        <w:ind w:firstLine="420" w:firstLineChars="200"/>
        <w:textAlignment w:val="auto"/>
        <w:rPr>
          <w:rFonts w:hint="default" w:ascii="宋体" w:hAnsi="宋体" w:eastAsia="宋体" w:cs="Times New Roman"/>
          <w:color w:val="auto"/>
          <w:kern w:val="2"/>
          <w:sz w:val="21"/>
          <w:szCs w:val="21"/>
          <w:highlight w:val="none"/>
        </w:rPr>
      </w:pPr>
      <w:r>
        <w:rPr>
          <w:rFonts w:hint="default" w:ascii="宋体" w:hAnsi="宋体" w:eastAsia="宋体" w:cs="Times New Roman"/>
          <w:color w:val="auto"/>
          <w:kern w:val="2"/>
          <w:sz w:val="21"/>
          <w:szCs w:val="21"/>
          <w:highlight w:val="none"/>
        </w:rPr>
        <w:t>跟踪审计服务质量日常考核原则上每季度安排一次。考核以各造价企业单个审计项目为单位，对单个审计项目审计实施过程和完成情况进行综合考核，满分为</w:t>
      </w:r>
      <w:r>
        <w:rPr>
          <w:rFonts w:hint="default" w:ascii="宋体" w:hAnsi="宋体" w:eastAsia="宋体" w:cs="Times New Roman"/>
          <w:color w:val="auto"/>
          <w:kern w:val="2"/>
          <w:sz w:val="21"/>
          <w:szCs w:val="21"/>
          <w:highlight w:val="none"/>
          <w:lang w:eastAsia="zh-CN"/>
        </w:rPr>
        <w:t>100</w:t>
      </w:r>
      <w:r>
        <w:rPr>
          <w:rFonts w:hint="default" w:ascii="宋体" w:hAnsi="宋体" w:eastAsia="宋体" w:cs="Times New Roman"/>
          <w:color w:val="auto"/>
          <w:kern w:val="2"/>
          <w:sz w:val="21"/>
          <w:szCs w:val="21"/>
          <w:highlight w:val="none"/>
        </w:rPr>
        <w:t>分，考核标准见《滁州市重点工程建设管理处跟踪审计服务质量日常考核表》（附件</w:t>
      </w:r>
      <w:r>
        <w:rPr>
          <w:rFonts w:hint="default" w:ascii="宋体" w:hAnsi="宋体" w:eastAsia="宋体" w:cs="Times New Roman"/>
          <w:color w:val="auto"/>
          <w:kern w:val="2"/>
          <w:sz w:val="21"/>
          <w:szCs w:val="21"/>
          <w:highlight w:val="none"/>
          <w:lang w:val="en-US" w:eastAsia="zh-CN"/>
        </w:rPr>
        <w:t>2</w:t>
      </w:r>
      <w:r>
        <w:rPr>
          <w:rFonts w:hint="default" w:ascii="宋体" w:hAnsi="宋体" w:eastAsia="宋体" w:cs="Times New Roman"/>
          <w:color w:val="auto"/>
          <w:kern w:val="2"/>
          <w:sz w:val="21"/>
          <w:szCs w:val="21"/>
          <w:highlight w:val="none"/>
        </w:rPr>
        <w:t>）。考核结果设“优”、“良”、“中”、“差”四个等级，考核得分</w:t>
      </w:r>
      <w:r>
        <w:rPr>
          <w:rFonts w:hint="default" w:ascii="宋体" w:hAnsi="宋体" w:eastAsia="宋体" w:cs="Times New Roman"/>
          <w:color w:val="auto"/>
          <w:kern w:val="2"/>
          <w:sz w:val="21"/>
          <w:szCs w:val="21"/>
          <w:highlight w:val="none"/>
          <w:lang w:eastAsia="zh-CN"/>
        </w:rPr>
        <w:t>9</w:t>
      </w:r>
      <w:r>
        <w:rPr>
          <w:rFonts w:hint="default" w:ascii="宋体" w:hAnsi="宋体" w:eastAsia="宋体" w:cs="Times New Roman"/>
          <w:color w:val="auto"/>
          <w:kern w:val="2"/>
          <w:sz w:val="21"/>
          <w:szCs w:val="21"/>
          <w:highlight w:val="none"/>
          <w:lang w:val="en-US" w:eastAsia="zh-CN"/>
        </w:rPr>
        <w:t>5</w:t>
      </w:r>
      <w:r>
        <w:rPr>
          <w:rFonts w:hint="default" w:ascii="宋体" w:hAnsi="宋体" w:eastAsia="宋体" w:cs="Times New Roman"/>
          <w:color w:val="auto"/>
          <w:kern w:val="2"/>
          <w:sz w:val="21"/>
          <w:szCs w:val="21"/>
          <w:highlight w:val="none"/>
        </w:rPr>
        <w:t>分及以上的项目评“优”，考核得分</w:t>
      </w:r>
      <w:r>
        <w:rPr>
          <w:rFonts w:hint="default" w:ascii="宋体" w:hAnsi="宋体" w:eastAsia="宋体" w:cs="Times New Roman"/>
          <w:color w:val="auto"/>
          <w:kern w:val="2"/>
          <w:sz w:val="21"/>
          <w:szCs w:val="21"/>
          <w:highlight w:val="none"/>
          <w:lang w:eastAsia="zh-CN"/>
        </w:rPr>
        <w:t>8</w:t>
      </w:r>
      <w:r>
        <w:rPr>
          <w:rFonts w:hint="default" w:ascii="宋体" w:hAnsi="宋体" w:eastAsia="宋体" w:cs="Times New Roman"/>
          <w:color w:val="auto"/>
          <w:kern w:val="2"/>
          <w:sz w:val="21"/>
          <w:szCs w:val="21"/>
          <w:highlight w:val="none"/>
          <w:lang w:val="en-US" w:eastAsia="zh-CN"/>
        </w:rPr>
        <w:t>5</w:t>
      </w:r>
      <w:r>
        <w:rPr>
          <w:rFonts w:hint="default" w:ascii="宋体" w:hAnsi="宋体" w:eastAsia="宋体" w:cs="Times New Roman"/>
          <w:color w:val="auto"/>
          <w:kern w:val="2"/>
          <w:sz w:val="21"/>
          <w:szCs w:val="21"/>
          <w:highlight w:val="none"/>
        </w:rPr>
        <w:t>分（含）-</w:t>
      </w:r>
      <w:r>
        <w:rPr>
          <w:rFonts w:hint="default" w:ascii="宋体" w:hAnsi="宋体" w:eastAsia="宋体" w:cs="Times New Roman"/>
          <w:color w:val="auto"/>
          <w:kern w:val="2"/>
          <w:sz w:val="21"/>
          <w:szCs w:val="21"/>
          <w:highlight w:val="none"/>
          <w:lang w:eastAsia="zh-CN"/>
        </w:rPr>
        <w:t>9</w:t>
      </w:r>
      <w:r>
        <w:rPr>
          <w:rFonts w:hint="default" w:ascii="宋体" w:hAnsi="宋体" w:eastAsia="宋体" w:cs="Times New Roman"/>
          <w:color w:val="auto"/>
          <w:kern w:val="2"/>
          <w:sz w:val="21"/>
          <w:szCs w:val="21"/>
          <w:highlight w:val="none"/>
          <w:lang w:val="en-US" w:eastAsia="zh-CN"/>
        </w:rPr>
        <w:t>5</w:t>
      </w:r>
      <w:r>
        <w:rPr>
          <w:rFonts w:hint="default" w:ascii="宋体" w:hAnsi="宋体" w:eastAsia="宋体" w:cs="Times New Roman"/>
          <w:color w:val="auto"/>
          <w:kern w:val="2"/>
          <w:sz w:val="21"/>
          <w:szCs w:val="21"/>
          <w:highlight w:val="none"/>
        </w:rPr>
        <w:t>分的项目评“良”，考核得分</w:t>
      </w:r>
      <w:r>
        <w:rPr>
          <w:rFonts w:hint="default" w:ascii="宋体" w:hAnsi="宋体" w:eastAsia="宋体" w:cs="Times New Roman"/>
          <w:color w:val="auto"/>
          <w:kern w:val="2"/>
          <w:sz w:val="21"/>
          <w:szCs w:val="21"/>
          <w:highlight w:val="none"/>
          <w:lang w:eastAsia="zh-CN"/>
        </w:rPr>
        <w:t>70</w:t>
      </w:r>
      <w:r>
        <w:rPr>
          <w:rFonts w:hint="default" w:ascii="宋体" w:hAnsi="宋体" w:eastAsia="宋体" w:cs="Times New Roman"/>
          <w:color w:val="auto"/>
          <w:kern w:val="2"/>
          <w:sz w:val="21"/>
          <w:szCs w:val="21"/>
          <w:highlight w:val="none"/>
        </w:rPr>
        <w:t>分（含）-</w:t>
      </w:r>
      <w:r>
        <w:rPr>
          <w:rFonts w:hint="default" w:ascii="宋体" w:hAnsi="宋体" w:eastAsia="宋体" w:cs="Times New Roman"/>
          <w:color w:val="auto"/>
          <w:kern w:val="2"/>
          <w:sz w:val="21"/>
          <w:szCs w:val="21"/>
          <w:highlight w:val="none"/>
          <w:lang w:val="en-US" w:eastAsia="zh-CN"/>
        </w:rPr>
        <w:t>85</w:t>
      </w:r>
      <w:r>
        <w:rPr>
          <w:rFonts w:hint="default" w:ascii="宋体" w:hAnsi="宋体" w:eastAsia="宋体" w:cs="Times New Roman"/>
          <w:color w:val="auto"/>
          <w:kern w:val="2"/>
          <w:sz w:val="21"/>
          <w:szCs w:val="21"/>
          <w:highlight w:val="none"/>
        </w:rPr>
        <w:t>分的项目评“中”，</w:t>
      </w:r>
      <w:r>
        <w:rPr>
          <w:rFonts w:hint="default" w:ascii="宋体" w:hAnsi="宋体" w:eastAsia="宋体" w:cs="Times New Roman"/>
          <w:color w:val="auto"/>
          <w:kern w:val="2"/>
          <w:sz w:val="21"/>
          <w:szCs w:val="21"/>
          <w:highlight w:val="none"/>
          <w:lang w:eastAsia="zh-CN"/>
        </w:rPr>
        <w:t>70</w:t>
      </w:r>
      <w:r>
        <w:rPr>
          <w:rFonts w:hint="default" w:ascii="宋体" w:hAnsi="宋体" w:eastAsia="宋体" w:cs="Times New Roman"/>
          <w:color w:val="auto"/>
          <w:kern w:val="2"/>
          <w:sz w:val="21"/>
          <w:szCs w:val="21"/>
          <w:highlight w:val="none"/>
        </w:rPr>
        <w:t>分以下的项目评“差”。对评“优” 项目的审计组予以通报表扬；对评“中”项目的审计组进行约谈；评“差”项目的审计组予以通报批评，进行约谈</w:t>
      </w:r>
      <w:r>
        <w:rPr>
          <w:rFonts w:hint="default" w:ascii="宋体" w:hAnsi="宋体" w:eastAsia="宋体" w:cs="Times New Roman"/>
          <w:color w:val="auto"/>
          <w:kern w:val="2"/>
          <w:sz w:val="21"/>
          <w:szCs w:val="21"/>
          <w:highlight w:val="none"/>
          <w:lang w:eastAsia="zh-CN"/>
        </w:rPr>
        <w:t>，</w:t>
      </w:r>
      <w:r>
        <w:rPr>
          <w:rFonts w:hint="default" w:ascii="宋体" w:hAnsi="宋体" w:eastAsia="宋体" w:cs="Times New Roman"/>
          <w:color w:val="auto"/>
          <w:kern w:val="2"/>
          <w:sz w:val="21"/>
          <w:szCs w:val="21"/>
          <w:highlight w:val="none"/>
        </w:rPr>
        <w:t>处罚</w:t>
      </w:r>
      <w:r>
        <w:rPr>
          <w:rFonts w:hint="default" w:ascii="宋体" w:hAnsi="宋体" w:eastAsia="宋体" w:cs="Times New Roman"/>
          <w:color w:val="auto"/>
          <w:kern w:val="2"/>
          <w:sz w:val="21"/>
          <w:szCs w:val="21"/>
          <w:highlight w:val="none"/>
          <w:lang w:val="en-US" w:eastAsia="zh-CN"/>
        </w:rPr>
        <w:t>4</w:t>
      </w:r>
      <w:r>
        <w:rPr>
          <w:rFonts w:hint="default" w:ascii="宋体" w:hAnsi="宋体" w:eastAsia="宋体" w:cs="Times New Roman"/>
          <w:color w:val="auto"/>
          <w:kern w:val="2"/>
          <w:sz w:val="21"/>
          <w:szCs w:val="21"/>
          <w:highlight w:val="none"/>
          <w:lang w:eastAsia="zh-CN"/>
        </w:rPr>
        <w:t>000</w:t>
      </w:r>
      <w:r>
        <w:rPr>
          <w:rFonts w:hint="default" w:ascii="宋体" w:hAnsi="宋体" w:eastAsia="宋体" w:cs="Times New Roman"/>
          <w:color w:val="auto"/>
          <w:kern w:val="2"/>
          <w:sz w:val="21"/>
          <w:szCs w:val="21"/>
          <w:highlight w:val="none"/>
        </w:rPr>
        <w:t>元</w:t>
      </w:r>
      <w:r>
        <w:rPr>
          <w:rFonts w:hint="default" w:ascii="宋体" w:hAnsi="宋体" w:eastAsia="宋体" w:cs="Times New Roman"/>
          <w:color w:val="auto"/>
          <w:kern w:val="2"/>
          <w:sz w:val="21"/>
          <w:szCs w:val="21"/>
          <w:highlight w:val="none"/>
          <w:lang w:eastAsia="zh-CN"/>
        </w:rPr>
        <w:t>及</w:t>
      </w:r>
      <w:r>
        <w:rPr>
          <w:rFonts w:hint="default" w:ascii="宋体" w:hAnsi="宋体" w:eastAsia="宋体" w:cs="Times New Roman"/>
          <w:color w:val="auto"/>
          <w:kern w:val="2"/>
          <w:sz w:val="21"/>
          <w:szCs w:val="21"/>
          <w:highlight w:val="none"/>
          <w:lang w:val="en-US" w:eastAsia="zh-CN"/>
        </w:rPr>
        <w:t>暂停业务3</w:t>
      </w:r>
      <w:r>
        <w:rPr>
          <w:rFonts w:hint="default" w:ascii="宋体" w:hAnsi="宋体" w:eastAsia="宋体" w:cs="Times New Roman"/>
          <w:color w:val="auto"/>
          <w:kern w:val="2"/>
          <w:sz w:val="21"/>
          <w:szCs w:val="21"/>
          <w:highlight w:val="none"/>
        </w:rPr>
        <w:t>个月，</w:t>
      </w:r>
      <w:r>
        <w:rPr>
          <w:rFonts w:hint="default" w:ascii="宋体" w:hAnsi="宋体" w:eastAsia="宋体" w:cs="Times New Roman"/>
          <w:color w:val="auto"/>
          <w:kern w:val="2"/>
          <w:sz w:val="21"/>
          <w:szCs w:val="21"/>
          <w:highlight w:val="none"/>
          <w:lang w:val="en-US" w:eastAsia="zh-CN"/>
        </w:rPr>
        <w:t>连续两个</w:t>
      </w:r>
      <w:r>
        <w:rPr>
          <w:rFonts w:hint="default" w:ascii="宋体" w:hAnsi="宋体" w:eastAsia="宋体" w:cs="Times New Roman"/>
          <w:color w:val="auto"/>
          <w:kern w:val="2"/>
          <w:sz w:val="21"/>
          <w:szCs w:val="21"/>
          <w:highlight w:val="none"/>
          <w:lang w:eastAsia="zh-CN"/>
        </w:rPr>
        <w:t>季度评</w:t>
      </w:r>
      <w:r>
        <w:rPr>
          <w:rFonts w:hint="default" w:ascii="宋体" w:hAnsi="宋体" w:eastAsia="宋体" w:cs="Times New Roman"/>
          <w:color w:val="auto"/>
          <w:kern w:val="2"/>
          <w:sz w:val="21"/>
          <w:szCs w:val="21"/>
          <w:highlight w:val="none"/>
        </w:rPr>
        <w:t>“差”</w:t>
      </w:r>
      <w:r>
        <w:rPr>
          <w:rFonts w:hint="default" w:ascii="宋体" w:hAnsi="宋体" w:eastAsia="宋体" w:cs="Times New Roman"/>
          <w:color w:val="auto"/>
          <w:kern w:val="2"/>
          <w:sz w:val="21"/>
          <w:szCs w:val="21"/>
          <w:highlight w:val="none"/>
          <w:lang w:eastAsia="zh-CN"/>
        </w:rPr>
        <w:t>的，</w:t>
      </w:r>
      <w:r>
        <w:rPr>
          <w:rFonts w:hint="default" w:ascii="宋体" w:hAnsi="宋体" w:eastAsia="宋体" w:cs="Times New Roman"/>
          <w:color w:val="auto"/>
          <w:kern w:val="2"/>
          <w:sz w:val="21"/>
          <w:szCs w:val="21"/>
          <w:highlight w:val="none"/>
          <w:lang w:val="en-US" w:eastAsia="zh-CN"/>
        </w:rPr>
        <w:t>暂停业务12</w:t>
      </w:r>
      <w:r>
        <w:rPr>
          <w:rFonts w:hint="default" w:ascii="宋体" w:hAnsi="宋体" w:eastAsia="宋体" w:cs="Times New Roman"/>
          <w:color w:val="auto"/>
          <w:kern w:val="2"/>
          <w:sz w:val="21"/>
          <w:szCs w:val="21"/>
          <w:highlight w:val="none"/>
        </w:rPr>
        <w:t>个月。</w:t>
      </w:r>
    </w:p>
    <w:p w14:paraId="6B972934">
      <w:pPr>
        <w:pStyle w:val="41"/>
        <w:keepNext w:val="0"/>
        <w:keepLines w:val="0"/>
        <w:pageBreakBefore w:val="0"/>
        <w:kinsoku/>
        <w:wordWrap/>
        <w:overflowPunct/>
        <w:topLinePunct w:val="0"/>
        <w:autoSpaceDE/>
        <w:autoSpaceDN/>
        <w:bidi w:val="0"/>
        <w:snapToGrid w:val="0"/>
        <w:spacing w:before="0" w:beforeAutospacing="0" w:after="0" w:afterAutospacing="0" w:line="500" w:lineRule="exact"/>
        <w:ind w:firstLine="420" w:firstLineChars="200"/>
        <w:textAlignment w:val="auto"/>
        <w:rPr>
          <w:rFonts w:hint="default" w:ascii="宋体" w:hAnsi="宋体" w:eastAsia="宋体" w:cs="Times New Roman"/>
          <w:color w:val="auto"/>
          <w:kern w:val="2"/>
          <w:sz w:val="21"/>
          <w:szCs w:val="21"/>
          <w:highlight w:val="none"/>
        </w:rPr>
      </w:pPr>
      <w:r>
        <w:rPr>
          <w:rFonts w:hint="default" w:ascii="宋体" w:hAnsi="宋体" w:eastAsia="宋体" w:cs="Times New Roman"/>
          <w:color w:val="auto"/>
          <w:kern w:val="2"/>
          <w:sz w:val="21"/>
          <w:szCs w:val="21"/>
          <w:highlight w:val="none"/>
        </w:rPr>
        <w:t>年度考核以当年所有项目日常考核结果</w:t>
      </w:r>
      <w:r>
        <w:rPr>
          <w:rFonts w:hint="default" w:ascii="宋体" w:hAnsi="宋体" w:eastAsia="宋体" w:cs="Times New Roman"/>
          <w:color w:val="auto"/>
          <w:kern w:val="2"/>
          <w:sz w:val="21"/>
          <w:szCs w:val="21"/>
          <w:highlight w:val="none"/>
          <w:lang w:eastAsia="zh-CN"/>
        </w:rPr>
        <w:t>（本年度至少参评两次及以上）</w:t>
      </w:r>
      <w:r>
        <w:rPr>
          <w:rFonts w:hint="default" w:ascii="宋体" w:hAnsi="宋体" w:eastAsia="宋体" w:cs="Times New Roman"/>
          <w:color w:val="auto"/>
          <w:kern w:val="2"/>
          <w:sz w:val="21"/>
          <w:szCs w:val="21"/>
          <w:highlight w:val="none"/>
        </w:rPr>
        <w:t>平均分作为年度综合评定分值，考核结果分设“优”、“良”、“中”、“差”四个等级。考核得分</w:t>
      </w:r>
      <w:r>
        <w:rPr>
          <w:rFonts w:hint="default" w:ascii="宋体" w:hAnsi="宋体" w:eastAsia="宋体" w:cs="Times New Roman"/>
          <w:color w:val="auto"/>
          <w:kern w:val="2"/>
          <w:sz w:val="21"/>
          <w:szCs w:val="21"/>
          <w:highlight w:val="none"/>
          <w:lang w:eastAsia="zh-CN"/>
        </w:rPr>
        <w:t>9</w:t>
      </w:r>
      <w:r>
        <w:rPr>
          <w:rFonts w:hint="default" w:ascii="宋体" w:hAnsi="宋体" w:eastAsia="宋体" w:cs="Times New Roman"/>
          <w:color w:val="auto"/>
          <w:kern w:val="2"/>
          <w:sz w:val="21"/>
          <w:szCs w:val="21"/>
          <w:highlight w:val="none"/>
          <w:lang w:val="en-US" w:eastAsia="zh-CN"/>
        </w:rPr>
        <w:t>5</w:t>
      </w:r>
      <w:r>
        <w:rPr>
          <w:rFonts w:hint="default" w:ascii="宋体" w:hAnsi="宋体" w:eastAsia="宋体" w:cs="Times New Roman"/>
          <w:color w:val="auto"/>
          <w:kern w:val="2"/>
          <w:sz w:val="21"/>
          <w:szCs w:val="21"/>
          <w:highlight w:val="none"/>
        </w:rPr>
        <w:t>分及以上的造价企业评“优”，考核得分</w:t>
      </w:r>
      <w:r>
        <w:rPr>
          <w:rFonts w:hint="default" w:ascii="宋体" w:hAnsi="宋体" w:eastAsia="宋体" w:cs="Times New Roman"/>
          <w:color w:val="auto"/>
          <w:kern w:val="2"/>
          <w:sz w:val="21"/>
          <w:szCs w:val="21"/>
          <w:highlight w:val="none"/>
          <w:lang w:eastAsia="zh-CN"/>
        </w:rPr>
        <w:t>8</w:t>
      </w:r>
      <w:r>
        <w:rPr>
          <w:rFonts w:hint="default" w:ascii="宋体" w:hAnsi="宋体" w:eastAsia="宋体" w:cs="Times New Roman"/>
          <w:color w:val="auto"/>
          <w:kern w:val="2"/>
          <w:sz w:val="21"/>
          <w:szCs w:val="21"/>
          <w:highlight w:val="none"/>
          <w:lang w:val="en-US" w:eastAsia="zh-CN"/>
        </w:rPr>
        <w:t>5</w:t>
      </w:r>
      <w:r>
        <w:rPr>
          <w:rFonts w:hint="default" w:ascii="宋体" w:hAnsi="宋体" w:eastAsia="宋体" w:cs="Times New Roman"/>
          <w:color w:val="auto"/>
          <w:kern w:val="2"/>
          <w:sz w:val="21"/>
          <w:szCs w:val="21"/>
          <w:highlight w:val="none"/>
        </w:rPr>
        <w:t>分（含）-</w:t>
      </w:r>
      <w:r>
        <w:rPr>
          <w:rFonts w:hint="default" w:ascii="宋体" w:hAnsi="宋体" w:eastAsia="宋体" w:cs="Times New Roman"/>
          <w:color w:val="auto"/>
          <w:kern w:val="2"/>
          <w:sz w:val="21"/>
          <w:szCs w:val="21"/>
          <w:highlight w:val="none"/>
          <w:lang w:eastAsia="zh-CN"/>
        </w:rPr>
        <w:t>9</w:t>
      </w:r>
      <w:r>
        <w:rPr>
          <w:rFonts w:hint="default" w:ascii="宋体" w:hAnsi="宋体" w:eastAsia="宋体" w:cs="Times New Roman"/>
          <w:color w:val="auto"/>
          <w:kern w:val="2"/>
          <w:sz w:val="21"/>
          <w:szCs w:val="21"/>
          <w:highlight w:val="none"/>
          <w:lang w:val="en-US" w:eastAsia="zh-CN"/>
        </w:rPr>
        <w:t>5</w:t>
      </w:r>
      <w:r>
        <w:rPr>
          <w:rFonts w:hint="default" w:ascii="宋体" w:hAnsi="宋体" w:eastAsia="宋体" w:cs="Times New Roman"/>
          <w:color w:val="auto"/>
          <w:kern w:val="2"/>
          <w:sz w:val="21"/>
          <w:szCs w:val="21"/>
          <w:highlight w:val="none"/>
        </w:rPr>
        <w:t>分的造价企业评“良”，考核得分</w:t>
      </w:r>
      <w:r>
        <w:rPr>
          <w:rFonts w:hint="default" w:ascii="宋体" w:hAnsi="宋体" w:eastAsia="宋体" w:cs="Times New Roman"/>
          <w:color w:val="auto"/>
          <w:kern w:val="2"/>
          <w:sz w:val="21"/>
          <w:szCs w:val="21"/>
          <w:highlight w:val="none"/>
          <w:lang w:eastAsia="zh-CN"/>
        </w:rPr>
        <w:t>70</w:t>
      </w:r>
      <w:r>
        <w:rPr>
          <w:rFonts w:hint="default" w:ascii="宋体" w:hAnsi="宋体" w:eastAsia="宋体" w:cs="Times New Roman"/>
          <w:color w:val="auto"/>
          <w:kern w:val="2"/>
          <w:sz w:val="21"/>
          <w:szCs w:val="21"/>
          <w:highlight w:val="none"/>
        </w:rPr>
        <w:t>分（含）-</w:t>
      </w:r>
      <w:r>
        <w:rPr>
          <w:rFonts w:hint="default" w:ascii="宋体" w:hAnsi="宋体" w:eastAsia="宋体" w:cs="Times New Roman"/>
          <w:color w:val="auto"/>
          <w:kern w:val="2"/>
          <w:sz w:val="21"/>
          <w:szCs w:val="21"/>
          <w:highlight w:val="none"/>
          <w:lang w:eastAsia="zh-CN"/>
        </w:rPr>
        <w:t>8</w:t>
      </w:r>
      <w:r>
        <w:rPr>
          <w:rFonts w:hint="default" w:ascii="宋体" w:hAnsi="宋体" w:eastAsia="宋体" w:cs="Times New Roman"/>
          <w:color w:val="auto"/>
          <w:kern w:val="2"/>
          <w:sz w:val="21"/>
          <w:szCs w:val="21"/>
          <w:highlight w:val="none"/>
          <w:lang w:val="en-US" w:eastAsia="zh-CN"/>
        </w:rPr>
        <w:t>5</w:t>
      </w:r>
      <w:r>
        <w:rPr>
          <w:rFonts w:hint="default" w:ascii="宋体" w:hAnsi="宋体" w:eastAsia="宋体" w:cs="Times New Roman"/>
          <w:color w:val="auto"/>
          <w:kern w:val="2"/>
          <w:sz w:val="21"/>
          <w:szCs w:val="21"/>
          <w:highlight w:val="none"/>
        </w:rPr>
        <w:t>分的造价企业评“中”，</w:t>
      </w:r>
      <w:r>
        <w:rPr>
          <w:rFonts w:hint="default" w:ascii="宋体" w:hAnsi="宋体" w:eastAsia="宋体" w:cs="Times New Roman"/>
          <w:color w:val="auto"/>
          <w:kern w:val="2"/>
          <w:sz w:val="21"/>
          <w:szCs w:val="21"/>
          <w:highlight w:val="none"/>
          <w:lang w:eastAsia="zh-CN"/>
        </w:rPr>
        <w:t>70</w:t>
      </w:r>
      <w:r>
        <w:rPr>
          <w:rFonts w:hint="default" w:ascii="宋体" w:hAnsi="宋体" w:eastAsia="宋体" w:cs="Times New Roman"/>
          <w:color w:val="auto"/>
          <w:kern w:val="2"/>
          <w:sz w:val="21"/>
          <w:szCs w:val="21"/>
          <w:highlight w:val="none"/>
        </w:rPr>
        <w:t>分以下的造价企业评“差”。年度考核评“优”的造价企业予以通报表扬；年度考核评“差”的造价企业予以通报批评且</w:t>
      </w:r>
      <w:r>
        <w:rPr>
          <w:rFonts w:hint="default" w:ascii="宋体" w:hAnsi="宋体" w:eastAsia="宋体" w:cs="Times New Roman"/>
          <w:color w:val="auto"/>
          <w:kern w:val="2"/>
          <w:sz w:val="21"/>
          <w:szCs w:val="21"/>
          <w:highlight w:val="none"/>
          <w:lang w:val="en-US" w:eastAsia="zh-CN"/>
        </w:rPr>
        <w:t>暂停业务</w:t>
      </w:r>
      <w:r>
        <w:rPr>
          <w:rFonts w:hint="default" w:ascii="宋体" w:hAnsi="宋体" w:eastAsia="宋体" w:cs="Times New Roman"/>
          <w:color w:val="auto"/>
          <w:kern w:val="2"/>
          <w:sz w:val="21"/>
          <w:szCs w:val="21"/>
          <w:highlight w:val="none"/>
          <w:lang w:eastAsia="zh-CN"/>
        </w:rPr>
        <w:t>12</w:t>
      </w:r>
      <w:r>
        <w:rPr>
          <w:rFonts w:hint="default" w:ascii="宋体" w:hAnsi="宋体" w:eastAsia="宋体" w:cs="Times New Roman"/>
          <w:color w:val="auto"/>
          <w:kern w:val="2"/>
          <w:sz w:val="21"/>
          <w:szCs w:val="21"/>
          <w:highlight w:val="none"/>
        </w:rPr>
        <w:t>个月。</w:t>
      </w:r>
    </w:p>
    <w:p w14:paraId="19858E5C">
      <w:pPr>
        <w:pStyle w:val="41"/>
        <w:keepNext w:val="0"/>
        <w:keepLines w:val="0"/>
        <w:pageBreakBefore w:val="0"/>
        <w:widowControl/>
        <w:kinsoku/>
        <w:wordWrap/>
        <w:overflowPunct/>
        <w:topLinePunct w:val="0"/>
        <w:autoSpaceDE/>
        <w:autoSpaceDN/>
        <w:bidi w:val="0"/>
        <w:adjustRightInd/>
        <w:snapToGrid w:val="0"/>
        <w:spacing w:before="0" w:beforeAutospacing="0" w:after="0" w:afterAutospacing="0" w:line="480" w:lineRule="exact"/>
        <w:ind w:firstLine="420" w:firstLineChars="200"/>
        <w:textAlignment w:val="auto"/>
        <w:rPr>
          <w:rFonts w:hint="eastAsia" w:eastAsia="宋体" w:cs="Times New Roman"/>
          <w:color w:val="auto"/>
          <w:kern w:val="2"/>
          <w:sz w:val="21"/>
          <w:szCs w:val="21"/>
          <w:highlight w:val="none"/>
        </w:rPr>
      </w:pPr>
      <w:r>
        <w:rPr>
          <w:rFonts w:hint="eastAsia" w:eastAsia="宋体" w:cs="Times New Roman"/>
          <w:color w:val="auto"/>
          <w:kern w:val="2"/>
          <w:sz w:val="21"/>
          <w:szCs w:val="21"/>
          <w:highlight w:val="none"/>
          <w:lang w:val="en-US" w:eastAsia="zh-CN"/>
        </w:rPr>
        <w:t>3</w:t>
      </w:r>
      <w:r>
        <w:rPr>
          <w:rFonts w:hint="eastAsia" w:eastAsia="宋体" w:cs="Times New Roman"/>
          <w:color w:val="auto"/>
          <w:kern w:val="2"/>
          <w:sz w:val="21"/>
          <w:szCs w:val="21"/>
          <w:highlight w:val="none"/>
        </w:rPr>
        <w:t>.造价企业有下列情形之一的，可扣减审计服务费用，终止审计委托协议，提请行政主管部门给予警告、通报，有限期或无限期禁止从事我处项目等处罚，构成犯罪的，依法追究刑事责任：</w:t>
      </w:r>
    </w:p>
    <w:p w14:paraId="65ED82B6">
      <w:pPr>
        <w:pStyle w:val="41"/>
        <w:keepNext w:val="0"/>
        <w:keepLines w:val="0"/>
        <w:pageBreakBefore w:val="0"/>
        <w:widowControl/>
        <w:kinsoku/>
        <w:wordWrap/>
        <w:overflowPunct/>
        <w:topLinePunct w:val="0"/>
        <w:autoSpaceDE/>
        <w:autoSpaceDN/>
        <w:bidi w:val="0"/>
        <w:adjustRightInd/>
        <w:snapToGrid w:val="0"/>
        <w:spacing w:before="0" w:beforeAutospacing="0" w:after="0" w:afterAutospacing="0" w:line="480" w:lineRule="exact"/>
        <w:ind w:firstLine="420" w:firstLineChars="200"/>
        <w:textAlignment w:val="auto"/>
        <w:rPr>
          <w:rFonts w:hint="eastAsia" w:eastAsia="宋体" w:cs="Times New Roman"/>
          <w:color w:val="auto"/>
          <w:kern w:val="2"/>
          <w:sz w:val="21"/>
          <w:szCs w:val="21"/>
          <w:highlight w:val="none"/>
        </w:rPr>
      </w:pPr>
      <w:r>
        <w:rPr>
          <w:rFonts w:hint="eastAsia" w:eastAsia="宋体" w:cs="Times New Roman"/>
          <w:color w:val="auto"/>
          <w:kern w:val="2"/>
          <w:sz w:val="21"/>
          <w:szCs w:val="21"/>
          <w:highlight w:val="none"/>
        </w:rPr>
        <w:t>（</w:t>
      </w:r>
      <w:r>
        <w:rPr>
          <w:rFonts w:hint="eastAsia" w:eastAsia="宋体" w:cs="Times New Roman"/>
          <w:color w:val="auto"/>
          <w:kern w:val="2"/>
          <w:sz w:val="21"/>
          <w:szCs w:val="21"/>
          <w:highlight w:val="none"/>
          <w:lang w:val="en-US" w:eastAsia="zh-CN"/>
        </w:rPr>
        <w:t>1</w:t>
      </w:r>
      <w:r>
        <w:rPr>
          <w:rFonts w:hint="eastAsia" w:eastAsia="宋体" w:cs="Times New Roman"/>
          <w:color w:val="auto"/>
          <w:kern w:val="2"/>
          <w:sz w:val="21"/>
          <w:szCs w:val="21"/>
          <w:highlight w:val="none"/>
        </w:rPr>
        <w:t>）工程结算审核报告存在重大失误或质量低劣；</w:t>
      </w:r>
    </w:p>
    <w:p w14:paraId="7DC53350">
      <w:pPr>
        <w:pStyle w:val="41"/>
        <w:keepNext w:val="0"/>
        <w:keepLines w:val="0"/>
        <w:pageBreakBefore w:val="0"/>
        <w:widowControl/>
        <w:kinsoku/>
        <w:wordWrap/>
        <w:overflowPunct/>
        <w:topLinePunct w:val="0"/>
        <w:autoSpaceDE/>
        <w:autoSpaceDN/>
        <w:bidi w:val="0"/>
        <w:adjustRightInd/>
        <w:snapToGrid w:val="0"/>
        <w:spacing w:before="0" w:beforeAutospacing="0" w:after="0" w:afterAutospacing="0" w:line="480" w:lineRule="exact"/>
        <w:ind w:firstLine="420" w:firstLineChars="200"/>
        <w:textAlignment w:val="auto"/>
        <w:rPr>
          <w:rFonts w:hint="eastAsia" w:eastAsia="宋体" w:cs="Times New Roman"/>
          <w:color w:val="auto"/>
          <w:kern w:val="2"/>
          <w:sz w:val="21"/>
          <w:szCs w:val="21"/>
          <w:highlight w:val="none"/>
        </w:rPr>
      </w:pPr>
      <w:r>
        <w:rPr>
          <w:rFonts w:hint="eastAsia" w:eastAsia="宋体" w:cs="Times New Roman"/>
          <w:color w:val="auto"/>
          <w:kern w:val="2"/>
          <w:sz w:val="21"/>
          <w:szCs w:val="21"/>
          <w:highlight w:val="none"/>
        </w:rPr>
        <w:t>（</w:t>
      </w:r>
      <w:r>
        <w:rPr>
          <w:rFonts w:hint="eastAsia" w:eastAsia="宋体" w:cs="Times New Roman"/>
          <w:color w:val="auto"/>
          <w:kern w:val="2"/>
          <w:sz w:val="21"/>
          <w:szCs w:val="21"/>
          <w:highlight w:val="none"/>
          <w:lang w:val="en-US" w:eastAsia="zh-CN"/>
        </w:rPr>
        <w:t>2</w:t>
      </w:r>
      <w:r>
        <w:rPr>
          <w:rFonts w:hint="eastAsia" w:eastAsia="宋体" w:cs="Times New Roman"/>
          <w:color w:val="auto"/>
          <w:kern w:val="2"/>
          <w:sz w:val="21"/>
          <w:szCs w:val="21"/>
          <w:highlight w:val="none"/>
        </w:rPr>
        <w:t>）因自身工作错误或过失造成重大损失；</w:t>
      </w:r>
    </w:p>
    <w:p w14:paraId="671B960A">
      <w:pPr>
        <w:pStyle w:val="41"/>
        <w:keepNext w:val="0"/>
        <w:keepLines w:val="0"/>
        <w:pageBreakBefore w:val="0"/>
        <w:widowControl/>
        <w:kinsoku/>
        <w:wordWrap/>
        <w:overflowPunct/>
        <w:topLinePunct w:val="0"/>
        <w:autoSpaceDE/>
        <w:autoSpaceDN/>
        <w:bidi w:val="0"/>
        <w:adjustRightInd/>
        <w:snapToGrid w:val="0"/>
        <w:spacing w:before="0" w:beforeAutospacing="0" w:after="0" w:afterAutospacing="0" w:line="480" w:lineRule="exact"/>
        <w:ind w:firstLine="420" w:firstLineChars="200"/>
        <w:textAlignment w:val="auto"/>
        <w:rPr>
          <w:rFonts w:hint="eastAsia" w:eastAsia="宋体" w:cs="Times New Roman"/>
          <w:color w:val="auto"/>
          <w:kern w:val="2"/>
          <w:sz w:val="21"/>
          <w:szCs w:val="21"/>
          <w:highlight w:val="none"/>
        </w:rPr>
      </w:pPr>
      <w:r>
        <w:rPr>
          <w:rFonts w:hint="eastAsia" w:eastAsia="宋体" w:cs="Times New Roman"/>
          <w:color w:val="auto"/>
          <w:kern w:val="2"/>
          <w:sz w:val="21"/>
          <w:szCs w:val="21"/>
          <w:highlight w:val="none"/>
        </w:rPr>
        <w:t>（</w:t>
      </w:r>
      <w:r>
        <w:rPr>
          <w:rFonts w:hint="eastAsia" w:eastAsia="宋体" w:cs="Times New Roman"/>
          <w:color w:val="auto"/>
          <w:kern w:val="2"/>
          <w:sz w:val="21"/>
          <w:szCs w:val="21"/>
          <w:highlight w:val="none"/>
          <w:lang w:val="en-US" w:eastAsia="zh-CN"/>
        </w:rPr>
        <w:t>3</w:t>
      </w:r>
      <w:r>
        <w:rPr>
          <w:rFonts w:hint="eastAsia" w:eastAsia="宋体" w:cs="Times New Roman"/>
          <w:color w:val="auto"/>
          <w:kern w:val="2"/>
          <w:sz w:val="21"/>
          <w:szCs w:val="21"/>
          <w:highlight w:val="none"/>
        </w:rPr>
        <w:t>）未经允许私自向施工单位透露审核情况或信息；</w:t>
      </w:r>
    </w:p>
    <w:p w14:paraId="751EB501">
      <w:pPr>
        <w:pStyle w:val="41"/>
        <w:keepNext w:val="0"/>
        <w:keepLines w:val="0"/>
        <w:pageBreakBefore w:val="0"/>
        <w:widowControl/>
        <w:kinsoku/>
        <w:wordWrap/>
        <w:overflowPunct/>
        <w:topLinePunct w:val="0"/>
        <w:autoSpaceDE/>
        <w:autoSpaceDN/>
        <w:bidi w:val="0"/>
        <w:adjustRightInd/>
        <w:snapToGrid w:val="0"/>
        <w:spacing w:before="0" w:beforeAutospacing="0" w:after="0" w:afterAutospacing="0" w:line="480" w:lineRule="exact"/>
        <w:ind w:firstLine="420" w:firstLineChars="200"/>
        <w:textAlignment w:val="auto"/>
        <w:rPr>
          <w:rFonts w:hint="eastAsia" w:eastAsia="宋体" w:cs="Times New Roman"/>
          <w:color w:val="auto"/>
          <w:kern w:val="2"/>
          <w:sz w:val="21"/>
          <w:szCs w:val="21"/>
          <w:highlight w:val="none"/>
        </w:rPr>
      </w:pPr>
      <w:r>
        <w:rPr>
          <w:rFonts w:hint="eastAsia" w:eastAsia="宋体" w:cs="Times New Roman"/>
          <w:color w:val="auto"/>
          <w:kern w:val="2"/>
          <w:sz w:val="21"/>
          <w:szCs w:val="21"/>
          <w:highlight w:val="none"/>
        </w:rPr>
        <w:t>（</w:t>
      </w:r>
      <w:r>
        <w:rPr>
          <w:rFonts w:hint="eastAsia" w:eastAsia="宋体" w:cs="Times New Roman"/>
          <w:color w:val="auto"/>
          <w:kern w:val="2"/>
          <w:sz w:val="21"/>
          <w:szCs w:val="21"/>
          <w:highlight w:val="none"/>
          <w:lang w:val="en-US" w:eastAsia="zh-CN"/>
        </w:rPr>
        <w:t>4</w:t>
      </w:r>
      <w:r>
        <w:rPr>
          <w:rFonts w:hint="eastAsia" w:eastAsia="宋体" w:cs="Times New Roman"/>
          <w:color w:val="auto"/>
          <w:kern w:val="2"/>
          <w:sz w:val="21"/>
          <w:szCs w:val="21"/>
          <w:highlight w:val="none"/>
        </w:rPr>
        <w:t>）向相关单位或个人索要财物等谋取不正当利益；</w:t>
      </w:r>
    </w:p>
    <w:p w14:paraId="3F030942">
      <w:pPr>
        <w:pStyle w:val="41"/>
        <w:keepNext w:val="0"/>
        <w:keepLines w:val="0"/>
        <w:pageBreakBefore w:val="0"/>
        <w:widowControl/>
        <w:kinsoku/>
        <w:wordWrap/>
        <w:overflowPunct/>
        <w:topLinePunct w:val="0"/>
        <w:autoSpaceDE/>
        <w:autoSpaceDN/>
        <w:bidi w:val="0"/>
        <w:adjustRightInd/>
        <w:snapToGrid w:val="0"/>
        <w:spacing w:before="0" w:beforeAutospacing="0" w:after="0" w:afterAutospacing="0" w:line="480" w:lineRule="exact"/>
        <w:ind w:firstLine="420" w:firstLineChars="200"/>
        <w:textAlignment w:val="auto"/>
        <w:rPr>
          <w:rFonts w:hint="eastAsia" w:eastAsia="宋体" w:cs="Times New Roman"/>
          <w:color w:val="auto"/>
          <w:kern w:val="2"/>
          <w:sz w:val="21"/>
          <w:szCs w:val="21"/>
          <w:highlight w:val="none"/>
        </w:rPr>
      </w:pPr>
      <w:r>
        <w:rPr>
          <w:rFonts w:hint="eastAsia" w:eastAsia="宋体" w:cs="Times New Roman"/>
          <w:color w:val="auto"/>
          <w:kern w:val="2"/>
          <w:sz w:val="21"/>
          <w:szCs w:val="21"/>
          <w:highlight w:val="none"/>
        </w:rPr>
        <w:t>（</w:t>
      </w:r>
      <w:r>
        <w:rPr>
          <w:rFonts w:hint="eastAsia" w:eastAsia="宋体" w:cs="Times New Roman"/>
          <w:color w:val="auto"/>
          <w:kern w:val="2"/>
          <w:sz w:val="21"/>
          <w:szCs w:val="21"/>
          <w:highlight w:val="none"/>
          <w:lang w:val="en-US" w:eastAsia="zh-CN"/>
        </w:rPr>
        <w:t>5</w:t>
      </w:r>
      <w:r>
        <w:rPr>
          <w:rFonts w:hint="eastAsia" w:eastAsia="宋体" w:cs="Times New Roman"/>
          <w:color w:val="auto"/>
          <w:kern w:val="2"/>
          <w:sz w:val="21"/>
          <w:szCs w:val="21"/>
          <w:highlight w:val="none"/>
        </w:rPr>
        <w:t>）单独或与其他各方串通舞弊、弄虚作假；</w:t>
      </w:r>
    </w:p>
    <w:p w14:paraId="16802531">
      <w:pPr>
        <w:pStyle w:val="41"/>
        <w:keepNext w:val="0"/>
        <w:keepLines w:val="0"/>
        <w:pageBreakBefore w:val="0"/>
        <w:widowControl/>
        <w:kinsoku/>
        <w:wordWrap/>
        <w:overflowPunct/>
        <w:topLinePunct w:val="0"/>
        <w:autoSpaceDE/>
        <w:autoSpaceDN/>
        <w:bidi w:val="0"/>
        <w:adjustRightInd/>
        <w:snapToGrid w:val="0"/>
        <w:spacing w:before="0" w:beforeAutospacing="0" w:after="0" w:afterAutospacing="0" w:line="480" w:lineRule="exact"/>
        <w:ind w:firstLine="420" w:firstLineChars="200"/>
        <w:textAlignment w:val="auto"/>
        <w:rPr>
          <w:rFonts w:hint="eastAsia" w:eastAsia="宋体" w:cs="Times New Roman"/>
          <w:color w:val="auto"/>
          <w:kern w:val="2"/>
          <w:sz w:val="21"/>
          <w:szCs w:val="21"/>
          <w:highlight w:val="none"/>
        </w:rPr>
      </w:pPr>
      <w:r>
        <w:rPr>
          <w:rFonts w:hint="eastAsia" w:eastAsia="宋体" w:cs="Times New Roman"/>
          <w:color w:val="auto"/>
          <w:kern w:val="2"/>
          <w:sz w:val="21"/>
          <w:szCs w:val="21"/>
          <w:highlight w:val="none"/>
        </w:rPr>
        <w:t>（</w:t>
      </w:r>
      <w:r>
        <w:rPr>
          <w:rFonts w:hint="eastAsia" w:eastAsia="宋体" w:cs="Times New Roman"/>
          <w:color w:val="auto"/>
          <w:kern w:val="2"/>
          <w:sz w:val="21"/>
          <w:szCs w:val="21"/>
          <w:highlight w:val="none"/>
          <w:lang w:val="en-US" w:eastAsia="zh-CN"/>
        </w:rPr>
        <w:t>6</w:t>
      </w:r>
      <w:r>
        <w:rPr>
          <w:rFonts w:hint="eastAsia" w:eastAsia="宋体" w:cs="Times New Roman"/>
          <w:color w:val="auto"/>
          <w:kern w:val="2"/>
          <w:sz w:val="21"/>
          <w:szCs w:val="21"/>
          <w:highlight w:val="none"/>
        </w:rPr>
        <w:t>）其他违反法律法规和规定的行为。</w:t>
      </w:r>
    </w:p>
    <w:p w14:paraId="626627EC">
      <w:pPr>
        <w:pStyle w:val="41"/>
        <w:keepNext w:val="0"/>
        <w:keepLines w:val="0"/>
        <w:pageBreakBefore w:val="0"/>
        <w:kinsoku/>
        <w:wordWrap/>
        <w:overflowPunct/>
        <w:topLinePunct w:val="0"/>
        <w:autoSpaceDE/>
        <w:autoSpaceDN/>
        <w:bidi w:val="0"/>
        <w:snapToGrid w:val="0"/>
        <w:spacing w:before="0" w:beforeAutospacing="0" w:after="0" w:afterAutospacing="0" w:line="500" w:lineRule="exact"/>
        <w:ind w:firstLine="482" w:firstLineChars="200"/>
        <w:textAlignment w:val="auto"/>
        <w:rPr>
          <w:rFonts w:hint="eastAsia" w:eastAsia="宋体" w:cs="Times New Roman"/>
          <w:color w:val="auto"/>
          <w:kern w:val="2"/>
          <w:sz w:val="24"/>
          <w:szCs w:val="24"/>
          <w:highlight w:val="none"/>
        </w:rPr>
      </w:pPr>
      <w:r>
        <w:rPr>
          <w:rFonts w:hint="eastAsia" w:eastAsia="宋体" w:cs="Times New Roman"/>
          <w:b/>
          <w:bCs/>
          <w:color w:val="auto"/>
          <w:kern w:val="2"/>
          <w:sz w:val="24"/>
          <w:szCs w:val="24"/>
          <w:highlight w:val="none"/>
          <w:lang w:val="en-US" w:eastAsia="zh-CN"/>
        </w:rPr>
        <w:t>八</w:t>
      </w:r>
      <w:r>
        <w:rPr>
          <w:rFonts w:hint="eastAsia" w:eastAsia="宋体" w:cs="Times New Roman"/>
          <w:b/>
          <w:bCs/>
          <w:color w:val="auto"/>
          <w:kern w:val="2"/>
          <w:sz w:val="24"/>
          <w:szCs w:val="24"/>
          <w:highlight w:val="none"/>
        </w:rPr>
        <w:t>、甲乙双方的权利和义务</w:t>
      </w:r>
      <w:r>
        <w:rPr>
          <w:rFonts w:hint="eastAsia" w:eastAsia="宋体" w:cs="Times New Roman"/>
          <w:color w:val="auto"/>
          <w:kern w:val="2"/>
          <w:sz w:val="24"/>
          <w:szCs w:val="24"/>
          <w:highlight w:val="none"/>
        </w:rPr>
        <w:t xml:space="preserve"> </w:t>
      </w:r>
    </w:p>
    <w:p w14:paraId="0F763974">
      <w:pPr>
        <w:pStyle w:val="41"/>
        <w:keepNext w:val="0"/>
        <w:keepLines w:val="0"/>
        <w:pageBreakBefore w:val="0"/>
        <w:widowControl/>
        <w:kinsoku/>
        <w:wordWrap/>
        <w:overflowPunct/>
        <w:topLinePunct w:val="0"/>
        <w:autoSpaceDE/>
        <w:autoSpaceDN/>
        <w:bidi w:val="0"/>
        <w:adjustRightInd/>
        <w:snapToGrid w:val="0"/>
        <w:spacing w:before="0" w:beforeAutospacing="0" w:after="0" w:afterAutospacing="0" w:line="480" w:lineRule="exact"/>
        <w:ind w:firstLine="420" w:firstLineChars="200"/>
        <w:textAlignment w:val="auto"/>
        <w:rPr>
          <w:rFonts w:hint="eastAsia" w:eastAsia="宋体" w:cs="Times New Roman"/>
          <w:color w:val="auto"/>
          <w:kern w:val="2"/>
          <w:sz w:val="21"/>
          <w:szCs w:val="21"/>
          <w:highlight w:val="none"/>
        </w:rPr>
      </w:pPr>
      <w:r>
        <w:rPr>
          <w:rFonts w:hint="eastAsia" w:eastAsia="宋体" w:cs="Times New Roman"/>
          <w:color w:val="auto"/>
          <w:kern w:val="2"/>
          <w:sz w:val="21"/>
          <w:szCs w:val="21"/>
          <w:highlight w:val="none"/>
        </w:rPr>
        <w:t xml:space="preserve">1.甲方权利和义务 </w:t>
      </w:r>
    </w:p>
    <w:p w14:paraId="654C321B">
      <w:pPr>
        <w:pStyle w:val="41"/>
        <w:keepNext w:val="0"/>
        <w:keepLines w:val="0"/>
        <w:pageBreakBefore w:val="0"/>
        <w:widowControl/>
        <w:kinsoku/>
        <w:wordWrap/>
        <w:overflowPunct/>
        <w:topLinePunct w:val="0"/>
        <w:autoSpaceDE/>
        <w:autoSpaceDN/>
        <w:bidi w:val="0"/>
        <w:adjustRightInd/>
        <w:snapToGrid w:val="0"/>
        <w:spacing w:before="0" w:beforeAutospacing="0" w:after="0" w:afterAutospacing="0" w:line="480" w:lineRule="exact"/>
        <w:ind w:firstLine="420" w:firstLineChars="200"/>
        <w:textAlignment w:val="auto"/>
        <w:rPr>
          <w:rFonts w:hint="eastAsia" w:eastAsia="宋体" w:cs="Times New Roman"/>
          <w:color w:val="auto"/>
          <w:kern w:val="2"/>
          <w:sz w:val="21"/>
          <w:szCs w:val="21"/>
          <w:highlight w:val="none"/>
        </w:rPr>
      </w:pPr>
      <w:r>
        <w:rPr>
          <w:rFonts w:hint="eastAsia" w:eastAsia="宋体" w:cs="Times New Roman"/>
          <w:color w:val="auto"/>
          <w:kern w:val="2"/>
          <w:sz w:val="21"/>
          <w:szCs w:val="21"/>
          <w:highlight w:val="none"/>
        </w:rPr>
        <w:t>（1）甲方有权对乙方的跟踪（结算）审计项目实施监督，配合市跟审办对乙方审计工作程序、质量和效率等进行检查考核，考核结果作为奖惩和参与政府投资项目跟踪（结算）审计的重要依据；</w:t>
      </w:r>
    </w:p>
    <w:p w14:paraId="39A4D2B7">
      <w:pPr>
        <w:pStyle w:val="41"/>
        <w:keepNext w:val="0"/>
        <w:keepLines w:val="0"/>
        <w:pageBreakBefore w:val="0"/>
        <w:widowControl/>
        <w:kinsoku/>
        <w:wordWrap/>
        <w:overflowPunct/>
        <w:topLinePunct w:val="0"/>
        <w:autoSpaceDE/>
        <w:autoSpaceDN/>
        <w:bidi w:val="0"/>
        <w:adjustRightInd/>
        <w:snapToGrid w:val="0"/>
        <w:spacing w:before="0" w:beforeAutospacing="0" w:after="0" w:afterAutospacing="0" w:line="480" w:lineRule="exact"/>
        <w:ind w:firstLine="420" w:firstLineChars="200"/>
        <w:textAlignment w:val="auto"/>
        <w:rPr>
          <w:rFonts w:hint="eastAsia" w:eastAsia="宋体" w:cs="Times New Roman"/>
          <w:color w:val="auto"/>
          <w:kern w:val="2"/>
          <w:sz w:val="21"/>
          <w:szCs w:val="21"/>
          <w:highlight w:val="none"/>
        </w:rPr>
      </w:pPr>
      <w:r>
        <w:rPr>
          <w:rFonts w:hint="eastAsia" w:eastAsia="宋体" w:cs="Times New Roman"/>
          <w:color w:val="auto"/>
          <w:kern w:val="2"/>
          <w:sz w:val="21"/>
          <w:szCs w:val="21"/>
          <w:highlight w:val="none"/>
        </w:rPr>
        <w:t>（2）项目跟踪（结算）审计过程中，甲方如发现乙方所派审计人员不符合要求或不能胜任岗位工作职责的，甲方有权要求乙方及时调换，或视情况给予相应的处理、处罚；</w:t>
      </w:r>
    </w:p>
    <w:p w14:paraId="6FCD3CCB">
      <w:pPr>
        <w:pStyle w:val="41"/>
        <w:keepNext w:val="0"/>
        <w:keepLines w:val="0"/>
        <w:pageBreakBefore w:val="0"/>
        <w:widowControl/>
        <w:kinsoku/>
        <w:wordWrap/>
        <w:overflowPunct/>
        <w:topLinePunct w:val="0"/>
        <w:autoSpaceDE/>
        <w:autoSpaceDN/>
        <w:bidi w:val="0"/>
        <w:adjustRightInd/>
        <w:snapToGrid w:val="0"/>
        <w:spacing w:before="0" w:beforeAutospacing="0" w:after="0" w:afterAutospacing="0" w:line="480" w:lineRule="exact"/>
        <w:ind w:firstLine="420" w:firstLineChars="200"/>
        <w:textAlignment w:val="auto"/>
        <w:rPr>
          <w:rFonts w:hint="eastAsia" w:eastAsia="宋体" w:cs="Times New Roman"/>
          <w:color w:val="auto"/>
          <w:kern w:val="2"/>
          <w:sz w:val="21"/>
          <w:szCs w:val="21"/>
          <w:highlight w:val="none"/>
        </w:rPr>
      </w:pPr>
      <w:r>
        <w:rPr>
          <w:rFonts w:hint="eastAsia" w:eastAsia="宋体" w:cs="Times New Roman"/>
          <w:color w:val="auto"/>
          <w:kern w:val="2"/>
          <w:sz w:val="21"/>
          <w:szCs w:val="21"/>
          <w:highlight w:val="none"/>
        </w:rPr>
        <w:t>（3）甲方保证乙方审计服务费用的按时到位。</w:t>
      </w:r>
    </w:p>
    <w:p w14:paraId="07322FFD">
      <w:pPr>
        <w:pStyle w:val="41"/>
        <w:keepNext w:val="0"/>
        <w:keepLines w:val="0"/>
        <w:pageBreakBefore w:val="0"/>
        <w:widowControl/>
        <w:kinsoku/>
        <w:wordWrap/>
        <w:overflowPunct/>
        <w:topLinePunct w:val="0"/>
        <w:autoSpaceDE/>
        <w:autoSpaceDN/>
        <w:bidi w:val="0"/>
        <w:adjustRightInd/>
        <w:snapToGrid w:val="0"/>
        <w:spacing w:before="0" w:beforeAutospacing="0" w:after="0" w:afterAutospacing="0" w:line="480" w:lineRule="exact"/>
        <w:ind w:firstLine="420" w:firstLineChars="200"/>
        <w:textAlignment w:val="auto"/>
        <w:rPr>
          <w:rFonts w:hint="eastAsia" w:eastAsia="宋体" w:cs="Times New Roman"/>
          <w:color w:val="auto"/>
          <w:kern w:val="2"/>
          <w:sz w:val="21"/>
          <w:szCs w:val="21"/>
          <w:highlight w:val="none"/>
        </w:rPr>
      </w:pPr>
      <w:r>
        <w:rPr>
          <w:rFonts w:hint="eastAsia" w:eastAsia="宋体" w:cs="Times New Roman"/>
          <w:color w:val="auto"/>
          <w:kern w:val="2"/>
          <w:sz w:val="21"/>
          <w:szCs w:val="21"/>
          <w:highlight w:val="none"/>
        </w:rPr>
        <w:t>2.乙方权利和义务</w:t>
      </w:r>
    </w:p>
    <w:p w14:paraId="33AA2842">
      <w:pPr>
        <w:pStyle w:val="41"/>
        <w:keepNext w:val="0"/>
        <w:keepLines w:val="0"/>
        <w:pageBreakBefore w:val="0"/>
        <w:widowControl/>
        <w:kinsoku/>
        <w:wordWrap/>
        <w:overflowPunct/>
        <w:topLinePunct w:val="0"/>
        <w:autoSpaceDE/>
        <w:autoSpaceDN/>
        <w:bidi w:val="0"/>
        <w:adjustRightInd/>
        <w:snapToGrid w:val="0"/>
        <w:spacing w:before="0" w:beforeAutospacing="0" w:after="0" w:afterAutospacing="0" w:line="480" w:lineRule="exact"/>
        <w:ind w:firstLine="420" w:firstLineChars="200"/>
        <w:textAlignment w:val="auto"/>
        <w:rPr>
          <w:rFonts w:hint="eastAsia" w:eastAsia="宋体" w:cs="Times New Roman"/>
          <w:color w:val="auto"/>
          <w:kern w:val="2"/>
          <w:sz w:val="21"/>
          <w:szCs w:val="21"/>
          <w:highlight w:val="none"/>
        </w:rPr>
      </w:pPr>
      <w:r>
        <w:rPr>
          <w:rFonts w:hint="eastAsia" w:eastAsia="宋体" w:cs="Times New Roman"/>
          <w:color w:val="auto"/>
          <w:kern w:val="2"/>
          <w:sz w:val="21"/>
          <w:szCs w:val="21"/>
          <w:highlight w:val="none"/>
        </w:rPr>
        <w:t>（1）乙方在完成审计任务后，有权及时取得审计服务费用；</w:t>
      </w:r>
    </w:p>
    <w:p w14:paraId="3CB820EA">
      <w:pPr>
        <w:pStyle w:val="41"/>
        <w:keepNext w:val="0"/>
        <w:keepLines w:val="0"/>
        <w:pageBreakBefore w:val="0"/>
        <w:widowControl/>
        <w:kinsoku/>
        <w:wordWrap/>
        <w:overflowPunct/>
        <w:topLinePunct w:val="0"/>
        <w:autoSpaceDE/>
        <w:autoSpaceDN/>
        <w:bidi w:val="0"/>
        <w:adjustRightInd/>
        <w:snapToGrid w:val="0"/>
        <w:spacing w:before="0" w:beforeAutospacing="0" w:after="0" w:afterAutospacing="0" w:line="480" w:lineRule="exact"/>
        <w:ind w:firstLine="420" w:firstLineChars="200"/>
        <w:textAlignment w:val="auto"/>
        <w:rPr>
          <w:rFonts w:hint="eastAsia" w:eastAsia="宋体" w:cs="Times New Roman"/>
          <w:color w:val="auto"/>
          <w:kern w:val="2"/>
          <w:sz w:val="21"/>
          <w:szCs w:val="21"/>
          <w:highlight w:val="none"/>
        </w:rPr>
      </w:pPr>
      <w:r>
        <w:rPr>
          <w:rFonts w:hint="eastAsia" w:eastAsia="宋体" w:cs="Times New Roman"/>
          <w:color w:val="auto"/>
          <w:kern w:val="2"/>
          <w:sz w:val="21"/>
          <w:szCs w:val="21"/>
          <w:highlight w:val="none"/>
        </w:rPr>
        <w:t>（2）乙方须依照甲方工作要求及行业准则、规范，按时、保质、保量完成所承担的审计任务；</w:t>
      </w:r>
    </w:p>
    <w:p w14:paraId="221FB8C8">
      <w:pPr>
        <w:pStyle w:val="41"/>
        <w:keepNext w:val="0"/>
        <w:keepLines w:val="0"/>
        <w:pageBreakBefore w:val="0"/>
        <w:widowControl/>
        <w:kinsoku/>
        <w:wordWrap/>
        <w:overflowPunct/>
        <w:topLinePunct w:val="0"/>
        <w:autoSpaceDE/>
        <w:autoSpaceDN/>
        <w:bidi w:val="0"/>
        <w:adjustRightInd/>
        <w:snapToGrid w:val="0"/>
        <w:spacing w:before="0" w:beforeAutospacing="0" w:after="0" w:afterAutospacing="0" w:line="480" w:lineRule="exact"/>
        <w:ind w:firstLine="420" w:firstLineChars="200"/>
        <w:textAlignment w:val="auto"/>
        <w:rPr>
          <w:rFonts w:hint="eastAsia" w:eastAsia="宋体" w:cs="Times New Roman"/>
          <w:color w:val="auto"/>
          <w:kern w:val="2"/>
          <w:sz w:val="21"/>
          <w:szCs w:val="21"/>
          <w:highlight w:val="none"/>
        </w:rPr>
      </w:pPr>
      <w:r>
        <w:rPr>
          <w:rFonts w:hint="eastAsia" w:eastAsia="宋体" w:cs="Times New Roman"/>
          <w:color w:val="auto"/>
          <w:kern w:val="2"/>
          <w:sz w:val="21"/>
          <w:szCs w:val="21"/>
          <w:highlight w:val="none"/>
        </w:rPr>
        <w:t>（3）乙方必须对审计人员进行廉政教育，如发现有违反廉洁自律规定的行为，应立即更换人员，并对其严肃处理。同时，甲方可根据性质及情节，扣减相应审计服务费用，并可提请市跟审办没收相应的质量及廉政保证金。</w:t>
      </w:r>
    </w:p>
    <w:p w14:paraId="7EA0C46A">
      <w:pPr>
        <w:pStyle w:val="41"/>
        <w:keepNext w:val="0"/>
        <w:keepLines w:val="0"/>
        <w:pageBreakBefore w:val="0"/>
        <w:widowControl/>
        <w:kinsoku/>
        <w:wordWrap/>
        <w:overflowPunct/>
        <w:topLinePunct w:val="0"/>
        <w:autoSpaceDE/>
        <w:autoSpaceDN/>
        <w:bidi w:val="0"/>
        <w:adjustRightInd/>
        <w:snapToGrid w:val="0"/>
        <w:spacing w:before="0" w:beforeAutospacing="0" w:after="0" w:afterAutospacing="0" w:line="480" w:lineRule="exact"/>
        <w:ind w:firstLine="420" w:firstLineChars="200"/>
        <w:textAlignment w:val="auto"/>
        <w:rPr>
          <w:rFonts w:hint="eastAsia" w:eastAsia="宋体" w:cs="Times New Roman"/>
          <w:color w:val="auto"/>
          <w:kern w:val="2"/>
          <w:sz w:val="21"/>
          <w:szCs w:val="21"/>
          <w:highlight w:val="none"/>
        </w:rPr>
      </w:pPr>
      <w:r>
        <w:rPr>
          <w:rFonts w:hint="eastAsia" w:eastAsia="宋体" w:cs="Times New Roman"/>
          <w:color w:val="auto"/>
          <w:kern w:val="2"/>
          <w:sz w:val="21"/>
          <w:szCs w:val="21"/>
          <w:highlight w:val="none"/>
        </w:rPr>
        <w:t>3</w:t>
      </w:r>
      <w:r>
        <w:rPr>
          <w:rFonts w:hint="eastAsia" w:cs="Times New Roman"/>
          <w:color w:val="auto"/>
          <w:kern w:val="2"/>
          <w:sz w:val="21"/>
          <w:szCs w:val="21"/>
          <w:highlight w:val="none"/>
          <w:lang w:val="en-US" w:eastAsia="zh-CN"/>
        </w:rPr>
        <w:t>.</w:t>
      </w:r>
      <w:r>
        <w:rPr>
          <w:rFonts w:hint="eastAsia" w:eastAsia="宋体" w:cs="Times New Roman"/>
          <w:color w:val="auto"/>
          <w:kern w:val="2"/>
          <w:sz w:val="21"/>
          <w:szCs w:val="21"/>
          <w:highlight w:val="none"/>
        </w:rPr>
        <w:t>双方权力和责任</w:t>
      </w:r>
    </w:p>
    <w:p w14:paraId="261D9675">
      <w:pPr>
        <w:pStyle w:val="41"/>
        <w:keepNext w:val="0"/>
        <w:keepLines w:val="0"/>
        <w:pageBreakBefore w:val="0"/>
        <w:widowControl/>
        <w:kinsoku/>
        <w:wordWrap/>
        <w:overflowPunct/>
        <w:topLinePunct w:val="0"/>
        <w:autoSpaceDE/>
        <w:autoSpaceDN/>
        <w:bidi w:val="0"/>
        <w:adjustRightInd/>
        <w:snapToGrid w:val="0"/>
        <w:spacing w:before="0" w:beforeAutospacing="0" w:after="0" w:afterAutospacing="0" w:line="480" w:lineRule="exact"/>
        <w:ind w:firstLine="420" w:firstLineChars="200"/>
        <w:textAlignment w:val="auto"/>
        <w:rPr>
          <w:rFonts w:hint="eastAsia" w:eastAsia="宋体" w:cs="Times New Roman"/>
          <w:color w:val="auto"/>
          <w:kern w:val="2"/>
          <w:sz w:val="21"/>
          <w:szCs w:val="21"/>
          <w:highlight w:val="none"/>
        </w:rPr>
      </w:pPr>
      <w:r>
        <w:rPr>
          <w:rFonts w:hint="eastAsia" w:eastAsia="宋体" w:cs="Times New Roman"/>
          <w:color w:val="auto"/>
          <w:kern w:val="2"/>
          <w:sz w:val="21"/>
          <w:szCs w:val="21"/>
          <w:highlight w:val="none"/>
        </w:rPr>
        <w:t>3.1 招标人有权进行现场调查和监督，随时调阅有关资料，参与审计的查证、对账和答疑等有关活动。若</w:t>
      </w:r>
      <w:r>
        <w:rPr>
          <w:rFonts w:hint="eastAsia" w:eastAsia="宋体" w:cs="Times New Roman"/>
          <w:color w:val="auto"/>
          <w:kern w:val="2"/>
          <w:sz w:val="21"/>
          <w:szCs w:val="21"/>
          <w:highlight w:val="none"/>
          <w:lang w:eastAsia="zh-CN"/>
        </w:rPr>
        <w:t>跟踪审计机构</w:t>
      </w:r>
      <w:r>
        <w:rPr>
          <w:rFonts w:hint="eastAsia" w:eastAsia="宋体" w:cs="Times New Roman"/>
          <w:color w:val="auto"/>
          <w:kern w:val="2"/>
          <w:sz w:val="21"/>
          <w:szCs w:val="21"/>
          <w:highlight w:val="none"/>
        </w:rPr>
        <w:t>未按委托协议完成业务或审计工作中出现严重差错，招标人有权追究</w:t>
      </w:r>
      <w:r>
        <w:rPr>
          <w:rFonts w:hint="eastAsia" w:eastAsia="宋体" w:cs="Times New Roman"/>
          <w:color w:val="auto"/>
          <w:kern w:val="2"/>
          <w:sz w:val="21"/>
          <w:szCs w:val="21"/>
          <w:highlight w:val="none"/>
          <w:lang w:eastAsia="zh-CN"/>
        </w:rPr>
        <w:t>跟踪审计机构</w:t>
      </w:r>
      <w:r>
        <w:rPr>
          <w:rFonts w:hint="eastAsia" w:eastAsia="宋体" w:cs="Times New Roman"/>
          <w:color w:val="auto"/>
          <w:kern w:val="2"/>
          <w:sz w:val="21"/>
          <w:szCs w:val="21"/>
          <w:highlight w:val="none"/>
        </w:rPr>
        <w:t>法律和经济责任，并视情节扣减部分或全部审计服务费用，直至终止委托关系。</w:t>
      </w:r>
    </w:p>
    <w:p w14:paraId="0243ECD8">
      <w:pPr>
        <w:pStyle w:val="41"/>
        <w:keepNext w:val="0"/>
        <w:keepLines w:val="0"/>
        <w:pageBreakBefore w:val="0"/>
        <w:widowControl/>
        <w:kinsoku/>
        <w:wordWrap/>
        <w:overflowPunct/>
        <w:topLinePunct w:val="0"/>
        <w:autoSpaceDE/>
        <w:autoSpaceDN/>
        <w:bidi w:val="0"/>
        <w:adjustRightInd/>
        <w:snapToGrid w:val="0"/>
        <w:spacing w:before="0" w:beforeAutospacing="0" w:after="0" w:afterAutospacing="0" w:line="480" w:lineRule="exact"/>
        <w:ind w:firstLine="420" w:firstLineChars="200"/>
        <w:textAlignment w:val="auto"/>
        <w:rPr>
          <w:rFonts w:hint="eastAsia" w:eastAsia="宋体" w:cs="Times New Roman"/>
          <w:color w:val="auto"/>
          <w:kern w:val="2"/>
          <w:sz w:val="21"/>
          <w:szCs w:val="21"/>
          <w:highlight w:val="none"/>
        </w:rPr>
      </w:pPr>
      <w:r>
        <w:rPr>
          <w:rFonts w:hint="eastAsia" w:eastAsia="宋体" w:cs="Times New Roman"/>
          <w:color w:val="auto"/>
          <w:kern w:val="2"/>
          <w:sz w:val="21"/>
          <w:szCs w:val="21"/>
          <w:highlight w:val="none"/>
        </w:rPr>
        <w:t>3.2 招标人监督协议的执行，协调和处理履约过程中的问题，对</w:t>
      </w:r>
      <w:r>
        <w:rPr>
          <w:rFonts w:hint="eastAsia" w:eastAsia="宋体" w:cs="Times New Roman"/>
          <w:color w:val="auto"/>
          <w:kern w:val="2"/>
          <w:sz w:val="21"/>
          <w:szCs w:val="21"/>
          <w:highlight w:val="none"/>
          <w:lang w:eastAsia="zh-CN"/>
        </w:rPr>
        <w:t>跟踪审计机构</w:t>
      </w:r>
      <w:r>
        <w:rPr>
          <w:rFonts w:hint="eastAsia" w:eastAsia="宋体" w:cs="Times New Roman"/>
          <w:color w:val="auto"/>
          <w:kern w:val="2"/>
          <w:sz w:val="21"/>
          <w:szCs w:val="21"/>
          <w:highlight w:val="none"/>
        </w:rPr>
        <w:t>审计工作开展情况进行考核，主要内容包括审计程序、现场履职、审计质量和效率、廉政纪律等方面，考核结果作为经济奖惩和以后参与政府投资项目审计服务的重要依据。</w:t>
      </w:r>
    </w:p>
    <w:p w14:paraId="1FE6A7C1">
      <w:pPr>
        <w:pStyle w:val="41"/>
        <w:keepNext w:val="0"/>
        <w:keepLines w:val="0"/>
        <w:pageBreakBefore w:val="0"/>
        <w:widowControl/>
        <w:kinsoku/>
        <w:wordWrap/>
        <w:overflowPunct/>
        <w:topLinePunct w:val="0"/>
        <w:autoSpaceDE/>
        <w:autoSpaceDN/>
        <w:bidi w:val="0"/>
        <w:adjustRightInd/>
        <w:snapToGrid w:val="0"/>
        <w:spacing w:before="0" w:beforeAutospacing="0" w:after="0" w:afterAutospacing="0" w:line="480" w:lineRule="exact"/>
        <w:ind w:firstLine="420" w:firstLineChars="200"/>
        <w:textAlignment w:val="auto"/>
        <w:rPr>
          <w:rFonts w:hint="eastAsia" w:eastAsia="宋体" w:cs="Times New Roman"/>
          <w:color w:val="auto"/>
          <w:kern w:val="2"/>
          <w:sz w:val="21"/>
          <w:szCs w:val="21"/>
          <w:highlight w:val="none"/>
        </w:rPr>
      </w:pPr>
      <w:r>
        <w:rPr>
          <w:rFonts w:hint="eastAsia" w:eastAsia="宋体" w:cs="Times New Roman"/>
          <w:color w:val="auto"/>
          <w:kern w:val="2"/>
          <w:sz w:val="21"/>
          <w:szCs w:val="21"/>
          <w:highlight w:val="none"/>
        </w:rPr>
        <w:t xml:space="preserve">3.3 </w:t>
      </w:r>
      <w:r>
        <w:rPr>
          <w:rFonts w:hint="eastAsia" w:eastAsia="宋体" w:cs="Times New Roman"/>
          <w:color w:val="auto"/>
          <w:kern w:val="2"/>
          <w:sz w:val="21"/>
          <w:szCs w:val="21"/>
          <w:highlight w:val="none"/>
          <w:lang w:eastAsia="zh-CN"/>
        </w:rPr>
        <w:t>跟踪审计机构</w:t>
      </w:r>
      <w:r>
        <w:rPr>
          <w:rFonts w:hint="eastAsia" w:eastAsia="宋体" w:cs="Times New Roman"/>
          <w:color w:val="auto"/>
          <w:kern w:val="2"/>
          <w:sz w:val="21"/>
          <w:szCs w:val="21"/>
          <w:highlight w:val="none"/>
        </w:rPr>
        <w:t>应本着客观、公正、公平的原则，正确履行审计职责，同时承担相应的法律责任。对</w:t>
      </w:r>
      <w:r>
        <w:rPr>
          <w:rFonts w:hint="eastAsia" w:eastAsia="宋体" w:cs="Times New Roman"/>
          <w:color w:val="auto"/>
          <w:kern w:val="2"/>
          <w:sz w:val="21"/>
          <w:szCs w:val="21"/>
          <w:highlight w:val="none"/>
          <w:lang w:eastAsia="zh-CN"/>
        </w:rPr>
        <w:t>跟踪审计机构</w:t>
      </w:r>
      <w:r>
        <w:rPr>
          <w:rFonts w:hint="eastAsia" w:eastAsia="宋体" w:cs="Times New Roman"/>
          <w:color w:val="auto"/>
          <w:kern w:val="2"/>
          <w:sz w:val="21"/>
          <w:szCs w:val="21"/>
          <w:highlight w:val="none"/>
        </w:rPr>
        <w:t>滥用职权、与施工单位串通、徇私舞弊、玩忽职守的，视情节，按有关规定对</w:t>
      </w:r>
      <w:r>
        <w:rPr>
          <w:rFonts w:hint="eastAsia" w:eastAsia="宋体" w:cs="Times New Roman"/>
          <w:color w:val="auto"/>
          <w:kern w:val="2"/>
          <w:sz w:val="21"/>
          <w:szCs w:val="21"/>
          <w:highlight w:val="none"/>
          <w:lang w:eastAsia="zh-CN"/>
        </w:rPr>
        <w:t>跟踪审计机构</w:t>
      </w:r>
      <w:r>
        <w:rPr>
          <w:rFonts w:hint="eastAsia" w:eastAsia="宋体" w:cs="Times New Roman"/>
          <w:color w:val="auto"/>
          <w:kern w:val="2"/>
          <w:sz w:val="21"/>
          <w:szCs w:val="21"/>
          <w:highlight w:val="none"/>
        </w:rPr>
        <w:t>及其当事人进行处理处罚；情节严重，涉嫌违法违纪的，依法移送纪检、司法机关查处。</w:t>
      </w:r>
    </w:p>
    <w:p w14:paraId="5545759E">
      <w:pPr>
        <w:pStyle w:val="41"/>
        <w:keepNext w:val="0"/>
        <w:keepLines w:val="0"/>
        <w:pageBreakBefore w:val="0"/>
        <w:kinsoku/>
        <w:wordWrap/>
        <w:overflowPunct/>
        <w:topLinePunct w:val="0"/>
        <w:autoSpaceDE/>
        <w:autoSpaceDN/>
        <w:bidi w:val="0"/>
        <w:snapToGrid w:val="0"/>
        <w:spacing w:before="0" w:beforeAutospacing="0" w:after="0" w:afterAutospacing="0" w:line="500" w:lineRule="exact"/>
        <w:ind w:firstLine="482" w:firstLineChars="200"/>
        <w:textAlignment w:val="auto"/>
        <w:rPr>
          <w:rFonts w:hint="eastAsia" w:eastAsia="宋体" w:cs="Times New Roman"/>
          <w:b/>
          <w:bCs/>
          <w:color w:val="auto"/>
          <w:kern w:val="2"/>
          <w:sz w:val="24"/>
          <w:szCs w:val="24"/>
          <w:highlight w:val="none"/>
        </w:rPr>
      </w:pPr>
      <w:r>
        <w:rPr>
          <w:rFonts w:hint="eastAsia" w:eastAsia="宋体" w:cs="Times New Roman"/>
          <w:b/>
          <w:bCs/>
          <w:color w:val="auto"/>
          <w:kern w:val="2"/>
          <w:sz w:val="24"/>
          <w:szCs w:val="24"/>
          <w:highlight w:val="none"/>
          <w:lang w:val="en-US" w:eastAsia="zh-CN"/>
        </w:rPr>
        <w:t>九</w:t>
      </w:r>
      <w:r>
        <w:rPr>
          <w:rFonts w:hint="eastAsia" w:eastAsia="宋体" w:cs="Times New Roman"/>
          <w:b/>
          <w:bCs/>
          <w:color w:val="auto"/>
          <w:kern w:val="2"/>
          <w:sz w:val="24"/>
          <w:szCs w:val="24"/>
          <w:highlight w:val="none"/>
        </w:rPr>
        <w:t>、附则</w:t>
      </w:r>
    </w:p>
    <w:p w14:paraId="219F5A99">
      <w:pPr>
        <w:pStyle w:val="41"/>
        <w:keepNext w:val="0"/>
        <w:keepLines w:val="0"/>
        <w:pageBreakBefore w:val="0"/>
        <w:kinsoku/>
        <w:wordWrap/>
        <w:overflowPunct/>
        <w:topLinePunct w:val="0"/>
        <w:autoSpaceDE/>
        <w:autoSpaceDN/>
        <w:bidi w:val="0"/>
        <w:snapToGrid w:val="0"/>
        <w:spacing w:before="0" w:beforeAutospacing="0" w:after="0" w:afterAutospacing="0" w:line="500" w:lineRule="exact"/>
        <w:ind w:firstLine="420" w:firstLineChars="200"/>
        <w:textAlignment w:val="auto"/>
        <w:rPr>
          <w:rFonts w:hint="eastAsia" w:eastAsia="宋体" w:cs="Times New Roman"/>
          <w:color w:val="auto"/>
          <w:kern w:val="2"/>
          <w:sz w:val="21"/>
          <w:szCs w:val="21"/>
          <w:highlight w:val="none"/>
        </w:rPr>
      </w:pPr>
      <w:r>
        <w:rPr>
          <w:rFonts w:hint="eastAsia" w:eastAsia="宋体" w:cs="Times New Roman"/>
          <w:color w:val="auto"/>
          <w:kern w:val="2"/>
          <w:sz w:val="21"/>
          <w:szCs w:val="21"/>
          <w:highlight w:val="none"/>
        </w:rPr>
        <w:t>1.本协议一式肆份，具有同等法律效力，甲方、乙方各执贰份。</w:t>
      </w:r>
    </w:p>
    <w:p w14:paraId="51E0F887">
      <w:pPr>
        <w:pStyle w:val="41"/>
        <w:keepNext w:val="0"/>
        <w:keepLines w:val="0"/>
        <w:pageBreakBefore w:val="0"/>
        <w:kinsoku/>
        <w:wordWrap/>
        <w:overflowPunct/>
        <w:topLinePunct w:val="0"/>
        <w:autoSpaceDE/>
        <w:autoSpaceDN/>
        <w:bidi w:val="0"/>
        <w:snapToGrid w:val="0"/>
        <w:spacing w:before="0" w:beforeAutospacing="0" w:after="0" w:afterAutospacing="0" w:line="500" w:lineRule="exact"/>
        <w:ind w:firstLine="420" w:firstLineChars="200"/>
        <w:textAlignment w:val="auto"/>
        <w:rPr>
          <w:rFonts w:hint="eastAsia" w:eastAsia="宋体" w:cs="Times New Roman"/>
          <w:color w:val="auto"/>
          <w:kern w:val="2"/>
          <w:sz w:val="21"/>
          <w:szCs w:val="21"/>
          <w:highlight w:val="none"/>
        </w:rPr>
      </w:pPr>
      <w:r>
        <w:rPr>
          <w:rFonts w:hint="eastAsia" w:eastAsia="宋体" w:cs="Times New Roman"/>
          <w:color w:val="auto"/>
          <w:kern w:val="2"/>
          <w:sz w:val="21"/>
          <w:szCs w:val="21"/>
          <w:highlight w:val="none"/>
        </w:rPr>
        <w:t>2.本协议未尽事宜，由甲乙双方协商解决。协商不成，提请滁州仲裁委员会裁决。 　</w:t>
      </w:r>
    </w:p>
    <w:p w14:paraId="25F4F5D3">
      <w:pPr>
        <w:pStyle w:val="41"/>
        <w:keepNext w:val="0"/>
        <w:keepLines w:val="0"/>
        <w:pageBreakBefore w:val="0"/>
        <w:kinsoku/>
        <w:wordWrap/>
        <w:overflowPunct/>
        <w:topLinePunct w:val="0"/>
        <w:autoSpaceDE/>
        <w:autoSpaceDN/>
        <w:bidi w:val="0"/>
        <w:snapToGrid w:val="0"/>
        <w:spacing w:before="0" w:beforeAutospacing="0" w:after="0" w:afterAutospacing="0" w:line="500" w:lineRule="exact"/>
        <w:ind w:firstLine="420" w:firstLineChars="200"/>
        <w:textAlignment w:val="auto"/>
        <w:rPr>
          <w:rFonts w:hint="eastAsia" w:eastAsia="宋体" w:cs="Times New Roman"/>
          <w:color w:val="auto"/>
          <w:kern w:val="2"/>
          <w:sz w:val="21"/>
          <w:szCs w:val="21"/>
          <w:highlight w:val="none"/>
        </w:rPr>
      </w:pPr>
      <w:r>
        <w:rPr>
          <w:rFonts w:hint="eastAsia" w:eastAsia="宋体" w:cs="Times New Roman"/>
          <w:color w:val="auto"/>
          <w:kern w:val="2"/>
          <w:sz w:val="21"/>
          <w:szCs w:val="21"/>
          <w:highlight w:val="none"/>
        </w:rPr>
        <w:t>3.本合同自双方签章后生效。</w:t>
      </w:r>
    </w:p>
    <w:p w14:paraId="56CD9580">
      <w:pPr>
        <w:pStyle w:val="41"/>
        <w:keepNext w:val="0"/>
        <w:keepLines w:val="0"/>
        <w:pageBreakBefore w:val="0"/>
        <w:kinsoku/>
        <w:wordWrap/>
        <w:overflowPunct/>
        <w:topLinePunct w:val="0"/>
        <w:autoSpaceDE/>
        <w:autoSpaceDN/>
        <w:bidi w:val="0"/>
        <w:snapToGrid w:val="0"/>
        <w:spacing w:before="0" w:beforeAutospacing="0" w:after="0" w:afterAutospacing="0" w:line="500" w:lineRule="exact"/>
        <w:ind w:firstLine="420" w:firstLineChars="200"/>
        <w:textAlignment w:val="auto"/>
        <w:rPr>
          <w:rFonts w:hint="eastAsia" w:eastAsia="宋体" w:cs="Times New Roman"/>
          <w:color w:val="auto"/>
          <w:kern w:val="2"/>
          <w:sz w:val="21"/>
          <w:szCs w:val="21"/>
          <w:highlight w:val="none"/>
        </w:rPr>
      </w:pPr>
      <w:r>
        <w:rPr>
          <w:rFonts w:hint="eastAsia" w:eastAsia="宋体" w:cs="Times New Roman"/>
          <w:color w:val="auto"/>
          <w:kern w:val="2"/>
          <w:sz w:val="21"/>
          <w:szCs w:val="21"/>
          <w:highlight w:val="none"/>
        </w:rPr>
        <w:t xml:space="preserve">甲方（签章）                              乙方（签章）           </w:t>
      </w:r>
    </w:p>
    <w:p w14:paraId="0DCB36CB">
      <w:pPr>
        <w:ind w:firstLine="1470" w:firstLineChars="700"/>
        <w:rPr>
          <w:rFonts w:hint="eastAsia" w:ascii="宋体" w:hAnsi="宋体" w:eastAsia="宋体" w:cs="宋体"/>
          <w:color w:val="auto"/>
          <w:sz w:val="21"/>
          <w:szCs w:val="21"/>
          <w:highlight w:val="none"/>
        </w:rPr>
      </w:pPr>
      <w:r>
        <w:rPr>
          <w:rFonts w:hint="eastAsia" w:eastAsia="宋体" w:cs="Times New Roman"/>
          <w:color w:val="auto"/>
          <w:kern w:val="2"/>
          <w:sz w:val="21"/>
          <w:szCs w:val="21"/>
          <w:highlight w:val="none"/>
        </w:rPr>
        <w:t>年   月   日                             年  月  日</w:t>
      </w:r>
    </w:p>
    <w:p w14:paraId="6BCD3E8E">
      <w:pPr>
        <w:pStyle w:val="2"/>
        <w:keepNext/>
        <w:keepLines/>
        <w:pageBreakBefore/>
        <w:widowControl w:val="0"/>
        <w:kinsoku/>
        <w:wordWrap/>
        <w:overflowPunct/>
        <w:topLinePunct w:val="0"/>
        <w:autoSpaceDE/>
        <w:autoSpaceDN/>
        <w:bidi w:val="0"/>
        <w:adjustRightInd/>
        <w:snapToGrid/>
        <w:spacing w:before="0" w:after="0"/>
        <w:textAlignment w:val="auto"/>
        <w:rPr>
          <w:rFonts w:hint="eastAsia" w:ascii="宋体" w:hAnsi="宋体" w:eastAsia="宋体" w:cs="宋体"/>
          <w:color w:val="auto"/>
          <w:highlight w:val="none"/>
          <w:lang w:val="en-US" w:eastAsia="zh-CN"/>
        </w:rPr>
      </w:pPr>
      <w:bookmarkStart w:id="65" w:name="_Toc30675"/>
      <w:r>
        <w:rPr>
          <w:rFonts w:hint="eastAsia" w:ascii="宋体" w:hAnsi="宋体" w:eastAsia="宋体" w:cs="宋体"/>
          <w:color w:val="auto"/>
          <w:highlight w:val="none"/>
          <w:lang w:val="en-US" w:eastAsia="zh-CN"/>
        </w:rPr>
        <w:t>第四章 投标文件格式</w:t>
      </w:r>
      <w:bookmarkEnd w:id="65"/>
    </w:p>
    <w:p w14:paraId="2AC451A3">
      <w:pPr>
        <w:jc w:val="center"/>
        <w:rPr>
          <w:rFonts w:hint="eastAsia" w:ascii="宋体" w:hAnsi="宋体" w:eastAsia="宋体" w:cs="宋体"/>
          <w:color w:val="auto"/>
          <w:sz w:val="28"/>
          <w:szCs w:val="28"/>
          <w:highlight w:val="none"/>
          <w:u w:val="single"/>
        </w:rPr>
      </w:pPr>
    </w:p>
    <w:p w14:paraId="2BF899C5">
      <w:pPr>
        <w:jc w:val="center"/>
        <w:rPr>
          <w:rFonts w:hint="eastAsia" w:ascii="宋体" w:hAnsi="宋体" w:eastAsia="宋体" w:cs="宋体"/>
          <w:color w:val="auto"/>
          <w:sz w:val="20"/>
          <w:szCs w:val="20"/>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（项目名称）</w:t>
      </w:r>
    </w:p>
    <w:p w14:paraId="5984FAB0">
      <w:pPr>
        <w:jc w:val="center"/>
        <w:rPr>
          <w:rFonts w:hint="eastAsia" w:ascii="宋体" w:hAnsi="宋体" w:eastAsia="宋体" w:cs="宋体"/>
          <w:color w:val="auto"/>
          <w:sz w:val="20"/>
          <w:szCs w:val="20"/>
          <w:highlight w:val="none"/>
        </w:rPr>
      </w:pPr>
    </w:p>
    <w:p w14:paraId="774E9746">
      <w:pPr>
        <w:jc w:val="center"/>
        <w:rPr>
          <w:rFonts w:hint="eastAsia" w:ascii="宋体" w:hAnsi="宋体" w:eastAsia="宋体" w:cs="宋体"/>
          <w:color w:val="auto"/>
          <w:sz w:val="20"/>
          <w:szCs w:val="20"/>
          <w:highlight w:val="none"/>
        </w:rPr>
      </w:pPr>
    </w:p>
    <w:p w14:paraId="530D7441">
      <w:pPr>
        <w:rPr>
          <w:rFonts w:hint="eastAsia" w:ascii="宋体" w:hAnsi="宋体" w:eastAsia="宋体" w:cs="宋体"/>
          <w:color w:val="auto"/>
          <w:sz w:val="20"/>
          <w:szCs w:val="20"/>
          <w:highlight w:val="none"/>
        </w:rPr>
      </w:pPr>
    </w:p>
    <w:p w14:paraId="00D858C3">
      <w:pPr>
        <w:jc w:val="center"/>
        <w:rPr>
          <w:rFonts w:hint="eastAsia" w:ascii="宋体" w:hAnsi="宋体" w:eastAsia="宋体" w:cs="宋体"/>
          <w:color w:val="auto"/>
          <w:sz w:val="44"/>
          <w:szCs w:val="44"/>
          <w:highlight w:val="none"/>
          <w:lang w:val="en-US" w:eastAsia="zh-CN"/>
        </w:rPr>
      </w:pPr>
      <w:r>
        <w:rPr>
          <w:rFonts w:hint="eastAsia" w:ascii="宋体" w:hAnsi="宋体" w:eastAsia="宋体" w:cs="宋体"/>
          <w:color w:val="auto"/>
          <w:sz w:val="44"/>
          <w:szCs w:val="44"/>
          <w:highlight w:val="none"/>
          <w:lang w:val="en-US" w:eastAsia="zh-CN"/>
        </w:rPr>
        <w:t>投标文件</w:t>
      </w:r>
    </w:p>
    <w:p w14:paraId="28867CFF">
      <w:pPr>
        <w:ind w:firstLine="2880" w:firstLineChars="900"/>
        <w:jc w:val="both"/>
        <w:rPr>
          <w:rFonts w:hint="eastAsia" w:ascii="宋体" w:hAnsi="宋体" w:eastAsia="宋体" w:cs="宋体"/>
          <w:color w:val="auto"/>
          <w:sz w:val="32"/>
          <w:highlight w:val="none"/>
          <w:u w:val="none"/>
          <w:lang w:val="en-US" w:eastAsia="zh-CN"/>
        </w:rPr>
      </w:pPr>
    </w:p>
    <w:p w14:paraId="3D29AF2E">
      <w:pPr>
        <w:ind w:firstLine="2880" w:firstLineChars="900"/>
        <w:jc w:val="both"/>
        <w:rPr>
          <w:rFonts w:hint="default" w:ascii="宋体" w:hAnsi="宋体" w:eastAsia="宋体" w:cs="宋体"/>
          <w:color w:val="auto"/>
          <w:sz w:val="44"/>
          <w:szCs w:val="44"/>
          <w:highlight w:val="none"/>
          <w:u w:val="single"/>
          <w:lang w:val="en-US"/>
        </w:rPr>
      </w:pPr>
      <w:r>
        <w:rPr>
          <w:rFonts w:hint="eastAsia" w:ascii="宋体" w:hAnsi="宋体" w:eastAsia="宋体" w:cs="宋体"/>
          <w:color w:val="auto"/>
          <w:sz w:val="32"/>
          <w:highlight w:val="none"/>
          <w:u w:val="none"/>
          <w:lang w:val="en-US" w:eastAsia="zh-CN"/>
        </w:rPr>
        <w:t>项目编号：</w:t>
      </w:r>
      <w:r>
        <w:rPr>
          <w:rFonts w:hint="eastAsia" w:ascii="宋体" w:hAnsi="宋体" w:cs="宋体"/>
          <w:color w:val="auto"/>
          <w:sz w:val="32"/>
          <w:highlight w:val="none"/>
          <w:u w:val="none"/>
          <w:lang w:val="en-US" w:eastAsia="zh-CN"/>
        </w:rPr>
        <w:t xml:space="preserve">          </w:t>
      </w:r>
    </w:p>
    <w:p w14:paraId="0366733A">
      <w:pPr>
        <w:rPr>
          <w:rFonts w:hint="eastAsia" w:ascii="宋体" w:hAnsi="宋体" w:eastAsia="宋体" w:cs="宋体"/>
          <w:color w:val="auto"/>
          <w:sz w:val="28"/>
          <w:szCs w:val="28"/>
          <w:highlight w:val="none"/>
        </w:rPr>
      </w:pPr>
    </w:p>
    <w:p w14:paraId="51E6DC1B">
      <w:pPr>
        <w:rPr>
          <w:rFonts w:hint="eastAsia" w:ascii="宋体" w:hAnsi="宋体" w:eastAsia="宋体" w:cs="宋体"/>
          <w:color w:val="auto"/>
          <w:sz w:val="28"/>
          <w:szCs w:val="28"/>
          <w:highlight w:val="none"/>
        </w:rPr>
      </w:pPr>
    </w:p>
    <w:p w14:paraId="2A26D9A6">
      <w:pPr>
        <w:rPr>
          <w:rFonts w:hint="eastAsia" w:ascii="宋体" w:hAnsi="宋体" w:eastAsia="宋体" w:cs="宋体"/>
          <w:color w:val="auto"/>
          <w:sz w:val="28"/>
          <w:szCs w:val="28"/>
          <w:highlight w:val="none"/>
        </w:rPr>
      </w:pPr>
    </w:p>
    <w:p w14:paraId="740AB8F5">
      <w:pPr>
        <w:rPr>
          <w:rFonts w:hint="eastAsia" w:ascii="宋体" w:hAnsi="宋体" w:eastAsia="宋体" w:cs="宋体"/>
          <w:color w:val="auto"/>
          <w:sz w:val="28"/>
          <w:szCs w:val="28"/>
          <w:highlight w:val="none"/>
        </w:rPr>
      </w:pPr>
    </w:p>
    <w:p w14:paraId="178B625A">
      <w:pPr>
        <w:rPr>
          <w:rFonts w:hint="eastAsia" w:ascii="宋体" w:hAnsi="宋体" w:eastAsia="宋体" w:cs="宋体"/>
          <w:color w:val="auto"/>
          <w:sz w:val="28"/>
          <w:szCs w:val="28"/>
          <w:highlight w:val="none"/>
        </w:rPr>
      </w:pPr>
    </w:p>
    <w:p w14:paraId="053334BB">
      <w:pPr>
        <w:rPr>
          <w:rFonts w:hint="eastAsia" w:ascii="宋体" w:hAnsi="宋体" w:eastAsia="宋体" w:cs="宋体"/>
          <w:color w:val="auto"/>
          <w:sz w:val="28"/>
          <w:szCs w:val="28"/>
          <w:highlight w:val="none"/>
        </w:rPr>
      </w:pPr>
    </w:p>
    <w:p w14:paraId="4DB35F7F">
      <w:pPr>
        <w:rPr>
          <w:rFonts w:hint="eastAsia" w:ascii="宋体" w:hAnsi="宋体" w:eastAsia="宋体" w:cs="宋体"/>
          <w:color w:val="auto"/>
          <w:sz w:val="28"/>
          <w:szCs w:val="28"/>
          <w:highlight w:val="none"/>
        </w:rPr>
      </w:pPr>
    </w:p>
    <w:p w14:paraId="7EB0B0BD">
      <w:pPr>
        <w:jc w:val="cente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r>
        <w:rPr>
          <w:rFonts w:hint="eastAsia" w:ascii="宋体"/>
          <w:color w:val="auto"/>
          <w:sz w:val="28"/>
          <w:szCs w:val="28"/>
          <w:highlight w:val="none"/>
        </w:rPr>
        <w:t>签章</w:t>
      </w:r>
      <w:r>
        <w:rPr>
          <w:rFonts w:hint="eastAsia" w:ascii="宋体" w:hAnsi="宋体" w:eastAsia="宋体" w:cs="宋体"/>
          <w:color w:val="auto"/>
          <w:sz w:val="28"/>
          <w:szCs w:val="28"/>
          <w:highlight w:val="none"/>
        </w:rPr>
        <w:t>）</w:t>
      </w:r>
    </w:p>
    <w:p w14:paraId="699EC1E5">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color w:val="auto"/>
          <w:sz w:val="28"/>
          <w:szCs w:val="28"/>
          <w:highlight w:val="none"/>
          <w:lang w:val="en-US" w:eastAsia="zh-CN"/>
        </w:rPr>
        <w:t>或委托代理人</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r>
        <w:rPr>
          <w:rFonts w:hint="eastAsia" w:ascii="宋体"/>
          <w:color w:val="auto"/>
          <w:sz w:val="28"/>
          <w:szCs w:val="28"/>
          <w:highlight w:val="none"/>
        </w:rPr>
        <w:t>签章</w:t>
      </w:r>
      <w:r>
        <w:rPr>
          <w:rFonts w:hint="eastAsia" w:ascii="宋体" w:hAnsi="宋体" w:eastAsia="宋体" w:cs="宋体"/>
          <w:color w:val="auto"/>
          <w:sz w:val="28"/>
          <w:szCs w:val="28"/>
          <w:highlight w:val="none"/>
        </w:rPr>
        <w:t>）</w:t>
      </w:r>
    </w:p>
    <w:p w14:paraId="4D73F479">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6FC52725">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r>
    </w:p>
    <w:p w14:paraId="06C9FDD6">
      <w:pPr>
        <w:spacing w:line="480" w:lineRule="auto"/>
        <w:ind w:right="980" w:firstLine="602" w:firstLineChars="200"/>
        <w:jc w:val="center"/>
        <w:rPr>
          <w:rFonts w:hint="eastAsia" w:ascii="宋体" w:hAnsi="宋体" w:eastAsia="宋体" w:cs="宋体"/>
          <w:b/>
          <w:bCs/>
          <w:color w:val="auto"/>
          <w:kern w:val="0"/>
          <w:sz w:val="30"/>
          <w:szCs w:val="30"/>
          <w:highlight w:val="none"/>
        </w:rPr>
      </w:pPr>
      <w:r>
        <w:rPr>
          <w:rFonts w:hint="eastAsia" w:ascii="宋体" w:hAnsi="宋体" w:eastAsia="宋体" w:cs="宋体"/>
          <w:b/>
          <w:bCs/>
          <w:color w:val="auto"/>
          <w:kern w:val="0"/>
          <w:sz w:val="30"/>
          <w:szCs w:val="30"/>
          <w:highlight w:val="none"/>
        </w:rPr>
        <w:t>目</w:t>
      </w:r>
      <w:r>
        <w:rPr>
          <w:rFonts w:hint="eastAsia" w:ascii="宋体" w:hAnsi="宋体" w:cs="宋体"/>
          <w:b/>
          <w:bCs/>
          <w:color w:val="auto"/>
          <w:kern w:val="0"/>
          <w:sz w:val="30"/>
          <w:szCs w:val="30"/>
          <w:highlight w:val="none"/>
          <w:lang w:val="en-US" w:eastAsia="zh-CN"/>
        </w:rPr>
        <w:t xml:space="preserve"> </w:t>
      </w:r>
      <w:r>
        <w:rPr>
          <w:rFonts w:hint="eastAsia" w:ascii="宋体" w:hAnsi="宋体" w:eastAsia="宋体" w:cs="宋体"/>
          <w:b/>
          <w:bCs/>
          <w:color w:val="auto"/>
          <w:kern w:val="0"/>
          <w:sz w:val="30"/>
          <w:szCs w:val="30"/>
          <w:highlight w:val="none"/>
        </w:rPr>
        <w:t>录</w:t>
      </w:r>
    </w:p>
    <w:p w14:paraId="4FDABD1E">
      <w:pPr>
        <w:keepNext w:val="0"/>
        <w:keepLines w:val="0"/>
        <w:pageBreakBefore w:val="0"/>
        <w:widowControl w:val="0"/>
        <w:kinsoku/>
        <w:wordWrap/>
        <w:overflowPunct/>
        <w:topLinePunct w:val="0"/>
        <w:autoSpaceDE/>
        <w:autoSpaceDN/>
        <w:bidi w:val="0"/>
        <w:spacing w:line="5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（1）法定代表人身份证明文件和本人有效身份证(或法定代表人授权委托书和委托代理人有效身份证)；</w:t>
      </w:r>
      <w:r>
        <w:rPr>
          <w:rFonts w:hint="eastAsia" w:ascii="宋体" w:hAnsi="宋体" w:cs="宋体"/>
          <w:color w:val="auto"/>
          <w:sz w:val="21"/>
          <w:szCs w:val="21"/>
          <w:highlight w:val="none"/>
          <w:lang w:val="en-US" w:eastAsia="zh-CN"/>
        </w:rPr>
        <w:t>（格式见附件）</w:t>
      </w:r>
    </w:p>
    <w:p w14:paraId="0187A6DC">
      <w:pPr>
        <w:keepNext w:val="0"/>
        <w:keepLines w:val="0"/>
        <w:pageBreakBefore w:val="0"/>
        <w:widowControl w:val="0"/>
        <w:kinsoku/>
        <w:wordWrap/>
        <w:overflowPunct/>
        <w:topLinePunct w:val="0"/>
        <w:autoSpaceDE/>
        <w:autoSpaceDN/>
        <w:bidi w:val="0"/>
        <w:spacing w:line="500" w:lineRule="exac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rPr>
        <w:t>（2）企业法人营业执照；</w:t>
      </w:r>
      <w:r>
        <w:rPr>
          <w:rFonts w:hint="eastAsia" w:ascii="宋体" w:hAnsi="宋体" w:eastAsia="宋体" w:cs="宋体"/>
          <w:color w:val="auto"/>
          <w:sz w:val="21"/>
          <w:szCs w:val="21"/>
          <w:highlight w:val="none"/>
          <w:lang w:val="en-US" w:eastAsia="zh-CN"/>
        </w:rPr>
        <w:t xml:space="preserve"> </w:t>
      </w:r>
    </w:p>
    <w:p w14:paraId="197A11D3">
      <w:pPr>
        <w:keepNext w:val="0"/>
        <w:keepLines w:val="0"/>
        <w:pageBreakBefore w:val="0"/>
        <w:widowControl w:val="0"/>
        <w:kinsoku/>
        <w:wordWrap/>
        <w:overflowPunct/>
        <w:topLinePunct w:val="0"/>
        <w:autoSpaceDE/>
        <w:autoSpaceDN/>
        <w:bidi w:val="0"/>
        <w:spacing w:line="500" w:lineRule="exact"/>
        <w:textAlignment w:val="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（3）</w:t>
      </w:r>
      <w:r>
        <w:rPr>
          <w:rFonts w:hint="eastAsia" w:ascii="宋体" w:hAnsi="宋体" w:cs="宋体"/>
          <w:color w:val="auto"/>
          <w:sz w:val="21"/>
          <w:szCs w:val="21"/>
          <w:highlight w:val="none"/>
          <w:lang w:val="en-US" w:eastAsia="zh-CN"/>
        </w:rPr>
        <w:t>项目人员配备表；（格式见附件）</w:t>
      </w:r>
    </w:p>
    <w:p w14:paraId="6B8FA70F">
      <w:pPr>
        <w:keepNext w:val="0"/>
        <w:keepLines w:val="0"/>
        <w:pageBreakBefore w:val="0"/>
        <w:widowControl w:val="0"/>
        <w:kinsoku/>
        <w:wordWrap/>
        <w:overflowPunct/>
        <w:topLinePunct w:val="0"/>
        <w:autoSpaceDE/>
        <w:autoSpaceDN/>
        <w:bidi w:val="0"/>
        <w:spacing w:line="500" w:lineRule="exact"/>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4</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拟派项目负责人注册造价师证书</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若注册</w:t>
      </w:r>
      <w:r>
        <w:rPr>
          <w:rFonts w:hint="eastAsia" w:ascii="宋体" w:hAnsi="宋体" w:eastAsia="宋体" w:cs="宋体"/>
          <w:color w:val="auto"/>
          <w:sz w:val="21"/>
          <w:szCs w:val="21"/>
          <w:highlight w:val="none"/>
        </w:rPr>
        <w:t>证书</w:t>
      </w:r>
      <w:r>
        <w:rPr>
          <w:rFonts w:hint="eastAsia" w:ascii="宋体" w:hAnsi="宋体" w:eastAsia="宋体" w:cs="宋体"/>
          <w:color w:val="auto"/>
          <w:sz w:val="21"/>
          <w:szCs w:val="21"/>
          <w:highlight w:val="none"/>
          <w:lang w:val="en-US" w:eastAsia="zh-CN"/>
        </w:rPr>
        <w:t>上无法体现专业的，还需另行提供</w:t>
      </w:r>
      <w:r>
        <w:rPr>
          <w:rFonts w:hint="eastAsia" w:ascii="宋体" w:hAnsi="宋体" w:eastAsia="宋体" w:cs="宋体"/>
          <w:color w:val="auto"/>
          <w:sz w:val="21"/>
          <w:szCs w:val="21"/>
          <w:highlight w:val="none"/>
        </w:rPr>
        <w:t>证明专业的证明材料</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w:t>
      </w:r>
    </w:p>
    <w:p w14:paraId="2C308F90">
      <w:pPr>
        <w:keepNext w:val="0"/>
        <w:keepLines w:val="0"/>
        <w:pageBreakBefore w:val="0"/>
        <w:widowControl w:val="0"/>
        <w:kinsoku/>
        <w:wordWrap/>
        <w:overflowPunct/>
        <w:topLinePunct w:val="0"/>
        <w:autoSpaceDE/>
        <w:autoSpaceDN/>
        <w:bidi w:val="0"/>
        <w:spacing w:line="500" w:lineRule="exac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）项目组其他成员（不含项目负责人）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kern w:val="0"/>
          <w:sz w:val="21"/>
          <w:szCs w:val="21"/>
          <w:highlight w:val="none"/>
          <w:lang w:val="en-US" w:eastAsia="zh-CN"/>
        </w:rPr>
        <w:t>不少于</w:t>
      </w:r>
      <w:r>
        <w:rPr>
          <w:rFonts w:hint="eastAsia" w:ascii="宋体" w:hAnsi="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lang w:val="en-US" w:eastAsia="zh-CN"/>
        </w:rPr>
        <w:t>名注册在投标单位的二级及以上造价工程师</w:t>
      </w:r>
    </w:p>
    <w:p w14:paraId="1966D4D3">
      <w:pPr>
        <w:keepNext w:val="0"/>
        <w:keepLines w:val="0"/>
        <w:pageBreakBefore w:val="0"/>
        <w:widowControl w:val="0"/>
        <w:numPr>
          <w:ilvl w:val="0"/>
          <w:numId w:val="0"/>
        </w:numPr>
        <w:kinsoku/>
        <w:wordWrap/>
        <w:overflowPunct/>
        <w:topLinePunct w:val="0"/>
        <w:autoSpaceDE/>
        <w:autoSpaceDN/>
        <w:bidi w:val="0"/>
        <w:spacing w:line="500" w:lineRule="exac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或</w:t>
      </w:r>
      <w:r>
        <w:rPr>
          <w:rFonts w:hint="eastAsia" w:ascii="宋体" w:hAnsi="宋体" w:eastAsia="宋体" w:cs="宋体"/>
          <w:color w:val="auto"/>
          <w:sz w:val="21"/>
          <w:szCs w:val="21"/>
          <w:highlight w:val="none"/>
        </w:rPr>
        <w:t>委托代理人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kern w:val="2"/>
          <w:sz w:val="21"/>
          <w:szCs w:val="21"/>
          <w:highlight w:val="none"/>
          <w:lang w:val="en-US" w:eastAsia="zh-CN" w:bidi="ar-SA"/>
        </w:rPr>
        <w:t>、</w:t>
      </w:r>
      <w:r>
        <w:rPr>
          <w:rFonts w:hint="eastAsia" w:ascii="宋体" w:hAnsi="宋体" w:eastAsia="宋体" w:cs="宋体"/>
          <w:color w:val="auto"/>
          <w:sz w:val="21"/>
          <w:szCs w:val="21"/>
          <w:highlight w:val="none"/>
        </w:rPr>
        <w:t>项目负责人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项目组其他成员</w:t>
      </w:r>
      <w:r>
        <w:rPr>
          <w:rFonts w:hint="eastAsia" w:ascii="宋体" w:hAnsi="宋体" w:eastAsia="宋体" w:cs="宋体"/>
          <w:color w:val="auto"/>
          <w:kern w:val="2"/>
          <w:sz w:val="21"/>
          <w:szCs w:val="21"/>
          <w:highlight w:val="none"/>
          <w:lang w:val="en-US" w:eastAsia="zh-CN" w:bidi="ar-SA"/>
        </w:rPr>
        <w:t>须持有社保部门出具的本单位为其缴纳的投标前近三个月内任意一月的养老保险证明（含官网在线打印件，证明文件两个月内有效），或投标人提供承诺已为上述人员缴纳养老保险证明的承诺书</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（格式自拟）</w:t>
      </w:r>
    </w:p>
    <w:p w14:paraId="25725BF6">
      <w:pPr>
        <w:keepNext w:val="0"/>
        <w:keepLines w:val="0"/>
        <w:pageBreakBefore w:val="0"/>
        <w:widowControl w:val="0"/>
        <w:kinsoku/>
        <w:wordWrap/>
        <w:overflowPunct/>
        <w:topLinePunct w:val="0"/>
        <w:autoSpaceDE/>
        <w:autoSpaceDN/>
        <w:bidi w:val="0"/>
        <w:spacing w:line="5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w:t>
      </w:r>
      <w:r>
        <w:rPr>
          <w:rFonts w:hint="eastAsia" w:ascii="宋体" w:hAnsi="宋体" w:cs="宋体"/>
          <w:color w:val="auto"/>
          <w:kern w:val="2"/>
          <w:sz w:val="21"/>
          <w:szCs w:val="21"/>
          <w:highlight w:val="none"/>
          <w:lang w:val="en-US" w:eastAsia="zh-CN" w:bidi="ar-SA"/>
        </w:rPr>
        <w:t>7</w:t>
      </w:r>
      <w:r>
        <w:rPr>
          <w:rFonts w:hint="eastAsia" w:ascii="宋体" w:hAnsi="宋体" w:eastAsia="宋体" w:cs="宋体"/>
          <w:color w:val="auto"/>
          <w:kern w:val="2"/>
          <w:sz w:val="21"/>
          <w:szCs w:val="21"/>
          <w:highlight w:val="none"/>
          <w:lang w:val="en-US" w:eastAsia="zh-CN" w:bidi="ar-SA"/>
        </w:rPr>
        <w:t>）</w:t>
      </w:r>
      <w:r>
        <w:rPr>
          <w:rFonts w:hint="eastAsia" w:ascii="宋体" w:hAnsi="宋体" w:eastAsia="宋体" w:cs="宋体"/>
          <w:color w:val="auto"/>
          <w:sz w:val="21"/>
          <w:szCs w:val="21"/>
          <w:highlight w:val="none"/>
          <w:lang w:val="en-US" w:eastAsia="zh-CN"/>
        </w:rPr>
        <w:t>投标函</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（格式见附件）</w:t>
      </w:r>
    </w:p>
    <w:p w14:paraId="7AE780DA">
      <w:pPr>
        <w:keepNext w:val="0"/>
        <w:keepLines w:val="0"/>
        <w:pageBreakBefore w:val="0"/>
        <w:widowControl w:val="0"/>
        <w:kinsoku/>
        <w:wordWrap/>
        <w:overflowPunct/>
        <w:topLinePunct w:val="0"/>
        <w:autoSpaceDE/>
        <w:autoSpaceDN/>
        <w:bidi w:val="0"/>
        <w:spacing w:line="50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val="en-US" w:eastAsia="zh-CN"/>
        </w:rPr>
        <w:t>）投标人认为需要提供的其他材料。</w:t>
      </w:r>
    </w:p>
    <w:p w14:paraId="7525A41F">
      <w:pPr>
        <w:keepNext w:val="0"/>
        <w:keepLines w:val="0"/>
        <w:pageBreakBefore w:val="0"/>
        <w:widowControl w:val="0"/>
        <w:kinsoku/>
        <w:wordWrap/>
        <w:overflowPunct/>
        <w:topLinePunct w:val="0"/>
        <w:autoSpaceDE/>
        <w:autoSpaceDN/>
        <w:bidi w:val="0"/>
        <w:spacing w:line="500" w:lineRule="exact"/>
        <w:textAlignment w:val="auto"/>
        <w:rPr>
          <w:rFonts w:hint="eastAsia" w:ascii="宋体" w:hAnsi="宋体" w:eastAsia="宋体" w:cs="宋体"/>
          <w:color w:val="auto"/>
          <w:sz w:val="21"/>
          <w:szCs w:val="21"/>
          <w:highlight w:val="none"/>
          <w:lang w:val="en-US" w:eastAsia="zh-CN"/>
        </w:rPr>
      </w:pPr>
    </w:p>
    <w:p w14:paraId="0CC44DA1">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r>
    </w:p>
    <w:p w14:paraId="0AF3D236">
      <w:pPr>
        <w:jc w:val="center"/>
        <w:rPr>
          <w:rFonts w:hint="eastAsia" w:ascii="宋体" w:hAnsi="宋体" w:eastAsia="宋体" w:cs="宋体"/>
          <w:color w:val="auto"/>
          <w:sz w:val="32"/>
          <w:szCs w:val="32"/>
          <w:highlight w:val="none"/>
        </w:rPr>
      </w:pPr>
      <w:r>
        <w:rPr>
          <w:rFonts w:hint="eastAsia" w:ascii="宋体" w:hAnsi="宋体" w:eastAsia="宋体" w:cs="宋体"/>
          <w:b/>
          <w:color w:val="auto"/>
          <w:sz w:val="28"/>
          <w:szCs w:val="28"/>
          <w:highlight w:val="none"/>
        </w:rPr>
        <w:t>法定代表人身份证明或授权委托书</w:t>
      </w:r>
    </w:p>
    <w:p w14:paraId="0E2F3567">
      <w:pPr>
        <w:pStyle w:val="145"/>
        <w:spacing w:beforeLines="100" w:afterLines="100" w:line="480" w:lineRule="exact"/>
        <w:ind w:firstLine="180" w:firstLineChars="75"/>
        <w:rPr>
          <w:rFonts w:hint="eastAsia" w:ascii="宋体" w:hAnsi="宋体" w:eastAsia="宋体" w:cs="宋体"/>
          <w:b/>
          <w:color w:val="auto"/>
          <w:sz w:val="24"/>
          <w:szCs w:val="24"/>
          <w:highlight w:val="none"/>
        </w:rPr>
      </w:pPr>
      <w:bookmarkStart w:id="66" w:name="OLE_LINK13"/>
      <w:r>
        <w:rPr>
          <w:rFonts w:hint="eastAsia" w:ascii="宋体" w:hAnsi="宋体" w:eastAsia="宋体" w:cs="宋体"/>
          <w:color w:val="auto"/>
          <w:sz w:val="24"/>
          <w:szCs w:val="24"/>
          <w:highlight w:val="none"/>
        </w:rPr>
        <w:t>1、法定代表人身份证明</w:t>
      </w:r>
    </w:p>
    <w:p w14:paraId="41F8C1B0">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1700D46D">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单位性质：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004F28CA">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3B6CFE56">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2B928DCD">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2438176A">
      <w:pPr>
        <w:spacing w:line="480" w:lineRule="exact"/>
        <w:ind w:firstLine="1440"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240"/>
          <w:sz w:val="24"/>
          <w:szCs w:val="24"/>
          <w:highlight w:val="none"/>
        </w:rPr>
        <w:t>姓</w:t>
      </w:r>
      <w:r>
        <w:rPr>
          <w:rFonts w:hint="eastAsia" w:ascii="宋体" w:hAnsi="宋体" w:eastAsia="宋体" w:cs="宋体"/>
          <w:color w:val="auto"/>
          <w:sz w:val="24"/>
          <w:szCs w:val="24"/>
          <w:highlight w:val="none"/>
        </w:rPr>
        <w:t>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职务：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_</w:t>
      </w:r>
    </w:p>
    <w:p w14:paraId="6C8CAD9F">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（投标人名称）的法定代表人。</w:t>
      </w:r>
    </w:p>
    <w:p w14:paraId="3DACF58B">
      <w:pPr>
        <w:spacing w:line="480" w:lineRule="exact"/>
        <w:ind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特此证明。</w:t>
      </w:r>
    </w:p>
    <w:p w14:paraId="09F19DA4">
      <w:pPr>
        <w:spacing w:line="360" w:lineRule="auto"/>
        <w:ind w:firstLine="3480" w:firstLineChars="14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（签章）</w:t>
      </w:r>
    </w:p>
    <w:p w14:paraId="71183CC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p>
    <w:bookmarkEnd w:id="66"/>
    <w:p w14:paraId="24F496D8">
      <w:pPr>
        <w:rPr>
          <w:rFonts w:hint="eastAsia" w:ascii="宋体" w:hAnsi="宋体" w:eastAsia="宋体" w:cs="宋体"/>
          <w:color w:val="auto"/>
          <w:sz w:val="24"/>
          <w:szCs w:val="24"/>
          <w:highlight w:val="none"/>
        </w:rPr>
      </w:pPr>
    </w:p>
    <w:p w14:paraId="1102F2AB">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2、授权委托书</w:t>
      </w:r>
    </w:p>
    <w:p w14:paraId="0864FD2B">
      <w:pPr>
        <w:spacing w:line="480" w:lineRule="auto"/>
        <w:ind w:left="239" w:leftChars="114"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本授权委托书声明：我</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（姓名）</w:t>
      </w:r>
      <w:r>
        <w:rPr>
          <w:rFonts w:hint="eastAsia" w:ascii="宋体" w:hAnsi="宋体" w:eastAsia="宋体" w:cs="宋体"/>
          <w:color w:val="auto"/>
          <w:sz w:val="24"/>
          <w:szCs w:val="24"/>
          <w:highlight w:val="none"/>
        </w:rPr>
        <w:t>系</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（投标人名称）</w:t>
      </w:r>
      <w:r>
        <w:rPr>
          <w:rFonts w:hint="eastAsia" w:ascii="宋体" w:hAnsi="宋体" w:eastAsia="宋体" w:cs="宋体"/>
          <w:color w:val="auto"/>
          <w:sz w:val="24"/>
          <w:szCs w:val="24"/>
          <w:highlight w:val="none"/>
        </w:rPr>
        <w:t>的法定代表人，现授权委托</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的</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（姓名）</w:t>
      </w:r>
      <w:r>
        <w:rPr>
          <w:rFonts w:hint="eastAsia" w:ascii="宋体" w:hAnsi="宋体" w:eastAsia="宋体" w:cs="宋体"/>
          <w:color w:val="auto"/>
          <w:sz w:val="24"/>
          <w:szCs w:val="24"/>
          <w:highlight w:val="none"/>
        </w:rPr>
        <w:t>为我公司法定代表人授权委托代理人，参加</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招标人</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工程的投标活动。代理人在投标、开标、评标、合同谈判过程中所签署的一切文件和处理与之有关的一切事务，我均予以承认。</w:t>
      </w:r>
    </w:p>
    <w:p w14:paraId="3D2F7968">
      <w:pPr>
        <w:spacing w:line="480" w:lineRule="auto"/>
        <w:ind w:firstLine="480" w:firstLineChars="200"/>
        <w:rPr>
          <w:rFonts w:hint="eastAsia" w:ascii="宋体" w:hAnsi="宋体" w:eastAsia="宋体" w:cs="宋体"/>
          <w:color w:val="auto"/>
          <w:sz w:val="24"/>
          <w:szCs w:val="24"/>
          <w:highlight w:val="none"/>
        </w:rPr>
      </w:pPr>
      <w:r>
        <w:rPr>
          <w:rFonts w:hint="eastAsia" w:ascii="宋体"/>
          <w:color w:val="auto"/>
          <w:sz w:val="24"/>
          <w:highlight w:val="none"/>
        </w:rPr>
        <w:t>委托期限：</w:t>
      </w:r>
      <w:r>
        <w:rPr>
          <w:rFonts w:hint="eastAsia" w:ascii="宋体"/>
          <w:color w:val="auto"/>
          <w:sz w:val="24"/>
          <w:highlight w:val="none"/>
          <w:u w:val="single"/>
        </w:rPr>
        <w:t xml:space="preserve">                         </w:t>
      </w:r>
      <w:r>
        <w:rPr>
          <w:rFonts w:hint="eastAsia" w:ascii="宋体"/>
          <w:color w:val="auto"/>
          <w:sz w:val="24"/>
          <w:highlight w:val="none"/>
          <w:lang w:eastAsia="zh-CN"/>
        </w:rPr>
        <w:t>。</w:t>
      </w:r>
    </w:p>
    <w:p w14:paraId="5186FBCB">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代理人无转委托权，特此委托。</w:t>
      </w:r>
    </w:p>
    <w:p w14:paraId="7ECF78C8">
      <w:pPr>
        <w:spacing w:line="480" w:lineRule="exact"/>
        <w:ind w:firstLine="480" w:firstLineChars="200"/>
        <w:rPr>
          <w:rFonts w:hint="eastAsia" w:ascii="宋体"/>
          <w:color w:val="auto"/>
          <w:sz w:val="24"/>
          <w:highlight w:val="none"/>
        </w:rPr>
      </w:pPr>
      <w:r>
        <w:rPr>
          <w:rFonts w:hint="eastAsia" w:ascii="宋体" w:hAnsi="宋体" w:eastAsia="宋体" w:cs="宋体"/>
          <w:color w:val="auto"/>
          <w:sz w:val="24"/>
          <w:szCs w:val="24"/>
          <w:highlight w:val="none"/>
        </w:rPr>
        <w:t>附：</w:t>
      </w:r>
      <w:r>
        <w:rPr>
          <w:rFonts w:hint="eastAsia" w:ascii="宋体"/>
          <w:color w:val="auto"/>
          <w:sz w:val="24"/>
          <w:highlight w:val="none"/>
        </w:rPr>
        <w:t>授权委托人有效身份证及法定代表人有效身份证</w:t>
      </w:r>
    </w:p>
    <w:p w14:paraId="54CB3CE1">
      <w:pPr>
        <w:spacing w:line="480" w:lineRule="exact"/>
        <w:ind w:firstLine="480" w:firstLineChars="200"/>
        <w:jc w:val="right"/>
        <w:rPr>
          <w:rFonts w:hint="eastAsia" w:ascii="宋体" w:hAnsi="Times New Roman" w:eastAsia="宋体" w:cs="Times New Roman"/>
          <w:color w:val="auto"/>
          <w:sz w:val="24"/>
          <w:highlight w:val="none"/>
        </w:rPr>
      </w:pPr>
      <w:r>
        <w:rPr>
          <w:rFonts w:hint="eastAsia" w:ascii="宋体"/>
          <w:color w:val="auto"/>
          <w:sz w:val="24"/>
          <w:highlight w:val="none"/>
        </w:rPr>
        <w:t xml:space="preserve">                                    </w:t>
      </w:r>
      <w:r>
        <w:rPr>
          <w:rFonts w:hint="eastAsia" w:ascii="宋体" w:hAnsi="Times New Roman" w:eastAsia="宋体" w:cs="Times New Roman"/>
          <w:color w:val="auto"/>
          <w:sz w:val="24"/>
          <w:highlight w:val="none"/>
        </w:rPr>
        <w:t xml:space="preserve"> 投标人：             （签章）</w:t>
      </w:r>
    </w:p>
    <w:p w14:paraId="2B8D027D">
      <w:pPr>
        <w:spacing w:line="480" w:lineRule="exact"/>
        <w:ind w:firstLine="480" w:firstLineChars="200"/>
        <w:jc w:val="right"/>
        <w:rPr>
          <w:rFonts w:hint="eastAsia"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法定代表人（身份证号码）：             （</w:t>
      </w:r>
      <w:r>
        <w:rPr>
          <w:rFonts w:hint="eastAsia" w:ascii="宋体" w:cs="Times New Roman"/>
          <w:color w:val="auto"/>
          <w:sz w:val="24"/>
          <w:highlight w:val="none"/>
          <w:lang w:val="en-US" w:eastAsia="zh-CN"/>
        </w:rPr>
        <w:t>签字或盖章</w:t>
      </w:r>
      <w:r>
        <w:rPr>
          <w:rFonts w:hint="eastAsia" w:ascii="宋体" w:hAnsi="Times New Roman" w:eastAsia="宋体" w:cs="Times New Roman"/>
          <w:color w:val="auto"/>
          <w:sz w:val="24"/>
          <w:highlight w:val="none"/>
        </w:rPr>
        <w:t>）</w:t>
      </w:r>
    </w:p>
    <w:p w14:paraId="133159AC">
      <w:pPr>
        <w:spacing w:line="480" w:lineRule="exact"/>
        <w:ind w:firstLine="480" w:firstLineChars="200"/>
        <w:jc w:val="right"/>
        <w:rPr>
          <w:rFonts w:hint="eastAsia"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 xml:space="preserve">              年    月    日</w:t>
      </w:r>
    </w:p>
    <w:p w14:paraId="10F35531">
      <w:pPr>
        <w:spacing w:line="480" w:lineRule="auto"/>
        <w:ind w:right="980" w:firstLine="482" w:firstLineChars="200"/>
        <w:jc w:val="center"/>
        <w:rPr>
          <w:rFonts w:hint="eastAsia" w:ascii="宋体" w:hAnsi="宋体" w:eastAsia="宋体" w:cs="宋体"/>
          <w:b/>
          <w:bCs/>
          <w:color w:val="auto"/>
          <w:kern w:val="0"/>
          <w:sz w:val="24"/>
          <w:szCs w:val="24"/>
          <w:highlight w:val="none"/>
        </w:rPr>
      </w:pPr>
    </w:p>
    <w:p w14:paraId="4C192855">
      <w:pPr>
        <w:rPr>
          <w:rFonts w:hint="eastAsia" w:ascii="宋体" w:hAnsi="宋体" w:eastAsia="宋体" w:cs="宋体"/>
          <w:b/>
          <w:color w:val="auto"/>
          <w:sz w:val="28"/>
          <w:szCs w:val="28"/>
          <w:highlight w:val="none"/>
        </w:rPr>
      </w:pPr>
      <w:r>
        <w:rPr>
          <w:rFonts w:hint="eastAsia" w:ascii="宋体" w:hAnsi="宋体" w:eastAsia="宋体" w:cs="宋体"/>
          <w:b/>
          <w:bCs/>
          <w:color w:val="auto"/>
          <w:kern w:val="0"/>
          <w:sz w:val="30"/>
          <w:szCs w:val="30"/>
          <w:highlight w:val="none"/>
        </w:rPr>
        <w:br w:type="page"/>
      </w:r>
    </w:p>
    <w:p w14:paraId="21FDDC94">
      <w:pPr>
        <w:pStyle w:val="41"/>
        <w:keepNext w:val="0"/>
        <w:keepLines w:val="0"/>
        <w:pageBreakBefore w:val="0"/>
        <w:kinsoku/>
        <w:wordWrap/>
        <w:overflowPunct/>
        <w:topLinePunct w:val="0"/>
        <w:autoSpaceDE/>
        <w:autoSpaceDN/>
        <w:bidi w:val="0"/>
        <w:snapToGrid w:val="0"/>
        <w:spacing w:before="0" w:beforeAutospacing="0" w:after="0" w:afterAutospacing="0" w:line="500" w:lineRule="exact"/>
        <w:jc w:val="center"/>
        <w:textAlignment w:val="auto"/>
        <w:rPr>
          <w:rFonts w:hint="default" w:ascii="宋体" w:hAnsi="宋体" w:eastAsia="宋体" w:cs="宋体"/>
          <w:b/>
          <w:color w:val="auto"/>
          <w:kern w:val="2"/>
          <w:sz w:val="28"/>
          <w:szCs w:val="28"/>
          <w:highlight w:val="none"/>
          <w:lang w:val="en-US" w:eastAsia="zh-CN" w:bidi="ar-SA"/>
        </w:rPr>
      </w:pPr>
      <w:r>
        <w:rPr>
          <w:rFonts w:hint="default" w:ascii="宋体" w:hAnsi="宋体" w:eastAsia="宋体" w:cs="宋体"/>
          <w:b/>
          <w:color w:val="auto"/>
          <w:kern w:val="2"/>
          <w:sz w:val="28"/>
          <w:szCs w:val="28"/>
          <w:highlight w:val="none"/>
          <w:lang w:val="en-US" w:eastAsia="zh-CN" w:bidi="ar-SA"/>
        </w:rPr>
        <w:t>项目人员配备表</w:t>
      </w:r>
    </w:p>
    <w:tbl>
      <w:tblPr>
        <w:tblStyle w:val="46"/>
        <w:tblW w:w="9352" w:type="dxa"/>
        <w:tblInd w:w="1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94"/>
        <w:gridCol w:w="782"/>
        <w:gridCol w:w="792"/>
        <w:gridCol w:w="1454"/>
        <w:gridCol w:w="2355"/>
        <w:gridCol w:w="1183"/>
        <w:gridCol w:w="1292"/>
      </w:tblGrid>
      <w:tr w14:paraId="4F161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4" w:type="dxa"/>
            <w:noWrap w:val="0"/>
            <w:vAlign w:val="center"/>
          </w:tcPr>
          <w:p w14:paraId="39F5E912">
            <w:pPr>
              <w:keepNext w:val="0"/>
              <w:keepLines w:val="0"/>
              <w:pageBreakBefore w:val="0"/>
              <w:widowControl w:val="0"/>
              <w:kinsoku/>
              <w:wordWrap/>
              <w:overflowPunct/>
              <w:topLinePunct w:val="0"/>
              <w:autoSpaceDE/>
              <w:autoSpaceDN/>
              <w:bidi w:val="0"/>
              <w:adjustRightInd/>
              <w:snapToGrid/>
              <w:spacing w:line="600" w:lineRule="exact"/>
              <w:ind w:left="0" w:leftChars="0"/>
              <w:jc w:val="center"/>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岗位</w:t>
            </w:r>
          </w:p>
        </w:tc>
        <w:tc>
          <w:tcPr>
            <w:tcW w:w="782" w:type="dxa"/>
            <w:noWrap w:val="0"/>
            <w:vAlign w:val="center"/>
          </w:tcPr>
          <w:p w14:paraId="299851A4">
            <w:pPr>
              <w:keepNext w:val="0"/>
              <w:keepLines w:val="0"/>
              <w:pageBreakBefore w:val="0"/>
              <w:widowControl w:val="0"/>
              <w:kinsoku/>
              <w:wordWrap/>
              <w:overflowPunct/>
              <w:topLinePunct w:val="0"/>
              <w:autoSpaceDE/>
              <w:autoSpaceDN/>
              <w:bidi w:val="0"/>
              <w:adjustRightInd/>
              <w:snapToGrid/>
              <w:spacing w:line="600" w:lineRule="exact"/>
              <w:ind w:left="0" w:leftChars="0"/>
              <w:jc w:val="center"/>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姓名</w:t>
            </w:r>
          </w:p>
        </w:tc>
        <w:tc>
          <w:tcPr>
            <w:tcW w:w="792" w:type="dxa"/>
            <w:noWrap w:val="0"/>
            <w:vAlign w:val="center"/>
          </w:tcPr>
          <w:p w14:paraId="11BFADFC">
            <w:pPr>
              <w:keepNext w:val="0"/>
              <w:keepLines w:val="0"/>
              <w:pageBreakBefore w:val="0"/>
              <w:widowControl w:val="0"/>
              <w:kinsoku/>
              <w:wordWrap/>
              <w:overflowPunct/>
              <w:topLinePunct w:val="0"/>
              <w:autoSpaceDE/>
              <w:autoSpaceDN/>
              <w:bidi w:val="0"/>
              <w:adjustRightInd/>
              <w:snapToGrid/>
              <w:spacing w:line="600" w:lineRule="exact"/>
              <w:ind w:left="0" w:leftChars="0"/>
              <w:jc w:val="center"/>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性别</w:t>
            </w:r>
          </w:p>
        </w:tc>
        <w:tc>
          <w:tcPr>
            <w:tcW w:w="1454" w:type="dxa"/>
            <w:noWrap w:val="0"/>
            <w:vAlign w:val="center"/>
          </w:tcPr>
          <w:p w14:paraId="7B59E80B">
            <w:pPr>
              <w:keepNext w:val="0"/>
              <w:keepLines w:val="0"/>
              <w:pageBreakBefore w:val="0"/>
              <w:widowControl w:val="0"/>
              <w:kinsoku/>
              <w:wordWrap/>
              <w:overflowPunct/>
              <w:topLinePunct w:val="0"/>
              <w:autoSpaceDE/>
              <w:autoSpaceDN/>
              <w:bidi w:val="0"/>
              <w:adjustRightInd/>
              <w:snapToGrid/>
              <w:spacing w:line="600" w:lineRule="exact"/>
              <w:ind w:left="0" w:leftChars="0"/>
              <w:jc w:val="center"/>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身份证号码</w:t>
            </w:r>
          </w:p>
        </w:tc>
        <w:tc>
          <w:tcPr>
            <w:tcW w:w="2355" w:type="dxa"/>
            <w:noWrap w:val="0"/>
            <w:vAlign w:val="center"/>
          </w:tcPr>
          <w:p w14:paraId="50D228AB">
            <w:pPr>
              <w:keepNext w:val="0"/>
              <w:keepLines w:val="0"/>
              <w:pageBreakBefore w:val="0"/>
              <w:widowControl w:val="0"/>
              <w:kinsoku/>
              <w:wordWrap/>
              <w:overflowPunct/>
              <w:topLinePunct w:val="0"/>
              <w:autoSpaceDE/>
              <w:autoSpaceDN/>
              <w:bidi w:val="0"/>
              <w:adjustRightInd/>
              <w:snapToGrid/>
              <w:spacing w:line="600" w:lineRule="exact"/>
              <w:ind w:left="0" w:leftChars="0"/>
              <w:jc w:val="center"/>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注册证书资格等级</w:t>
            </w:r>
          </w:p>
        </w:tc>
        <w:tc>
          <w:tcPr>
            <w:tcW w:w="1183" w:type="dxa"/>
            <w:noWrap w:val="0"/>
            <w:vAlign w:val="top"/>
          </w:tcPr>
          <w:p w14:paraId="2402AD70">
            <w:pPr>
              <w:keepNext w:val="0"/>
              <w:keepLines w:val="0"/>
              <w:pageBreakBefore w:val="0"/>
              <w:widowControl w:val="0"/>
              <w:kinsoku/>
              <w:wordWrap/>
              <w:overflowPunct/>
              <w:topLinePunct w:val="0"/>
              <w:autoSpaceDE/>
              <w:autoSpaceDN/>
              <w:bidi w:val="0"/>
              <w:adjustRightInd/>
              <w:snapToGrid/>
              <w:spacing w:line="600" w:lineRule="exact"/>
              <w:ind w:left="0" w:leftChars="0"/>
              <w:jc w:val="center"/>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证书编号</w:t>
            </w:r>
          </w:p>
        </w:tc>
        <w:tc>
          <w:tcPr>
            <w:tcW w:w="1292" w:type="dxa"/>
            <w:noWrap w:val="0"/>
            <w:vAlign w:val="center"/>
          </w:tcPr>
          <w:p w14:paraId="5C4A99C1">
            <w:pPr>
              <w:keepNext w:val="0"/>
              <w:keepLines w:val="0"/>
              <w:pageBreakBefore w:val="0"/>
              <w:widowControl w:val="0"/>
              <w:kinsoku/>
              <w:wordWrap/>
              <w:overflowPunct/>
              <w:topLinePunct w:val="0"/>
              <w:autoSpaceDE/>
              <w:autoSpaceDN/>
              <w:bidi w:val="0"/>
              <w:adjustRightInd/>
              <w:snapToGrid/>
              <w:spacing w:line="600" w:lineRule="exact"/>
              <w:ind w:left="0" w:leftChars="0"/>
              <w:jc w:val="center"/>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联系电话</w:t>
            </w:r>
          </w:p>
        </w:tc>
      </w:tr>
      <w:tr w14:paraId="7599A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4" w:type="dxa"/>
            <w:noWrap w:val="0"/>
            <w:vAlign w:val="top"/>
          </w:tcPr>
          <w:p w14:paraId="7DAD8EAD">
            <w:pPr>
              <w:keepNext w:val="0"/>
              <w:keepLines w:val="0"/>
              <w:pageBreakBefore w:val="0"/>
              <w:widowControl w:val="0"/>
              <w:kinsoku/>
              <w:wordWrap/>
              <w:overflowPunct/>
              <w:topLinePunct w:val="0"/>
              <w:autoSpaceDE/>
              <w:autoSpaceDN/>
              <w:bidi w:val="0"/>
              <w:adjustRightInd/>
              <w:snapToGrid/>
              <w:spacing w:line="600" w:lineRule="exact"/>
              <w:ind w:left="0" w:leftChars="0"/>
              <w:jc w:val="center"/>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项目负责人</w:t>
            </w:r>
          </w:p>
        </w:tc>
        <w:tc>
          <w:tcPr>
            <w:tcW w:w="782" w:type="dxa"/>
            <w:noWrap w:val="0"/>
            <w:vAlign w:val="top"/>
          </w:tcPr>
          <w:p w14:paraId="04B14B9B">
            <w:pPr>
              <w:keepNext w:val="0"/>
              <w:keepLines w:val="0"/>
              <w:pageBreakBefore w:val="0"/>
              <w:widowControl w:val="0"/>
              <w:kinsoku/>
              <w:wordWrap/>
              <w:overflowPunct/>
              <w:topLinePunct w:val="0"/>
              <w:autoSpaceDE/>
              <w:autoSpaceDN/>
              <w:bidi w:val="0"/>
              <w:adjustRightInd/>
              <w:snapToGrid/>
              <w:spacing w:line="720" w:lineRule="exact"/>
              <w:jc w:val="center"/>
              <w:textAlignment w:val="auto"/>
              <w:outlineLvl w:val="9"/>
              <w:rPr>
                <w:rFonts w:hint="eastAsia" w:ascii="宋体" w:hAnsi="宋体" w:eastAsia="宋体" w:cs="宋体"/>
                <w:b w:val="0"/>
                <w:bCs/>
                <w:color w:val="auto"/>
                <w:spacing w:val="-11"/>
                <w:sz w:val="32"/>
                <w:szCs w:val="32"/>
                <w:highlight w:val="none"/>
                <w:vertAlign w:val="baseline"/>
              </w:rPr>
            </w:pPr>
          </w:p>
        </w:tc>
        <w:tc>
          <w:tcPr>
            <w:tcW w:w="792" w:type="dxa"/>
            <w:noWrap w:val="0"/>
            <w:vAlign w:val="top"/>
          </w:tcPr>
          <w:p w14:paraId="04357312">
            <w:pPr>
              <w:keepNext w:val="0"/>
              <w:keepLines w:val="0"/>
              <w:pageBreakBefore w:val="0"/>
              <w:widowControl w:val="0"/>
              <w:kinsoku/>
              <w:wordWrap/>
              <w:overflowPunct/>
              <w:topLinePunct w:val="0"/>
              <w:autoSpaceDE/>
              <w:autoSpaceDN/>
              <w:bidi w:val="0"/>
              <w:adjustRightInd/>
              <w:snapToGrid/>
              <w:spacing w:line="720" w:lineRule="exact"/>
              <w:jc w:val="center"/>
              <w:textAlignment w:val="auto"/>
              <w:outlineLvl w:val="9"/>
              <w:rPr>
                <w:rFonts w:hint="eastAsia" w:ascii="宋体" w:hAnsi="宋体" w:eastAsia="宋体" w:cs="宋体"/>
                <w:b w:val="0"/>
                <w:bCs/>
                <w:color w:val="auto"/>
                <w:spacing w:val="-11"/>
                <w:sz w:val="32"/>
                <w:szCs w:val="32"/>
                <w:highlight w:val="none"/>
                <w:vertAlign w:val="baseline"/>
              </w:rPr>
            </w:pPr>
          </w:p>
        </w:tc>
        <w:tc>
          <w:tcPr>
            <w:tcW w:w="1454" w:type="dxa"/>
            <w:noWrap w:val="0"/>
            <w:vAlign w:val="top"/>
          </w:tcPr>
          <w:p w14:paraId="2B389EA6">
            <w:pPr>
              <w:keepNext w:val="0"/>
              <w:keepLines w:val="0"/>
              <w:pageBreakBefore w:val="0"/>
              <w:widowControl w:val="0"/>
              <w:kinsoku/>
              <w:wordWrap/>
              <w:overflowPunct/>
              <w:topLinePunct w:val="0"/>
              <w:autoSpaceDE/>
              <w:autoSpaceDN/>
              <w:bidi w:val="0"/>
              <w:adjustRightInd/>
              <w:snapToGrid/>
              <w:spacing w:line="720" w:lineRule="exact"/>
              <w:jc w:val="center"/>
              <w:textAlignment w:val="auto"/>
              <w:outlineLvl w:val="9"/>
              <w:rPr>
                <w:rFonts w:hint="eastAsia" w:ascii="宋体" w:hAnsi="宋体" w:eastAsia="宋体" w:cs="宋体"/>
                <w:b w:val="0"/>
                <w:bCs/>
                <w:color w:val="auto"/>
                <w:spacing w:val="-11"/>
                <w:sz w:val="32"/>
                <w:szCs w:val="32"/>
                <w:highlight w:val="none"/>
                <w:vertAlign w:val="baseline"/>
              </w:rPr>
            </w:pPr>
          </w:p>
        </w:tc>
        <w:tc>
          <w:tcPr>
            <w:tcW w:w="2355" w:type="dxa"/>
            <w:noWrap w:val="0"/>
            <w:vAlign w:val="top"/>
          </w:tcPr>
          <w:p w14:paraId="4CE83D5F">
            <w:pPr>
              <w:keepNext w:val="0"/>
              <w:keepLines w:val="0"/>
              <w:pageBreakBefore w:val="0"/>
              <w:widowControl w:val="0"/>
              <w:kinsoku/>
              <w:wordWrap/>
              <w:overflowPunct/>
              <w:topLinePunct w:val="0"/>
              <w:autoSpaceDE/>
              <w:autoSpaceDN/>
              <w:bidi w:val="0"/>
              <w:adjustRightInd/>
              <w:snapToGrid/>
              <w:spacing w:line="720" w:lineRule="exact"/>
              <w:jc w:val="center"/>
              <w:textAlignment w:val="auto"/>
              <w:outlineLvl w:val="9"/>
              <w:rPr>
                <w:rFonts w:hint="eastAsia" w:ascii="宋体" w:hAnsi="宋体" w:eastAsia="宋体" w:cs="宋体"/>
                <w:b w:val="0"/>
                <w:bCs/>
                <w:color w:val="auto"/>
                <w:spacing w:val="-11"/>
                <w:sz w:val="32"/>
                <w:szCs w:val="32"/>
                <w:highlight w:val="none"/>
                <w:vertAlign w:val="baseline"/>
              </w:rPr>
            </w:pPr>
          </w:p>
        </w:tc>
        <w:tc>
          <w:tcPr>
            <w:tcW w:w="1183" w:type="dxa"/>
            <w:noWrap w:val="0"/>
            <w:vAlign w:val="top"/>
          </w:tcPr>
          <w:p w14:paraId="508E0B94">
            <w:pPr>
              <w:keepNext w:val="0"/>
              <w:keepLines w:val="0"/>
              <w:pageBreakBefore w:val="0"/>
              <w:widowControl w:val="0"/>
              <w:kinsoku/>
              <w:wordWrap/>
              <w:overflowPunct/>
              <w:topLinePunct w:val="0"/>
              <w:autoSpaceDE/>
              <w:autoSpaceDN/>
              <w:bidi w:val="0"/>
              <w:adjustRightInd/>
              <w:snapToGrid/>
              <w:spacing w:line="720" w:lineRule="exact"/>
              <w:jc w:val="center"/>
              <w:textAlignment w:val="auto"/>
              <w:outlineLvl w:val="9"/>
              <w:rPr>
                <w:rFonts w:hint="eastAsia" w:ascii="宋体" w:hAnsi="宋体" w:eastAsia="宋体" w:cs="宋体"/>
                <w:b w:val="0"/>
                <w:bCs/>
                <w:color w:val="auto"/>
                <w:spacing w:val="-11"/>
                <w:sz w:val="32"/>
                <w:szCs w:val="32"/>
                <w:highlight w:val="none"/>
                <w:vertAlign w:val="baseline"/>
              </w:rPr>
            </w:pPr>
          </w:p>
        </w:tc>
        <w:tc>
          <w:tcPr>
            <w:tcW w:w="1292" w:type="dxa"/>
            <w:noWrap w:val="0"/>
            <w:vAlign w:val="top"/>
          </w:tcPr>
          <w:p w14:paraId="0E359D28">
            <w:pPr>
              <w:keepNext w:val="0"/>
              <w:keepLines w:val="0"/>
              <w:pageBreakBefore w:val="0"/>
              <w:widowControl w:val="0"/>
              <w:kinsoku/>
              <w:wordWrap/>
              <w:overflowPunct/>
              <w:topLinePunct w:val="0"/>
              <w:autoSpaceDE/>
              <w:autoSpaceDN/>
              <w:bidi w:val="0"/>
              <w:adjustRightInd/>
              <w:snapToGrid/>
              <w:spacing w:line="720" w:lineRule="exact"/>
              <w:jc w:val="center"/>
              <w:textAlignment w:val="auto"/>
              <w:outlineLvl w:val="9"/>
              <w:rPr>
                <w:rFonts w:hint="eastAsia" w:ascii="宋体" w:hAnsi="宋体" w:eastAsia="宋体" w:cs="宋体"/>
                <w:b w:val="0"/>
                <w:bCs/>
                <w:color w:val="auto"/>
                <w:spacing w:val="-11"/>
                <w:sz w:val="32"/>
                <w:szCs w:val="32"/>
                <w:highlight w:val="none"/>
                <w:vertAlign w:val="baseline"/>
              </w:rPr>
            </w:pPr>
          </w:p>
        </w:tc>
      </w:tr>
      <w:tr w14:paraId="5B22A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4" w:type="dxa"/>
            <w:noWrap w:val="0"/>
            <w:vAlign w:val="top"/>
          </w:tcPr>
          <w:p w14:paraId="6499511B">
            <w:pPr>
              <w:keepNext w:val="0"/>
              <w:keepLines w:val="0"/>
              <w:pageBreakBefore w:val="0"/>
              <w:widowControl w:val="0"/>
              <w:kinsoku/>
              <w:wordWrap/>
              <w:overflowPunct/>
              <w:topLinePunct w:val="0"/>
              <w:autoSpaceDE/>
              <w:autoSpaceDN/>
              <w:bidi w:val="0"/>
              <w:adjustRightInd/>
              <w:snapToGrid/>
              <w:spacing w:line="600" w:lineRule="exact"/>
              <w:ind w:left="0" w:leftChars="0"/>
              <w:jc w:val="center"/>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项目组成员</w:t>
            </w:r>
          </w:p>
        </w:tc>
        <w:tc>
          <w:tcPr>
            <w:tcW w:w="782" w:type="dxa"/>
            <w:noWrap w:val="0"/>
            <w:vAlign w:val="top"/>
          </w:tcPr>
          <w:p w14:paraId="68959EE2">
            <w:pPr>
              <w:keepNext w:val="0"/>
              <w:keepLines w:val="0"/>
              <w:pageBreakBefore w:val="0"/>
              <w:widowControl w:val="0"/>
              <w:kinsoku/>
              <w:wordWrap/>
              <w:overflowPunct/>
              <w:topLinePunct w:val="0"/>
              <w:autoSpaceDE/>
              <w:autoSpaceDN/>
              <w:bidi w:val="0"/>
              <w:adjustRightInd/>
              <w:snapToGrid/>
              <w:spacing w:line="720" w:lineRule="exact"/>
              <w:jc w:val="center"/>
              <w:textAlignment w:val="auto"/>
              <w:outlineLvl w:val="9"/>
              <w:rPr>
                <w:rFonts w:hint="eastAsia" w:ascii="宋体" w:hAnsi="宋体" w:eastAsia="宋体" w:cs="宋体"/>
                <w:b w:val="0"/>
                <w:bCs/>
                <w:color w:val="auto"/>
                <w:spacing w:val="-11"/>
                <w:sz w:val="32"/>
                <w:szCs w:val="32"/>
                <w:highlight w:val="none"/>
                <w:vertAlign w:val="baseline"/>
              </w:rPr>
            </w:pPr>
          </w:p>
        </w:tc>
        <w:tc>
          <w:tcPr>
            <w:tcW w:w="792" w:type="dxa"/>
            <w:noWrap w:val="0"/>
            <w:vAlign w:val="top"/>
          </w:tcPr>
          <w:p w14:paraId="3E41E0CB">
            <w:pPr>
              <w:keepNext w:val="0"/>
              <w:keepLines w:val="0"/>
              <w:pageBreakBefore w:val="0"/>
              <w:widowControl w:val="0"/>
              <w:kinsoku/>
              <w:wordWrap/>
              <w:overflowPunct/>
              <w:topLinePunct w:val="0"/>
              <w:autoSpaceDE/>
              <w:autoSpaceDN/>
              <w:bidi w:val="0"/>
              <w:adjustRightInd/>
              <w:snapToGrid/>
              <w:spacing w:line="720" w:lineRule="exact"/>
              <w:jc w:val="center"/>
              <w:textAlignment w:val="auto"/>
              <w:outlineLvl w:val="9"/>
              <w:rPr>
                <w:rFonts w:hint="eastAsia" w:ascii="宋体" w:hAnsi="宋体" w:eastAsia="宋体" w:cs="宋体"/>
                <w:b w:val="0"/>
                <w:bCs/>
                <w:color w:val="auto"/>
                <w:spacing w:val="-11"/>
                <w:sz w:val="32"/>
                <w:szCs w:val="32"/>
                <w:highlight w:val="none"/>
                <w:vertAlign w:val="baseline"/>
              </w:rPr>
            </w:pPr>
          </w:p>
        </w:tc>
        <w:tc>
          <w:tcPr>
            <w:tcW w:w="1454" w:type="dxa"/>
            <w:noWrap w:val="0"/>
            <w:vAlign w:val="top"/>
          </w:tcPr>
          <w:p w14:paraId="014F463F">
            <w:pPr>
              <w:keepNext w:val="0"/>
              <w:keepLines w:val="0"/>
              <w:pageBreakBefore w:val="0"/>
              <w:widowControl w:val="0"/>
              <w:kinsoku/>
              <w:wordWrap/>
              <w:overflowPunct/>
              <w:topLinePunct w:val="0"/>
              <w:autoSpaceDE/>
              <w:autoSpaceDN/>
              <w:bidi w:val="0"/>
              <w:adjustRightInd/>
              <w:snapToGrid/>
              <w:spacing w:line="720" w:lineRule="exact"/>
              <w:jc w:val="center"/>
              <w:textAlignment w:val="auto"/>
              <w:outlineLvl w:val="9"/>
              <w:rPr>
                <w:rFonts w:hint="eastAsia" w:ascii="宋体" w:hAnsi="宋体" w:eastAsia="宋体" w:cs="宋体"/>
                <w:b w:val="0"/>
                <w:bCs/>
                <w:color w:val="auto"/>
                <w:spacing w:val="-11"/>
                <w:sz w:val="32"/>
                <w:szCs w:val="32"/>
                <w:highlight w:val="none"/>
                <w:vertAlign w:val="baseline"/>
              </w:rPr>
            </w:pPr>
          </w:p>
        </w:tc>
        <w:tc>
          <w:tcPr>
            <w:tcW w:w="2355" w:type="dxa"/>
            <w:noWrap w:val="0"/>
            <w:vAlign w:val="top"/>
          </w:tcPr>
          <w:p w14:paraId="3861A870">
            <w:pPr>
              <w:keepNext w:val="0"/>
              <w:keepLines w:val="0"/>
              <w:pageBreakBefore w:val="0"/>
              <w:widowControl w:val="0"/>
              <w:kinsoku/>
              <w:wordWrap/>
              <w:overflowPunct/>
              <w:topLinePunct w:val="0"/>
              <w:autoSpaceDE/>
              <w:autoSpaceDN/>
              <w:bidi w:val="0"/>
              <w:adjustRightInd/>
              <w:snapToGrid/>
              <w:spacing w:line="720" w:lineRule="exact"/>
              <w:jc w:val="center"/>
              <w:textAlignment w:val="auto"/>
              <w:outlineLvl w:val="9"/>
              <w:rPr>
                <w:rFonts w:hint="eastAsia" w:ascii="宋体" w:hAnsi="宋体" w:eastAsia="宋体" w:cs="宋体"/>
                <w:b w:val="0"/>
                <w:bCs/>
                <w:color w:val="auto"/>
                <w:spacing w:val="-11"/>
                <w:sz w:val="32"/>
                <w:szCs w:val="32"/>
                <w:highlight w:val="none"/>
                <w:vertAlign w:val="baseline"/>
              </w:rPr>
            </w:pPr>
          </w:p>
        </w:tc>
        <w:tc>
          <w:tcPr>
            <w:tcW w:w="1183" w:type="dxa"/>
            <w:noWrap w:val="0"/>
            <w:vAlign w:val="top"/>
          </w:tcPr>
          <w:p w14:paraId="5C1F9386">
            <w:pPr>
              <w:keepNext w:val="0"/>
              <w:keepLines w:val="0"/>
              <w:pageBreakBefore w:val="0"/>
              <w:widowControl w:val="0"/>
              <w:kinsoku/>
              <w:wordWrap/>
              <w:overflowPunct/>
              <w:topLinePunct w:val="0"/>
              <w:autoSpaceDE/>
              <w:autoSpaceDN/>
              <w:bidi w:val="0"/>
              <w:adjustRightInd/>
              <w:snapToGrid/>
              <w:spacing w:line="720" w:lineRule="exact"/>
              <w:jc w:val="center"/>
              <w:textAlignment w:val="auto"/>
              <w:outlineLvl w:val="9"/>
              <w:rPr>
                <w:rFonts w:hint="eastAsia" w:ascii="宋体" w:hAnsi="宋体" w:eastAsia="宋体" w:cs="宋体"/>
                <w:b w:val="0"/>
                <w:bCs/>
                <w:color w:val="auto"/>
                <w:spacing w:val="-11"/>
                <w:sz w:val="32"/>
                <w:szCs w:val="32"/>
                <w:highlight w:val="none"/>
                <w:vertAlign w:val="baseline"/>
              </w:rPr>
            </w:pPr>
          </w:p>
        </w:tc>
        <w:tc>
          <w:tcPr>
            <w:tcW w:w="1292" w:type="dxa"/>
            <w:noWrap w:val="0"/>
            <w:vAlign w:val="top"/>
          </w:tcPr>
          <w:p w14:paraId="0239EAA9">
            <w:pPr>
              <w:keepNext w:val="0"/>
              <w:keepLines w:val="0"/>
              <w:pageBreakBefore w:val="0"/>
              <w:widowControl w:val="0"/>
              <w:kinsoku/>
              <w:wordWrap/>
              <w:overflowPunct/>
              <w:topLinePunct w:val="0"/>
              <w:autoSpaceDE/>
              <w:autoSpaceDN/>
              <w:bidi w:val="0"/>
              <w:adjustRightInd/>
              <w:snapToGrid/>
              <w:spacing w:line="720" w:lineRule="exact"/>
              <w:jc w:val="center"/>
              <w:textAlignment w:val="auto"/>
              <w:outlineLvl w:val="9"/>
              <w:rPr>
                <w:rFonts w:hint="eastAsia" w:ascii="宋体" w:hAnsi="宋体" w:eastAsia="宋体" w:cs="宋体"/>
                <w:b w:val="0"/>
                <w:bCs/>
                <w:color w:val="auto"/>
                <w:spacing w:val="-11"/>
                <w:sz w:val="32"/>
                <w:szCs w:val="32"/>
                <w:highlight w:val="none"/>
                <w:vertAlign w:val="baseline"/>
              </w:rPr>
            </w:pPr>
          </w:p>
        </w:tc>
      </w:tr>
      <w:tr w14:paraId="67029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4" w:type="dxa"/>
            <w:noWrap w:val="0"/>
            <w:vAlign w:val="top"/>
          </w:tcPr>
          <w:p w14:paraId="49CD33A1">
            <w:pPr>
              <w:keepNext w:val="0"/>
              <w:keepLines w:val="0"/>
              <w:pageBreakBefore w:val="0"/>
              <w:widowControl w:val="0"/>
              <w:kinsoku/>
              <w:wordWrap/>
              <w:overflowPunct/>
              <w:topLinePunct w:val="0"/>
              <w:autoSpaceDE/>
              <w:autoSpaceDN/>
              <w:bidi w:val="0"/>
              <w:adjustRightInd/>
              <w:snapToGrid/>
              <w:spacing w:line="720" w:lineRule="exact"/>
              <w:jc w:val="center"/>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p>
        </w:tc>
        <w:tc>
          <w:tcPr>
            <w:tcW w:w="782" w:type="dxa"/>
            <w:noWrap w:val="0"/>
            <w:vAlign w:val="top"/>
          </w:tcPr>
          <w:p w14:paraId="46BBC33E">
            <w:pPr>
              <w:keepNext w:val="0"/>
              <w:keepLines w:val="0"/>
              <w:pageBreakBefore w:val="0"/>
              <w:widowControl w:val="0"/>
              <w:kinsoku/>
              <w:wordWrap/>
              <w:overflowPunct/>
              <w:topLinePunct w:val="0"/>
              <w:autoSpaceDE/>
              <w:autoSpaceDN/>
              <w:bidi w:val="0"/>
              <w:adjustRightInd/>
              <w:snapToGrid/>
              <w:spacing w:line="720" w:lineRule="exact"/>
              <w:jc w:val="center"/>
              <w:textAlignment w:val="auto"/>
              <w:outlineLvl w:val="9"/>
              <w:rPr>
                <w:rFonts w:hint="eastAsia" w:ascii="宋体" w:hAnsi="宋体" w:eastAsia="宋体" w:cs="宋体"/>
                <w:b w:val="0"/>
                <w:bCs/>
                <w:color w:val="auto"/>
                <w:spacing w:val="-11"/>
                <w:sz w:val="32"/>
                <w:szCs w:val="32"/>
                <w:highlight w:val="none"/>
                <w:vertAlign w:val="baseline"/>
              </w:rPr>
            </w:pPr>
          </w:p>
        </w:tc>
        <w:tc>
          <w:tcPr>
            <w:tcW w:w="792" w:type="dxa"/>
            <w:noWrap w:val="0"/>
            <w:vAlign w:val="top"/>
          </w:tcPr>
          <w:p w14:paraId="32E16400">
            <w:pPr>
              <w:keepNext w:val="0"/>
              <w:keepLines w:val="0"/>
              <w:pageBreakBefore w:val="0"/>
              <w:widowControl w:val="0"/>
              <w:kinsoku/>
              <w:wordWrap/>
              <w:overflowPunct/>
              <w:topLinePunct w:val="0"/>
              <w:autoSpaceDE/>
              <w:autoSpaceDN/>
              <w:bidi w:val="0"/>
              <w:adjustRightInd/>
              <w:snapToGrid/>
              <w:spacing w:line="720" w:lineRule="exact"/>
              <w:jc w:val="center"/>
              <w:textAlignment w:val="auto"/>
              <w:outlineLvl w:val="9"/>
              <w:rPr>
                <w:rFonts w:hint="eastAsia" w:ascii="宋体" w:hAnsi="宋体" w:eastAsia="宋体" w:cs="宋体"/>
                <w:b w:val="0"/>
                <w:bCs/>
                <w:color w:val="auto"/>
                <w:spacing w:val="-11"/>
                <w:sz w:val="32"/>
                <w:szCs w:val="32"/>
                <w:highlight w:val="none"/>
                <w:vertAlign w:val="baseline"/>
              </w:rPr>
            </w:pPr>
          </w:p>
        </w:tc>
        <w:tc>
          <w:tcPr>
            <w:tcW w:w="1454" w:type="dxa"/>
            <w:noWrap w:val="0"/>
            <w:vAlign w:val="top"/>
          </w:tcPr>
          <w:p w14:paraId="23E1BBC6">
            <w:pPr>
              <w:keepNext w:val="0"/>
              <w:keepLines w:val="0"/>
              <w:pageBreakBefore w:val="0"/>
              <w:widowControl w:val="0"/>
              <w:kinsoku/>
              <w:wordWrap/>
              <w:overflowPunct/>
              <w:topLinePunct w:val="0"/>
              <w:autoSpaceDE/>
              <w:autoSpaceDN/>
              <w:bidi w:val="0"/>
              <w:adjustRightInd/>
              <w:snapToGrid/>
              <w:spacing w:line="720" w:lineRule="exact"/>
              <w:jc w:val="center"/>
              <w:textAlignment w:val="auto"/>
              <w:outlineLvl w:val="9"/>
              <w:rPr>
                <w:rFonts w:hint="eastAsia" w:ascii="宋体" w:hAnsi="宋体" w:eastAsia="宋体" w:cs="宋体"/>
                <w:b w:val="0"/>
                <w:bCs/>
                <w:color w:val="auto"/>
                <w:spacing w:val="-11"/>
                <w:sz w:val="32"/>
                <w:szCs w:val="32"/>
                <w:highlight w:val="none"/>
                <w:vertAlign w:val="baseline"/>
              </w:rPr>
            </w:pPr>
          </w:p>
        </w:tc>
        <w:tc>
          <w:tcPr>
            <w:tcW w:w="2355" w:type="dxa"/>
            <w:noWrap w:val="0"/>
            <w:vAlign w:val="top"/>
          </w:tcPr>
          <w:p w14:paraId="17498B77">
            <w:pPr>
              <w:keepNext w:val="0"/>
              <w:keepLines w:val="0"/>
              <w:pageBreakBefore w:val="0"/>
              <w:widowControl w:val="0"/>
              <w:kinsoku/>
              <w:wordWrap/>
              <w:overflowPunct/>
              <w:topLinePunct w:val="0"/>
              <w:autoSpaceDE/>
              <w:autoSpaceDN/>
              <w:bidi w:val="0"/>
              <w:adjustRightInd/>
              <w:snapToGrid/>
              <w:spacing w:line="720" w:lineRule="exact"/>
              <w:jc w:val="center"/>
              <w:textAlignment w:val="auto"/>
              <w:outlineLvl w:val="9"/>
              <w:rPr>
                <w:rFonts w:hint="eastAsia" w:ascii="宋体" w:hAnsi="宋体" w:eastAsia="宋体" w:cs="宋体"/>
                <w:b w:val="0"/>
                <w:bCs/>
                <w:color w:val="auto"/>
                <w:spacing w:val="-11"/>
                <w:sz w:val="32"/>
                <w:szCs w:val="32"/>
                <w:highlight w:val="none"/>
                <w:vertAlign w:val="baseline"/>
              </w:rPr>
            </w:pPr>
          </w:p>
        </w:tc>
        <w:tc>
          <w:tcPr>
            <w:tcW w:w="1183" w:type="dxa"/>
            <w:noWrap w:val="0"/>
            <w:vAlign w:val="top"/>
          </w:tcPr>
          <w:p w14:paraId="0B5DA3D2">
            <w:pPr>
              <w:keepNext w:val="0"/>
              <w:keepLines w:val="0"/>
              <w:pageBreakBefore w:val="0"/>
              <w:widowControl w:val="0"/>
              <w:kinsoku/>
              <w:wordWrap/>
              <w:overflowPunct/>
              <w:topLinePunct w:val="0"/>
              <w:autoSpaceDE/>
              <w:autoSpaceDN/>
              <w:bidi w:val="0"/>
              <w:adjustRightInd/>
              <w:snapToGrid/>
              <w:spacing w:line="720" w:lineRule="exact"/>
              <w:jc w:val="center"/>
              <w:textAlignment w:val="auto"/>
              <w:outlineLvl w:val="9"/>
              <w:rPr>
                <w:rFonts w:hint="eastAsia" w:ascii="宋体" w:hAnsi="宋体" w:eastAsia="宋体" w:cs="宋体"/>
                <w:b w:val="0"/>
                <w:bCs/>
                <w:color w:val="auto"/>
                <w:spacing w:val="-11"/>
                <w:sz w:val="32"/>
                <w:szCs w:val="32"/>
                <w:highlight w:val="none"/>
                <w:vertAlign w:val="baseline"/>
              </w:rPr>
            </w:pPr>
          </w:p>
        </w:tc>
        <w:tc>
          <w:tcPr>
            <w:tcW w:w="1292" w:type="dxa"/>
            <w:noWrap w:val="0"/>
            <w:vAlign w:val="top"/>
          </w:tcPr>
          <w:p w14:paraId="75F0B417">
            <w:pPr>
              <w:keepNext w:val="0"/>
              <w:keepLines w:val="0"/>
              <w:pageBreakBefore w:val="0"/>
              <w:widowControl w:val="0"/>
              <w:kinsoku/>
              <w:wordWrap/>
              <w:overflowPunct/>
              <w:topLinePunct w:val="0"/>
              <w:autoSpaceDE/>
              <w:autoSpaceDN/>
              <w:bidi w:val="0"/>
              <w:adjustRightInd/>
              <w:snapToGrid/>
              <w:spacing w:line="720" w:lineRule="exact"/>
              <w:jc w:val="center"/>
              <w:textAlignment w:val="auto"/>
              <w:outlineLvl w:val="9"/>
              <w:rPr>
                <w:rFonts w:hint="eastAsia" w:ascii="宋体" w:hAnsi="宋体" w:eastAsia="宋体" w:cs="宋体"/>
                <w:b w:val="0"/>
                <w:bCs/>
                <w:color w:val="auto"/>
                <w:spacing w:val="-11"/>
                <w:sz w:val="32"/>
                <w:szCs w:val="32"/>
                <w:highlight w:val="none"/>
                <w:vertAlign w:val="baseline"/>
              </w:rPr>
            </w:pPr>
          </w:p>
        </w:tc>
      </w:tr>
    </w:tbl>
    <w:p w14:paraId="6D79D3F9">
      <w:pPr>
        <w:jc w:val="center"/>
        <w:rPr>
          <w:rFonts w:hint="eastAsia" w:ascii="宋体" w:hAnsi="宋体" w:eastAsia="宋体" w:cs="宋体"/>
          <w:color w:val="auto"/>
          <w:sz w:val="28"/>
          <w:szCs w:val="28"/>
          <w:highlight w:val="none"/>
          <w:u w:val="single"/>
        </w:rPr>
      </w:pPr>
    </w:p>
    <w:p w14:paraId="01683548">
      <w:pPr>
        <w:spacing w:line="480" w:lineRule="exact"/>
        <w:ind w:firstLine="480" w:firstLineChars="200"/>
        <w:jc w:val="right"/>
        <w:rPr>
          <w:rFonts w:hint="eastAsia"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 xml:space="preserve"> 投标人：             （签章）</w:t>
      </w:r>
    </w:p>
    <w:p w14:paraId="2538AB65">
      <w:pPr>
        <w:spacing w:line="480" w:lineRule="exact"/>
        <w:ind w:firstLine="480" w:firstLineChars="200"/>
        <w:jc w:val="right"/>
        <w:rPr>
          <w:rFonts w:hint="eastAsia"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法定代表人或其委托代理人：             （</w:t>
      </w:r>
      <w:r>
        <w:rPr>
          <w:rFonts w:hint="eastAsia" w:ascii="宋体" w:cs="Times New Roman"/>
          <w:color w:val="auto"/>
          <w:sz w:val="24"/>
          <w:highlight w:val="none"/>
          <w:lang w:val="en-US" w:eastAsia="zh-CN"/>
        </w:rPr>
        <w:t>签字或盖章</w:t>
      </w:r>
      <w:r>
        <w:rPr>
          <w:rFonts w:hint="eastAsia" w:ascii="宋体" w:hAnsi="Times New Roman" w:eastAsia="宋体" w:cs="Times New Roman"/>
          <w:color w:val="auto"/>
          <w:sz w:val="24"/>
          <w:highlight w:val="none"/>
        </w:rPr>
        <w:t>）</w:t>
      </w:r>
    </w:p>
    <w:p w14:paraId="1407EB75">
      <w:pPr>
        <w:spacing w:line="480" w:lineRule="exact"/>
        <w:ind w:firstLine="480" w:firstLineChars="200"/>
        <w:jc w:val="right"/>
        <w:rPr>
          <w:rFonts w:hint="eastAsia"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 xml:space="preserve">              年    月    日</w:t>
      </w:r>
    </w:p>
    <w:p w14:paraId="30963256">
      <w:pPr>
        <w:jc w:val="center"/>
        <w:rPr>
          <w:rFonts w:hint="eastAsia" w:ascii="宋体" w:hAnsi="宋体" w:eastAsia="宋体" w:cs="宋体"/>
          <w:b/>
          <w:bCs/>
          <w:color w:val="auto"/>
          <w:sz w:val="28"/>
          <w:szCs w:val="28"/>
          <w:highlight w:val="none"/>
        </w:rPr>
      </w:pPr>
    </w:p>
    <w:p w14:paraId="7774A8B9">
      <w:pPr>
        <w:pStyle w:val="44"/>
        <w:rPr>
          <w:rFonts w:hint="eastAsia"/>
          <w:color w:val="auto"/>
          <w:highlight w:val="none"/>
        </w:rPr>
      </w:pPr>
    </w:p>
    <w:p w14:paraId="14A4BCCA">
      <w:pPr>
        <w:jc w:val="center"/>
        <w:rPr>
          <w:rFonts w:hint="eastAsia" w:ascii="宋体" w:hAnsi="宋体" w:eastAsia="宋体" w:cs="宋体"/>
          <w:b/>
          <w:bCs/>
          <w:color w:val="auto"/>
          <w:sz w:val="28"/>
          <w:szCs w:val="28"/>
          <w:highlight w:val="none"/>
        </w:rPr>
      </w:pPr>
    </w:p>
    <w:p w14:paraId="3CCC12D7">
      <w:pPr>
        <w:jc w:val="center"/>
        <w:rPr>
          <w:rFonts w:hint="eastAsia" w:ascii="宋体" w:hAnsi="宋体" w:eastAsia="宋体" w:cs="宋体"/>
          <w:b/>
          <w:bCs/>
          <w:color w:val="auto"/>
          <w:sz w:val="28"/>
          <w:szCs w:val="28"/>
          <w:highlight w:val="none"/>
        </w:rPr>
      </w:pPr>
    </w:p>
    <w:p w14:paraId="5E9002FF">
      <w:pPr>
        <w:jc w:val="center"/>
        <w:rPr>
          <w:rFonts w:hint="eastAsia" w:ascii="宋体" w:hAnsi="宋体" w:eastAsia="宋体" w:cs="宋体"/>
          <w:b/>
          <w:bCs/>
          <w:color w:val="auto"/>
          <w:sz w:val="28"/>
          <w:szCs w:val="28"/>
          <w:highlight w:val="none"/>
        </w:rPr>
      </w:pPr>
    </w:p>
    <w:p w14:paraId="5443CE27">
      <w:pPr>
        <w:jc w:val="center"/>
        <w:rPr>
          <w:rFonts w:hint="eastAsia" w:ascii="宋体" w:hAnsi="宋体" w:eastAsia="宋体" w:cs="宋体"/>
          <w:b/>
          <w:bCs/>
          <w:color w:val="auto"/>
          <w:sz w:val="28"/>
          <w:szCs w:val="28"/>
          <w:highlight w:val="none"/>
        </w:rPr>
      </w:pPr>
    </w:p>
    <w:p w14:paraId="57A6ABA6">
      <w:pPr>
        <w:jc w:val="center"/>
        <w:rPr>
          <w:rFonts w:hint="eastAsia" w:ascii="宋体" w:hAnsi="宋体" w:eastAsia="宋体" w:cs="宋体"/>
          <w:b/>
          <w:bCs/>
          <w:color w:val="auto"/>
          <w:sz w:val="28"/>
          <w:szCs w:val="28"/>
          <w:highlight w:val="none"/>
        </w:rPr>
      </w:pPr>
    </w:p>
    <w:p w14:paraId="41257297">
      <w:pPr>
        <w:jc w:val="center"/>
        <w:rPr>
          <w:rFonts w:hint="eastAsia" w:ascii="宋体" w:hAnsi="宋体" w:eastAsia="宋体" w:cs="宋体"/>
          <w:b/>
          <w:bCs/>
          <w:color w:val="auto"/>
          <w:sz w:val="28"/>
          <w:szCs w:val="28"/>
          <w:highlight w:val="none"/>
        </w:rPr>
      </w:pPr>
    </w:p>
    <w:p w14:paraId="22AD1574">
      <w:pPr>
        <w:jc w:val="center"/>
        <w:rPr>
          <w:rFonts w:hint="eastAsia" w:ascii="宋体" w:hAnsi="宋体" w:eastAsia="宋体" w:cs="宋体"/>
          <w:b/>
          <w:bCs/>
          <w:color w:val="auto"/>
          <w:sz w:val="28"/>
          <w:szCs w:val="28"/>
          <w:highlight w:val="none"/>
        </w:rPr>
      </w:pPr>
    </w:p>
    <w:p w14:paraId="54964737">
      <w:pPr>
        <w:jc w:val="center"/>
        <w:rPr>
          <w:rFonts w:hint="eastAsia" w:ascii="宋体" w:hAnsi="宋体" w:eastAsia="宋体" w:cs="宋体"/>
          <w:b/>
          <w:bCs/>
          <w:color w:val="auto"/>
          <w:sz w:val="28"/>
          <w:szCs w:val="28"/>
          <w:highlight w:val="none"/>
        </w:rPr>
      </w:pPr>
    </w:p>
    <w:p w14:paraId="6B9E4E6B">
      <w:pPr>
        <w:jc w:val="center"/>
        <w:rPr>
          <w:rFonts w:hint="eastAsia" w:ascii="宋体" w:hAnsi="宋体" w:eastAsia="宋体" w:cs="宋体"/>
          <w:b/>
          <w:bCs/>
          <w:color w:val="auto"/>
          <w:sz w:val="28"/>
          <w:szCs w:val="28"/>
          <w:highlight w:val="none"/>
        </w:rPr>
      </w:pPr>
    </w:p>
    <w:p w14:paraId="2FB0BF2A">
      <w:pPr>
        <w:jc w:val="center"/>
        <w:rPr>
          <w:rFonts w:hint="eastAsia" w:ascii="宋体" w:hAnsi="宋体" w:eastAsia="宋体" w:cs="宋体"/>
          <w:b/>
          <w:bCs/>
          <w:color w:val="auto"/>
          <w:sz w:val="28"/>
          <w:szCs w:val="28"/>
          <w:highlight w:val="none"/>
        </w:rPr>
      </w:pPr>
    </w:p>
    <w:p w14:paraId="2908FF31">
      <w:pPr>
        <w:jc w:val="center"/>
        <w:rPr>
          <w:rFonts w:hint="eastAsia" w:ascii="宋体" w:hAnsi="宋体" w:eastAsia="宋体" w:cs="宋体"/>
          <w:b/>
          <w:bCs/>
          <w:color w:val="auto"/>
          <w:sz w:val="28"/>
          <w:szCs w:val="28"/>
          <w:highlight w:val="none"/>
        </w:rPr>
      </w:pPr>
    </w:p>
    <w:p w14:paraId="19883A24">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投 标 函</w:t>
      </w:r>
    </w:p>
    <w:p w14:paraId="561AA3C7">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jc w:val="left"/>
        <w:textAlignment w:val="auto"/>
        <w:outlineLvl w:val="9"/>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                                 </w:t>
      </w:r>
    </w:p>
    <w:p w14:paraId="0BB8801E">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招标</w:t>
      </w:r>
      <w:r>
        <w:rPr>
          <w:rFonts w:hint="eastAsia" w:ascii="宋体" w:hAnsi="宋体" w:eastAsia="宋体" w:cs="宋体"/>
          <w:color w:val="auto"/>
          <w:szCs w:val="21"/>
          <w:highlight w:val="none"/>
          <w:u w:val="single"/>
        </w:rPr>
        <w:t xml:space="preserve">人)       </w:t>
      </w:r>
      <w:r>
        <w:rPr>
          <w:rFonts w:hint="eastAsia" w:ascii="宋体" w:hAnsi="宋体" w:eastAsia="宋体" w:cs="宋体"/>
          <w:color w:val="auto"/>
          <w:szCs w:val="21"/>
          <w:highlight w:val="none"/>
        </w:rPr>
        <w:t xml:space="preserve"> </w:t>
      </w:r>
    </w:p>
    <w:p w14:paraId="0D5B4C2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1.我们决定参加贵单位组织的“</w:t>
      </w:r>
      <w:r>
        <w:rPr>
          <w:rFonts w:hint="eastAsia" w:ascii="宋体" w:hAnsi="宋体" w:eastAsia="宋体" w:cs="宋体"/>
          <w:color w:val="auto"/>
          <w:szCs w:val="21"/>
          <w:highlight w:val="none"/>
          <w:u w:val="single"/>
        </w:rPr>
        <w:t xml:space="preserve"> （项目名称</w:t>
      </w:r>
      <w:r>
        <w:rPr>
          <w:rFonts w:hint="eastAsia" w:ascii="宋体" w:hAnsi="宋体" w:cs="宋体"/>
          <w:color w:val="auto"/>
          <w:szCs w:val="21"/>
          <w:highlight w:val="none"/>
          <w:u w:val="single"/>
          <w:lang w:eastAsia="zh-CN"/>
        </w:rPr>
        <w:t>、</w:t>
      </w:r>
      <w:r>
        <w:rPr>
          <w:rFonts w:hint="eastAsia" w:ascii="宋体" w:hAnsi="宋体" w:cs="宋体"/>
          <w:color w:val="auto"/>
          <w:szCs w:val="21"/>
          <w:highlight w:val="none"/>
          <w:u w:val="single"/>
          <w:lang w:val="en-US" w:eastAsia="zh-CN"/>
        </w:rPr>
        <w:t>项目编号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”的</w:t>
      </w:r>
      <w:r>
        <w:rPr>
          <w:rFonts w:hint="eastAsia" w:ascii="宋体" w:hAnsi="宋体" w:eastAsia="宋体" w:cs="宋体"/>
          <w:color w:val="auto"/>
          <w:szCs w:val="21"/>
          <w:highlight w:val="none"/>
          <w:lang w:val="en-US" w:eastAsia="zh-CN"/>
        </w:rPr>
        <w:t>招标</w:t>
      </w:r>
      <w:r>
        <w:rPr>
          <w:rFonts w:hint="eastAsia" w:ascii="宋体" w:hAnsi="宋体" w:eastAsia="宋体" w:cs="宋体"/>
          <w:color w:val="auto"/>
          <w:szCs w:val="21"/>
          <w:highlight w:val="none"/>
        </w:rPr>
        <w:t xml:space="preserve">。我方授权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(姓名和职务)代表我方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（投标人的名称）全权处理本项目投标的有关事宜。</w:t>
      </w:r>
    </w:p>
    <w:p w14:paraId="2D1AB64B">
      <w:pPr>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2.我方愿意按照招标文件规定的各项要求，向</w:t>
      </w:r>
      <w:r>
        <w:rPr>
          <w:rFonts w:hint="eastAsia" w:ascii="宋体" w:hAnsi="宋体" w:eastAsia="宋体" w:cs="宋体"/>
          <w:color w:val="auto"/>
          <w:szCs w:val="21"/>
          <w:highlight w:val="none"/>
          <w:lang w:val="en-US" w:eastAsia="zh-CN"/>
        </w:rPr>
        <w:t>招标</w:t>
      </w:r>
      <w:r>
        <w:rPr>
          <w:rFonts w:hint="eastAsia" w:ascii="宋体" w:hAnsi="宋体" w:eastAsia="宋体" w:cs="宋体"/>
          <w:color w:val="auto"/>
          <w:szCs w:val="21"/>
          <w:highlight w:val="none"/>
        </w:rPr>
        <w:t>人提供</w:t>
      </w:r>
      <w:r>
        <w:rPr>
          <w:rFonts w:hint="eastAsia" w:ascii="宋体" w:hAnsi="宋体" w:eastAsia="宋体" w:cs="宋体"/>
          <w:color w:val="auto"/>
          <w:szCs w:val="21"/>
          <w:highlight w:val="none"/>
          <w:lang w:val="en-US" w:eastAsia="zh-CN"/>
        </w:rPr>
        <w:t>本</w:t>
      </w:r>
      <w:r>
        <w:rPr>
          <w:rFonts w:hint="eastAsia" w:ascii="宋体" w:hAnsi="宋体" w:eastAsia="宋体" w:cs="宋体"/>
          <w:color w:val="auto"/>
          <w:szCs w:val="21"/>
          <w:highlight w:val="none"/>
        </w:rPr>
        <w:t>项目的服务，我方报价为基本费率</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审核成果费率</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%。项目负责人为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，服务期：</w:t>
      </w:r>
      <w:r>
        <w:rPr>
          <w:rFonts w:hint="eastAsia" w:ascii="宋体" w:hAnsi="宋体" w:eastAsia="宋体" w:cs="宋体"/>
          <w:color w:val="auto"/>
          <w:sz w:val="21"/>
          <w:szCs w:val="21"/>
          <w:highlight w:val="none"/>
          <w:lang w:val="en-US" w:eastAsia="zh-CN"/>
        </w:rPr>
        <w:t>满足关于印发《工程造价咨询服务管理办法》的通知（滁重〔2022〕55号）规定</w:t>
      </w:r>
      <w:r>
        <w:rPr>
          <w:rFonts w:hint="eastAsia" w:ascii="宋体" w:hAnsi="宋体" w:cs="宋体"/>
          <w:color w:val="auto"/>
          <w:sz w:val="21"/>
          <w:szCs w:val="21"/>
          <w:highlight w:val="none"/>
          <w:lang w:val="en-US" w:eastAsia="zh-CN"/>
        </w:rPr>
        <w:t>的</w:t>
      </w:r>
      <w:r>
        <w:rPr>
          <w:rFonts w:hint="eastAsia" w:ascii="宋体" w:hAnsi="宋体" w:eastAsia="宋体" w:cs="宋体"/>
          <w:color w:val="auto"/>
          <w:sz w:val="21"/>
          <w:szCs w:val="21"/>
          <w:highlight w:val="none"/>
          <w:lang w:val="en-US" w:eastAsia="zh-CN"/>
        </w:rPr>
        <w:t>要求。</w:t>
      </w:r>
    </w:p>
    <w:p w14:paraId="03D443C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3.本项目投标有效期为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60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日历天（从投标截止之日算起）。</w:t>
      </w:r>
    </w:p>
    <w:p w14:paraId="73D569E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4.一旦我方成为合同签字人，我方将严格履行合同规定的责任和义务。</w:t>
      </w:r>
    </w:p>
    <w:p w14:paraId="36FF693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.若我方中标，愿意为本项目提交的纸质投标文件一式</w:t>
      </w:r>
      <w:r>
        <w:rPr>
          <w:rFonts w:hint="eastAsia" w:ascii="宋体" w:hAnsi="宋体" w:cs="宋体"/>
          <w:color w:val="auto"/>
          <w:szCs w:val="21"/>
          <w:highlight w:val="none"/>
          <w:lang w:val="en-US" w:eastAsia="zh-CN"/>
        </w:rPr>
        <w:t>三</w:t>
      </w:r>
      <w:r>
        <w:rPr>
          <w:rFonts w:hint="eastAsia" w:ascii="宋体" w:hAnsi="宋体" w:eastAsia="宋体" w:cs="宋体"/>
          <w:color w:val="auto"/>
          <w:szCs w:val="21"/>
          <w:highlight w:val="none"/>
        </w:rPr>
        <w:t>份，其中正本一份、副本</w:t>
      </w:r>
      <w:r>
        <w:rPr>
          <w:rFonts w:hint="eastAsia" w:ascii="宋体" w:hAnsi="宋体" w:cs="宋体"/>
          <w:color w:val="auto"/>
          <w:szCs w:val="21"/>
          <w:highlight w:val="none"/>
          <w:lang w:val="en-US" w:eastAsia="zh-CN"/>
        </w:rPr>
        <w:t>二</w:t>
      </w:r>
      <w:r>
        <w:rPr>
          <w:rFonts w:hint="eastAsia" w:ascii="宋体" w:hAnsi="宋体" w:eastAsia="宋体" w:cs="宋体"/>
          <w:color w:val="auto"/>
          <w:szCs w:val="21"/>
          <w:highlight w:val="none"/>
        </w:rPr>
        <w:t>份。</w:t>
      </w:r>
    </w:p>
    <w:p w14:paraId="4C35FCB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.我方愿意提供可能另外要求的、与采购投标有关的文件资料，并保证我方已提供和将要提供的文件是真实的、准确的。</w:t>
      </w:r>
    </w:p>
    <w:p w14:paraId="43EBE829">
      <w:pPr>
        <w:spacing w:line="360" w:lineRule="auto"/>
        <w:ind w:firstLine="420" w:firstLineChars="200"/>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7</w:t>
      </w:r>
      <w:r>
        <w:rPr>
          <w:rFonts w:hint="eastAsia" w:ascii="宋体" w:hAnsi="宋体" w:eastAsia="宋体" w:cs="宋体"/>
          <w:color w:val="auto"/>
          <w:szCs w:val="21"/>
          <w:highlight w:val="none"/>
        </w:rPr>
        <w:t>.我单位提供如下通讯地址：</w:t>
      </w:r>
      <w:r>
        <w:rPr>
          <w:rFonts w:hint="eastAsia" w:ascii="宋体" w:hAnsi="宋体" w:eastAsia="宋体" w:cs="宋体"/>
          <w:color w:val="auto"/>
          <w:szCs w:val="21"/>
          <w:highlight w:val="none"/>
          <w:u w:val="single"/>
        </w:rPr>
        <w:t xml:space="preserve">                电子邮箱（地址）</w:t>
      </w:r>
      <w:r>
        <w:rPr>
          <w:rFonts w:hint="eastAsia" w:ascii="宋体" w:hAnsi="宋体" w:eastAsia="宋体" w:cs="宋体"/>
          <w:color w:val="auto"/>
          <w:szCs w:val="21"/>
          <w:highlight w:val="none"/>
        </w:rPr>
        <w:t>，确认本项目相关法律文书均通过提供的以上地址送达，相关文书只要发送至以上电子邮箱（地址）即视为送达，投标人愿意承担一切法律后果。</w:t>
      </w:r>
    </w:p>
    <w:p w14:paraId="02E68186">
      <w:pPr>
        <w:pStyle w:val="44"/>
        <w:spacing w:line="360" w:lineRule="auto"/>
        <w:rPr>
          <w:rFonts w:hint="eastAsia" w:ascii="宋体" w:hAnsi="宋体" w:eastAsia="宋体" w:cs="宋体"/>
          <w:color w:val="auto"/>
          <w:szCs w:val="21"/>
          <w:highlight w:val="none"/>
        </w:rPr>
      </w:pPr>
    </w:p>
    <w:p w14:paraId="52ECA389">
      <w:pPr>
        <w:keepNext w:val="0"/>
        <w:keepLines w:val="0"/>
        <w:pageBreakBefore w:val="0"/>
        <w:widowControl w:val="0"/>
        <w:kinsoku/>
        <w:wordWrap/>
        <w:overflowPunct/>
        <w:topLinePunct w:val="0"/>
        <w:autoSpaceDE/>
        <w:autoSpaceDN/>
        <w:bidi w:val="0"/>
        <w:adjustRightInd/>
        <w:snapToGrid/>
        <w:spacing w:line="360" w:lineRule="auto"/>
        <w:ind w:firstLine="1995" w:firstLineChars="950"/>
        <w:textAlignment w:val="auto"/>
        <w:rPr>
          <w:rFonts w:hint="eastAsia" w:ascii="宋体" w:hAnsi="宋体" w:eastAsia="宋体" w:cs="宋体"/>
          <w:color w:val="auto"/>
          <w:szCs w:val="21"/>
          <w:highlight w:val="none"/>
        </w:rPr>
      </w:pPr>
    </w:p>
    <w:p w14:paraId="45B1C6C3">
      <w:pPr>
        <w:keepNext w:val="0"/>
        <w:keepLines w:val="0"/>
        <w:pageBreakBefore w:val="0"/>
        <w:widowControl w:val="0"/>
        <w:kinsoku/>
        <w:wordWrap/>
        <w:overflowPunct/>
        <w:topLinePunct w:val="0"/>
        <w:autoSpaceDE/>
        <w:autoSpaceDN/>
        <w:bidi w:val="0"/>
        <w:adjustRightInd/>
        <w:snapToGrid/>
        <w:spacing w:line="360" w:lineRule="auto"/>
        <w:ind w:firstLine="1995" w:firstLineChars="950"/>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投标人：</w:t>
      </w:r>
      <w:r>
        <w:rPr>
          <w:rFonts w:hint="eastAsia" w:ascii="宋体" w:hAnsi="宋体" w:eastAsia="宋体" w:cs="宋体"/>
          <w:color w:val="auto"/>
          <w:szCs w:val="21"/>
          <w:highlight w:val="none"/>
          <w:u w:val="single"/>
        </w:rPr>
        <w:t xml:space="preserve">                   （签章） </w:t>
      </w:r>
    </w:p>
    <w:p w14:paraId="1F08F4FE">
      <w:pPr>
        <w:keepNext w:val="0"/>
        <w:keepLines w:val="0"/>
        <w:pageBreakBefore w:val="0"/>
        <w:widowControl w:val="0"/>
        <w:kinsoku/>
        <w:wordWrap/>
        <w:overflowPunct/>
        <w:topLinePunct w:val="0"/>
        <w:autoSpaceDE/>
        <w:autoSpaceDN/>
        <w:bidi w:val="0"/>
        <w:adjustRightInd/>
        <w:snapToGrid/>
        <w:spacing w:line="360" w:lineRule="auto"/>
        <w:ind w:left="1995" w:leftChars="95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法定代表人或其委托代理人：</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签字或盖章</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 xml:space="preserve">         </w:t>
      </w:r>
    </w:p>
    <w:p w14:paraId="2267CA40">
      <w:pPr>
        <w:keepNext w:val="0"/>
        <w:keepLines w:val="0"/>
        <w:pageBreakBefore w:val="0"/>
        <w:widowControl w:val="0"/>
        <w:kinsoku/>
        <w:wordWrap/>
        <w:overflowPunct/>
        <w:topLinePunct w:val="0"/>
        <w:autoSpaceDE/>
        <w:autoSpaceDN/>
        <w:bidi w:val="0"/>
        <w:adjustRightInd/>
        <w:snapToGrid/>
        <w:spacing w:line="360" w:lineRule="auto"/>
        <w:ind w:left="1995" w:leftChars="950"/>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单位地址：</w:t>
      </w:r>
      <w:r>
        <w:rPr>
          <w:rFonts w:hint="eastAsia" w:ascii="宋体" w:hAnsi="宋体" w:eastAsia="宋体" w:cs="宋体"/>
          <w:color w:val="auto"/>
          <w:szCs w:val="21"/>
          <w:highlight w:val="none"/>
          <w:u w:val="single"/>
        </w:rPr>
        <w:t xml:space="preserve">                   </w:t>
      </w:r>
    </w:p>
    <w:p w14:paraId="04B0F2ED">
      <w:pPr>
        <w:keepNext w:val="0"/>
        <w:keepLines w:val="0"/>
        <w:pageBreakBefore w:val="0"/>
        <w:widowControl w:val="0"/>
        <w:kinsoku/>
        <w:wordWrap/>
        <w:overflowPunct/>
        <w:topLinePunct w:val="0"/>
        <w:autoSpaceDE/>
        <w:autoSpaceDN/>
        <w:bidi w:val="0"/>
        <w:adjustRightInd/>
        <w:snapToGrid/>
        <w:spacing w:line="360" w:lineRule="auto"/>
        <w:ind w:left="1995" w:leftChars="950"/>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lang w:val="en-US" w:eastAsia="zh-CN"/>
        </w:rPr>
        <w:t>联系电话：</w:t>
      </w:r>
      <w:r>
        <w:rPr>
          <w:rFonts w:hint="eastAsia" w:ascii="宋体" w:hAnsi="宋体" w:eastAsia="宋体" w:cs="宋体"/>
          <w:color w:val="auto"/>
          <w:szCs w:val="21"/>
          <w:highlight w:val="none"/>
          <w:u w:val="none"/>
        </w:rPr>
        <w:t xml:space="preserve">   </w:t>
      </w:r>
      <w:r>
        <w:rPr>
          <w:rFonts w:hint="eastAsia" w:ascii="宋体" w:hAnsi="宋体" w:eastAsia="宋体" w:cs="宋体"/>
          <w:color w:val="auto"/>
          <w:szCs w:val="21"/>
          <w:highlight w:val="none"/>
          <w:u w:val="single"/>
        </w:rPr>
        <w:t xml:space="preserve">                </w:t>
      </w:r>
    </w:p>
    <w:p w14:paraId="23F4B22F">
      <w:pPr>
        <w:keepNext w:val="0"/>
        <w:keepLines w:val="0"/>
        <w:pageBreakBefore w:val="0"/>
        <w:widowControl w:val="0"/>
        <w:kinsoku/>
        <w:wordWrap/>
        <w:overflowPunct/>
        <w:topLinePunct w:val="0"/>
        <w:autoSpaceDE/>
        <w:autoSpaceDN/>
        <w:bidi w:val="0"/>
        <w:adjustRightInd/>
        <w:snapToGrid/>
        <w:spacing w:line="360" w:lineRule="auto"/>
        <w:ind w:left="1995" w:leftChars="95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44CE9E6A">
      <w:pPr>
        <w:spacing w:line="360" w:lineRule="auto"/>
        <w:rPr>
          <w:rFonts w:hint="eastAsia" w:ascii="宋体" w:hAnsi="宋体" w:cs="宋体"/>
          <w:b/>
          <w:color w:val="auto"/>
          <w:sz w:val="28"/>
          <w:szCs w:val="28"/>
          <w:highlight w:val="none"/>
          <w:lang w:val="en-US" w:eastAsia="zh-CN"/>
        </w:rPr>
      </w:pPr>
    </w:p>
    <w:p w14:paraId="35B540EB">
      <w:pPr>
        <w:spacing w:line="360" w:lineRule="auto"/>
        <w:rPr>
          <w:rFonts w:hint="eastAsia" w:ascii="宋体" w:hAnsi="宋体" w:cs="宋体"/>
          <w:b/>
          <w:color w:val="auto"/>
          <w:sz w:val="28"/>
          <w:szCs w:val="28"/>
          <w:highlight w:val="none"/>
          <w:lang w:val="en-US" w:eastAsia="zh-CN"/>
        </w:rPr>
      </w:pPr>
    </w:p>
    <w:p w14:paraId="265D13AF">
      <w:pPr>
        <w:spacing w:line="360" w:lineRule="auto"/>
        <w:jc w:val="center"/>
        <w:rPr>
          <w:rFonts w:hint="eastAsia" w:ascii="宋体" w:hAnsi="宋体" w:eastAsia="宋体" w:cs="宋体"/>
          <w:b/>
          <w:bCs/>
          <w:color w:val="auto"/>
          <w:kern w:val="0"/>
          <w:sz w:val="30"/>
          <w:szCs w:val="30"/>
          <w:highlight w:val="none"/>
        </w:rPr>
      </w:pPr>
      <w:r>
        <w:rPr>
          <w:rFonts w:hint="eastAsia" w:ascii="宋体" w:hAnsi="宋体" w:cs="宋体"/>
          <w:b/>
          <w:color w:val="auto"/>
          <w:sz w:val="28"/>
          <w:szCs w:val="28"/>
          <w:highlight w:val="none"/>
          <w:lang w:val="en-US" w:eastAsia="zh-CN"/>
        </w:rPr>
        <w:t>系统填报的投标费率与本投标函不一致时，以本投标函为准</w:t>
      </w:r>
    </w:p>
    <w:p w14:paraId="3718D3FE">
      <w:pPr>
        <w:pStyle w:val="2"/>
        <w:spacing w:before="0" w:after="0"/>
        <w:rPr>
          <w:rFonts w:hint="eastAsia" w:ascii="宋体" w:hAnsi="宋体" w:eastAsia="宋体" w:cs="宋体"/>
          <w:color w:val="auto"/>
          <w:highlight w:val="none"/>
          <w:lang w:val="en-US" w:eastAsia="zh-CN"/>
        </w:rPr>
      </w:pPr>
      <w:bookmarkStart w:id="67" w:name="_Toc31498"/>
      <w:r>
        <w:rPr>
          <w:rFonts w:hint="eastAsia" w:ascii="宋体" w:hAnsi="宋体" w:eastAsia="宋体" w:cs="宋体"/>
          <w:color w:val="auto"/>
          <w:highlight w:val="none"/>
          <w:lang w:val="en-US" w:eastAsia="zh-CN"/>
        </w:rPr>
        <w:t>第五章 招标单位、招标代理机构对本招标文件的确认</w:t>
      </w:r>
      <w:bookmarkEnd w:id="67"/>
    </w:p>
    <w:tbl>
      <w:tblPr>
        <w:tblStyle w:val="45"/>
        <w:tblW w:w="9689"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9"/>
      </w:tblGrid>
      <w:tr w14:paraId="45B99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1" w:hRule="atLeast"/>
        </w:trPr>
        <w:tc>
          <w:tcPr>
            <w:tcW w:w="9689" w:type="dxa"/>
          </w:tcPr>
          <w:p w14:paraId="326BAA51">
            <w:pPr>
              <w:spacing w:line="320" w:lineRule="atLeast"/>
              <w:ind w:firstLine="560" w:firstLineChars="200"/>
              <w:rPr>
                <w:rFonts w:hint="eastAsia" w:ascii="宋体" w:hAnsi="宋体" w:eastAsia="宋体" w:cs="宋体"/>
                <w:color w:val="auto"/>
                <w:sz w:val="28"/>
                <w:szCs w:val="28"/>
                <w:highlight w:val="none"/>
              </w:rPr>
            </w:pPr>
          </w:p>
          <w:p w14:paraId="70D47DF8">
            <w:pPr>
              <w:spacing w:line="320" w:lineRule="atLeas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我单位对</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2026年公园游园设施安全整治项目跟踪审计项目</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的招标文件进行确认。</w:t>
            </w:r>
          </w:p>
          <w:p w14:paraId="41C4BDEF">
            <w:pPr>
              <w:widowControl/>
              <w:spacing w:line="360" w:lineRule="auto"/>
              <w:ind w:firstLine="600"/>
              <w:jc w:val="left"/>
              <w:rPr>
                <w:rFonts w:hint="eastAsia" w:ascii="宋体" w:hAnsi="宋体" w:eastAsia="宋体" w:cs="宋体"/>
                <w:color w:val="auto"/>
                <w:sz w:val="28"/>
                <w:szCs w:val="28"/>
                <w:highlight w:val="none"/>
              </w:rPr>
            </w:pPr>
          </w:p>
          <w:p w14:paraId="50BDAFF0">
            <w:pPr>
              <w:widowControl/>
              <w:spacing w:line="360" w:lineRule="auto"/>
              <w:ind w:firstLine="6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招标单位：滁州市园林景观管理中心 </w:t>
            </w:r>
          </w:p>
          <w:p w14:paraId="42083025">
            <w:pPr>
              <w:widowControl/>
              <w:spacing w:line="360" w:lineRule="auto"/>
              <w:ind w:firstLine="6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经 办 人：</w:t>
            </w:r>
            <w:r>
              <w:rPr>
                <w:rFonts w:hint="eastAsia" w:ascii="宋体" w:hAnsi="宋体" w:cs="宋体"/>
                <w:color w:val="auto"/>
                <w:sz w:val="28"/>
                <w:szCs w:val="28"/>
                <w:highlight w:val="none"/>
                <w:lang w:val="en-US" w:eastAsia="zh-CN"/>
              </w:rPr>
              <w:t>曾建博</w:t>
            </w:r>
            <w:r>
              <w:rPr>
                <w:rFonts w:hint="eastAsia" w:ascii="宋体" w:hAnsi="宋体" w:eastAsia="宋体" w:cs="宋体"/>
                <w:color w:val="auto"/>
                <w:sz w:val="28"/>
                <w:szCs w:val="28"/>
                <w:highlight w:val="none"/>
              </w:rPr>
              <w:t xml:space="preserve"> </w:t>
            </w:r>
          </w:p>
          <w:p w14:paraId="3E7F1E22">
            <w:pPr>
              <w:spacing w:line="500" w:lineRule="exact"/>
              <w:ind w:firstLine="560" w:firstLineChars="200"/>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联系电话：</w:t>
            </w:r>
            <w:r>
              <w:rPr>
                <w:rFonts w:hint="eastAsia" w:ascii="宋体" w:hAnsi="宋体" w:cs="宋体"/>
                <w:color w:val="auto"/>
                <w:sz w:val="28"/>
                <w:szCs w:val="28"/>
                <w:highlight w:val="none"/>
                <w:lang w:val="en-US" w:eastAsia="zh-CN"/>
              </w:rPr>
              <w:t>0550-3010861</w:t>
            </w:r>
            <w:r>
              <w:rPr>
                <w:rFonts w:hint="eastAsia" w:ascii="宋体" w:hAnsi="宋体" w:eastAsia="宋体" w:cs="宋体"/>
                <w:color w:val="auto"/>
                <w:sz w:val="28"/>
                <w:szCs w:val="28"/>
                <w:highlight w:val="none"/>
                <w:lang w:val="en-US" w:eastAsia="zh-CN"/>
              </w:rPr>
              <w:t xml:space="preserve">  </w:t>
            </w:r>
          </w:p>
          <w:p w14:paraId="1E3913DA">
            <w:pPr>
              <w:spacing w:line="500" w:lineRule="exact"/>
              <w:ind w:firstLine="280" w:firstLineChars="1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（单位盖章）</w:t>
            </w:r>
          </w:p>
          <w:p w14:paraId="33C2043A">
            <w:pPr>
              <w:ind w:firstLine="5320" w:firstLineChars="19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lang w:eastAsia="zh-CN"/>
              </w:rPr>
              <w:t>2026年9月</w:t>
            </w:r>
          </w:p>
        </w:tc>
      </w:tr>
      <w:tr w14:paraId="60B46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1" w:hRule="atLeast"/>
        </w:trPr>
        <w:tc>
          <w:tcPr>
            <w:tcW w:w="9689" w:type="dxa"/>
          </w:tcPr>
          <w:p w14:paraId="2D346054">
            <w:pPr>
              <w:spacing w:line="320" w:lineRule="atLeast"/>
              <w:ind w:firstLine="560" w:firstLineChars="200"/>
              <w:rPr>
                <w:rFonts w:hint="eastAsia" w:ascii="宋体" w:hAnsi="宋体" w:eastAsia="宋体" w:cs="宋体"/>
                <w:color w:val="auto"/>
                <w:sz w:val="28"/>
                <w:szCs w:val="28"/>
                <w:highlight w:val="none"/>
              </w:rPr>
            </w:pPr>
          </w:p>
          <w:p w14:paraId="429FA252">
            <w:pPr>
              <w:spacing w:line="320" w:lineRule="atLeas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招标代理机构：滁州市城投工程咨询管理有限公司</w:t>
            </w:r>
          </w:p>
          <w:p w14:paraId="396B5BE0">
            <w:pPr>
              <w:spacing w:line="320" w:lineRule="atLeas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联系人：</w:t>
            </w:r>
            <w:r>
              <w:rPr>
                <w:rFonts w:hint="eastAsia" w:ascii="宋体" w:hAnsi="宋体" w:cs="宋体"/>
                <w:color w:val="auto"/>
                <w:sz w:val="28"/>
                <w:szCs w:val="28"/>
                <w:highlight w:val="none"/>
                <w:lang w:val="en-US" w:eastAsia="zh-CN"/>
              </w:rPr>
              <w:t>曹思敏</w:t>
            </w:r>
          </w:p>
          <w:p w14:paraId="3E3D785F">
            <w:pPr>
              <w:spacing w:line="320" w:lineRule="atLeast"/>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联系电话：</w:t>
            </w:r>
            <w:r>
              <w:rPr>
                <w:rFonts w:hint="eastAsia" w:ascii="宋体" w:hAnsi="宋体" w:cs="宋体"/>
                <w:color w:val="auto"/>
                <w:sz w:val="28"/>
                <w:szCs w:val="28"/>
                <w:highlight w:val="none"/>
                <w:lang w:eastAsia="zh-CN"/>
              </w:rPr>
              <w:t xml:space="preserve">18712012204 </w:t>
            </w:r>
          </w:p>
          <w:p w14:paraId="497AA04E">
            <w:pPr>
              <w:rPr>
                <w:rFonts w:hint="eastAsia" w:ascii="宋体" w:hAnsi="宋体" w:eastAsia="宋体" w:cs="宋体"/>
                <w:color w:val="auto"/>
                <w:sz w:val="28"/>
                <w:szCs w:val="28"/>
                <w:highlight w:val="none"/>
              </w:rPr>
            </w:pPr>
          </w:p>
          <w:p w14:paraId="00473FA3">
            <w:pPr>
              <w:ind w:firstLine="5040" w:firstLineChars="18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p>
          <w:p w14:paraId="60AF574C">
            <w:pPr>
              <w:ind w:firstLine="6440" w:firstLineChars="23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（单位盖章）</w:t>
            </w:r>
          </w:p>
          <w:p w14:paraId="5AE54977">
            <w:pPr>
              <w:ind w:firstLine="5180" w:firstLineChars="185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lang w:eastAsia="zh-CN"/>
              </w:rPr>
              <w:t>2026年9月</w:t>
            </w:r>
          </w:p>
        </w:tc>
      </w:tr>
    </w:tbl>
    <w:p w14:paraId="22D2196B">
      <w:pPr>
        <w:pStyle w:val="17"/>
        <w:jc w:val="left"/>
        <w:rPr>
          <w:rFonts w:hint="eastAsia" w:ascii="宋体" w:hAnsi="宋体" w:eastAsia="宋体" w:cs="宋体"/>
          <w:color w:val="auto"/>
          <w:kern w:val="0"/>
          <w:sz w:val="24"/>
          <w:szCs w:val="24"/>
          <w:highlight w:val="none"/>
        </w:rPr>
      </w:pPr>
    </w:p>
    <w:p w14:paraId="63AE5489">
      <w:pPr>
        <w:pStyle w:val="17"/>
        <w:jc w:val="left"/>
        <w:rPr>
          <w:rFonts w:hint="eastAsia" w:ascii="宋体" w:hAnsi="宋体" w:eastAsia="宋体" w:cs="宋体"/>
          <w:color w:val="auto"/>
          <w:kern w:val="0"/>
          <w:sz w:val="24"/>
          <w:szCs w:val="24"/>
          <w:highlight w:val="none"/>
        </w:rPr>
      </w:pPr>
    </w:p>
    <w:p w14:paraId="542E3EE9">
      <w:pPr>
        <w:pStyle w:val="17"/>
        <w:jc w:val="left"/>
        <w:rPr>
          <w:rFonts w:hint="eastAsia" w:ascii="宋体" w:hAnsi="宋体" w:eastAsia="宋体" w:cs="宋体"/>
          <w:color w:val="auto"/>
          <w:kern w:val="0"/>
          <w:sz w:val="24"/>
          <w:szCs w:val="24"/>
          <w:highlight w:val="none"/>
        </w:rPr>
      </w:pPr>
    </w:p>
    <w:p w14:paraId="2D9AB935">
      <w:pPr>
        <w:pStyle w:val="17"/>
        <w:jc w:val="left"/>
        <w:rPr>
          <w:rFonts w:hint="eastAsia" w:ascii="宋体" w:hAnsi="宋体" w:eastAsia="宋体" w:cs="宋体"/>
          <w:color w:val="auto"/>
          <w:kern w:val="0"/>
          <w:sz w:val="24"/>
          <w:szCs w:val="24"/>
          <w:highlight w:val="none"/>
        </w:rPr>
      </w:pPr>
    </w:p>
    <w:p w14:paraId="21A15060">
      <w:pPr>
        <w:pStyle w:val="17"/>
        <w:jc w:val="left"/>
        <w:rPr>
          <w:rFonts w:hint="eastAsia" w:ascii="宋体" w:hAnsi="宋体" w:eastAsia="宋体" w:cs="宋体"/>
          <w:color w:val="auto"/>
          <w:kern w:val="0"/>
          <w:sz w:val="24"/>
          <w:szCs w:val="24"/>
          <w:highlight w:val="none"/>
        </w:rPr>
      </w:pPr>
    </w:p>
    <w:p w14:paraId="66B60817">
      <w:pPr>
        <w:pStyle w:val="44"/>
        <w:ind w:left="199" w:leftChars="95" w:firstLine="198" w:firstLineChars="66"/>
        <w:rPr>
          <w:rFonts w:hint="eastAsia" w:hAnsi="宋体"/>
          <w:color w:val="auto"/>
          <w:sz w:val="30"/>
          <w:szCs w:val="30"/>
          <w:highlight w:val="none"/>
        </w:rPr>
      </w:pPr>
    </w:p>
    <w:p w14:paraId="2AFFD4C9">
      <w:pPr>
        <w:pStyle w:val="44"/>
        <w:ind w:left="199" w:leftChars="95" w:firstLine="198" w:firstLineChars="66"/>
        <w:rPr>
          <w:rFonts w:hint="eastAsia" w:hAnsi="宋体"/>
          <w:color w:val="auto"/>
          <w:sz w:val="30"/>
          <w:szCs w:val="30"/>
          <w:highlight w:val="none"/>
        </w:rPr>
      </w:pPr>
      <w:r>
        <w:rPr>
          <w:rFonts w:hint="eastAsia" w:hAnsi="宋体"/>
          <w:color w:val="auto"/>
          <w:sz w:val="30"/>
          <w:szCs w:val="30"/>
          <w:highlight w:val="none"/>
        </w:rPr>
        <w:t>附件：</w:t>
      </w:r>
    </w:p>
    <w:p w14:paraId="5A6B21EF">
      <w:pPr>
        <w:pStyle w:val="44"/>
        <w:ind w:left="199" w:leftChars="95" w:firstLine="198" w:firstLineChars="66"/>
        <w:rPr>
          <w:rFonts w:hint="eastAsia" w:hAnsi="宋体"/>
          <w:color w:val="auto"/>
          <w:sz w:val="30"/>
          <w:szCs w:val="30"/>
          <w:highlight w:val="none"/>
        </w:rPr>
      </w:pPr>
    </w:p>
    <w:p w14:paraId="7786B853">
      <w:pPr>
        <w:rPr>
          <w:rFonts w:hint="eastAsia"/>
          <w:color w:val="auto"/>
          <w:highlight w:val="none"/>
        </w:rPr>
      </w:pPr>
    </w:p>
    <w:p w14:paraId="2A14C26E">
      <w:pPr>
        <w:pStyle w:val="44"/>
        <w:ind w:left="199" w:leftChars="95" w:firstLine="211" w:firstLineChars="66"/>
        <w:rPr>
          <w:rFonts w:hint="default" w:ascii="Times New Roman" w:hAnsi="Times New Roman" w:eastAsia="楷体_GB2312" w:cs="Times New Roman"/>
          <w:color w:val="auto"/>
          <w:sz w:val="32"/>
          <w:szCs w:val="32"/>
          <w:highlight w:val="none"/>
          <w:shd w:val="clear" w:color="auto" w:fill="auto"/>
          <w:lang w:val="en-US" w:eastAsia="zh-CN"/>
        </w:rPr>
      </w:pPr>
      <w:r>
        <w:rPr>
          <w:rFonts w:hint="default" w:ascii="Times New Roman" w:hAnsi="Times New Roman" w:eastAsia="仿宋_GB2312" w:cs="Times New Roman"/>
          <w:color w:val="auto"/>
          <w:sz w:val="32"/>
          <w:szCs w:val="32"/>
          <w:highlight w:val="none"/>
          <w:shd w:val="clear" w:color="auto" w:fill="auto"/>
        </w:rPr>
        <w:t>滁重〔</w:t>
      </w:r>
      <w:r>
        <w:rPr>
          <w:rFonts w:hint="default" w:ascii="Times New Roman" w:hAnsi="Times New Roman" w:eastAsia="仿宋_GB2312" w:cs="Times New Roman"/>
          <w:color w:val="auto"/>
          <w:sz w:val="32"/>
          <w:szCs w:val="32"/>
          <w:highlight w:val="none"/>
          <w:shd w:val="clear" w:color="auto" w:fill="auto"/>
          <w:lang w:eastAsia="zh-CN"/>
        </w:rPr>
        <w:t>20</w:t>
      </w:r>
      <w:r>
        <w:rPr>
          <w:rFonts w:hint="default" w:ascii="Times New Roman" w:hAnsi="Times New Roman" w:eastAsia="仿宋_GB2312" w:cs="Times New Roman"/>
          <w:color w:val="auto"/>
          <w:sz w:val="32"/>
          <w:szCs w:val="32"/>
          <w:highlight w:val="none"/>
          <w:shd w:val="clear" w:color="auto" w:fill="auto"/>
          <w:lang w:val="en-US" w:eastAsia="zh-CN"/>
        </w:rPr>
        <w:t>22</w:t>
      </w:r>
      <w:r>
        <w:rPr>
          <w:rFonts w:hint="default" w:ascii="Times New Roman" w:hAnsi="Times New Roman" w:eastAsia="仿宋_GB2312" w:cs="Times New Roman"/>
          <w:color w:val="auto"/>
          <w:sz w:val="32"/>
          <w:szCs w:val="32"/>
          <w:highlight w:val="none"/>
          <w:shd w:val="clear" w:color="auto" w:fill="auto"/>
        </w:rPr>
        <w:t>〕</w:t>
      </w:r>
      <w:r>
        <w:rPr>
          <w:rFonts w:hint="default" w:ascii="Times New Roman" w:hAnsi="Times New Roman" w:eastAsia="仿宋_GB2312" w:cs="Times New Roman"/>
          <w:color w:val="auto"/>
          <w:sz w:val="32"/>
          <w:szCs w:val="32"/>
          <w:highlight w:val="none"/>
          <w:shd w:val="clear" w:color="auto" w:fill="auto"/>
          <w:lang w:val="en-US" w:eastAsia="zh-CN"/>
        </w:rPr>
        <w:t>55号</w:t>
      </w:r>
    </w:p>
    <w:p w14:paraId="2BE8FE82">
      <w:pPr>
        <w:keepNext w:val="0"/>
        <w:keepLines w:val="0"/>
        <w:pageBreakBefore w:val="0"/>
        <w:widowControl w:val="0"/>
        <w:kinsoku/>
        <w:wordWrap/>
        <w:overflowPunct/>
        <w:topLinePunct w:val="0"/>
        <w:autoSpaceDE/>
        <w:autoSpaceDN/>
        <w:bidi w:val="0"/>
        <w:adjustRightInd/>
        <w:snapToGrid/>
        <w:spacing w:line="720" w:lineRule="exact"/>
        <w:jc w:val="center"/>
        <w:textAlignment w:val="auto"/>
        <w:outlineLvl w:val="9"/>
        <w:rPr>
          <w:rFonts w:hint="default" w:ascii="Times New Roman" w:hAnsi="Times New Roman" w:eastAsia="方正小标宋简体" w:cs="Times New Roman"/>
          <w:b w:val="0"/>
          <w:bCs/>
          <w:color w:val="auto"/>
          <w:spacing w:val="-11"/>
          <w:sz w:val="44"/>
          <w:szCs w:val="44"/>
          <w:highlight w:val="none"/>
        </w:rPr>
      </w:pPr>
      <w:r>
        <w:rPr>
          <w:rFonts w:hint="default" w:ascii="Times New Roman" w:hAnsi="Times New Roman" w:eastAsia="方正小标宋简体" w:cs="Times New Roman"/>
          <w:b w:val="0"/>
          <w:bCs/>
          <w:color w:val="auto"/>
          <w:spacing w:val="-11"/>
          <w:sz w:val="44"/>
          <w:szCs w:val="44"/>
          <w:highlight w:val="none"/>
        </w:rPr>
        <w:t>关于印发《工程造价咨询服务管理办法》的通知</w:t>
      </w:r>
    </w:p>
    <w:p w14:paraId="5291AEDD">
      <w:pPr>
        <w:spacing w:line="600" w:lineRule="exact"/>
        <w:rPr>
          <w:rFonts w:hint="default" w:ascii="Times New Roman" w:hAnsi="Times New Roman" w:eastAsia="宋体" w:cs="Times New Roman"/>
          <w:color w:val="auto"/>
          <w:szCs w:val="32"/>
          <w:highlight w:val="none"/>
        </w:rPr>
      </w:pPr>
    </w:p>
    <w:p w14:paraId="25140BF3">
      <w:pPr>
        <w:keepNext w:val="0"/>
        <w:keepLines w:val="0"/>
        <w:pageBreakBefore w:val="0"/>
        <w:widowControl w:val="0"/>
        <w:kinsoku/>
        <w:wordWrap/>
        <w:overflowPunct/>
        <w:topLinePunct w:val="0"/>
        <w:autoSpaceDE/>
        <w:autoSpaceDN/>
        <w:bidi w:val="0"/>
        <w:adjustRightInd/>
        <w:snapToGrid/>
        <w:spacing w:line="600" w:lineRule="exact"/>
        <w:ind w:left="0" w:leftChars="0"/>
        <w:textAlignment w:val="auto"/>
        <w:outlineLvl w:val="9"/>
        <w:rPr>
          <w:rFonts w:hint="default" w:ascii="Times New Roman" w:hAnsi="Times New Roman" w:eastAsia="仿宋_GB2312" w:cs="Times New Roman"/>
          <w:color w:val="auto"/>
          <w:sz w:val="32"/>
          <w:szCs w:val="32"/>
          <w:highlight w:val="none"/>
        </w:rPr>
      </w:pPr>
      <w:r>
        <w:rPr>
          <w:rFonts w:hint="eastAsia" w:ascii="Times New Roman" w:hAnsi="仿宋_GB2312" w:eastAsia="仿宋_GB2312" w:cs="Times New Roman"/>
          <w:color w:val="auto"/>
          <w:sz w:val="32"/>
          <w:szCs w:val="32"/>
          <w:highlight w:val="none"/>
        </w:rPr>
        <w:t>机关各</w:t>
      </w:r>
      <w:r>
        <w:rPr>
          <w:rFonts w:hint="eastAsia" w:ascii="Times New Roman" w:hAnsi="仿宋_GB2312" w:eastAsia="仿宋_GB2312" w:cs="Times New Roman"/>
          <w:color w:val="auto"/>
          <w:sz w:val="32"/>
          <w:szCs w:val="32"/>
          <w:highlight w:val="none"/>
          <w:lang w:eastAsia="zh-CN"/>
        </w:rPr>
        <w:t>科室</w:t>
      </w:r>
      <w:r>
        <w:rPr>
          <w:rFonts w:hint="eastAsia" w:ascii="Times New Roman" w:hAnsi="仿宋_GB2312" w:eastAsia="仿宋_GB2312" w:cs="Times New Roman"/>
          <w:color w:val="auto"/>
          <w:sz w:val="32"/>
          <w:szCs w:val="32"/>
          <w:highlight w:val="none"/>
        </w:rPr>
        <w:t>、处属各</w:t>
      </w:r>
      <w:r>
        <w:rPr>
          <w:rFonts w:hint="eastAsia" w:ascii="Times New Roman" w:hAnsi="仿宋_GB2312" w:eastAsia="仿宋_GB2312" w:cs="Times New Roman"/>
          <w:color w:val="auto"/>
          <w:sz w:val="32"/>
          <w:szCs w:val="32"/>
          <w:highlight w:val="none"/>
          <w:lang w:val="en-US" w:eastAsia="zh-CN"/>
        </w:rPr>
        <w:t>单位</w:t>
      </w:r>
      <w:r>
        <w:rPr>
          <w:rFonts w:hint="eastAsia"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z w:val="32"/>
          <w:szCs w:val="32"/>
          <w:highlight w:val="none"/>
          <w:lang w:eastAsia="zh-CN"/>
        </w:rPr>
        <w:t>各工程造价咨询企业</w:t>
      </w:r>
      <w:r>
        <w:rPr>
          <w:rFonts w:hint="default" w:ascii="Times New Roman" w:hAnsi="Times New Roman" w:eastAsia="仿宋_GB2312" w:cs="Times New Roman"/>
          <w:color w:val="auto"/>
          <w:sz w:val="32"/>
          <w:szCs w:val="32"/>
          <w:highlight w:val="none"/>
        </w:rPr>
        <w:t>：</w:t>
      </w:r>
    </w:p>
    <w:p w14:paraId="14799CE0">
      <w:pPr>
        <w:keepNext w:val="0"/>
        <w:keepLines w:val="0"/>
        <w:pageBreakBefore w:val="0"/>
        <w:widowControl w:val="0"/>
        <w:kinsoku/>
        <w:overflowPunct/>
        <w:topLinePunct w:val="0"/>
        <w:autoSpaceDE/>
        <w:autoSpaceDN/>
        <w:bidi w:val="0"/>
        <w:adjustRightInd/>
        <w:snapToGrid/>
        <w:spacing w:line="600" w:lineRule="exact"/>
        <w:ind w:firstLine="645"/>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pacing w:val="-4"/>
          <w:kern w:val="0"/>
          <w:sz w:val="32"/>
          <w:szCs w:val="32"/>
          <w:highlight w:val="none"/>
        </w:rPr>
        <w:t>为</w:t>
      </w:r>
      <w:r>
        <w:rPr>
          <w:rFonts w:hint="default" w:ascii="Times New Roman" w:hAnsi="Times New Roman" w:eastAsia="仿宋_GB2312" w:cs="Times New Roman"/>
          <w:color w:val="auto"/>
          <w:sz w:val="32"/>
          <w:szCs w:val="32"/>
          <w:highlight w:val="none"/>
        </w:rPr>
        <w:t>加强</w:t>
      </w:r>
      <w:r>
        <w:rPr>
          <w:rFonts w:hint="default" w:ascii="Times New Roman" w:hAnsi="Times New Roman" w:eastAsia="仿宋_GB2312" w:cs="Times New Roman"/>
          <w:color w:val="auto"/>
          <w:spacing w:val="-4"/>
          <w:kern w:val="0"/>
          <w:sz w:val="32"/>
          <w:szCs w:val="32"/>
          <w:highlight w:val="none"/>
        </w:rPr>
        <w:t>我处工程造价咨询服务管理</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kern w:val="0"/>
          <w:sz w:val="32"/>
          <w:szCs w:val="32"/>
          <w:highlight w:val="none"/>
        </w:rPr>
        <w:t>规范工程</w:t>
      </w:r>
      <w:r>
        <w:rPr>
          <w:rFonts w:hint="default" w:ascii="Times New Roman" w:hAnsi="Times New Roman" w:eastAsia="仿宋_GB2312" w:cs="Times New Roman"/>
          <w:color w:val="auto"/>
          <w:spacing w:val="-4"/>
          <w:kern w:val="0"/>
          <w:sz w:val="32"/>
          <w:szCs w:val="32"/>
          <w:highlight w:val="none"/>
        </w:rPr>
        <w:t>造价咨询企业</w:t>
      </w:r>
      <w:r>
        <w:rPr>
          <w:rFonts w:hint="default" w:ascii="Times New Roman" w:hAnsi="Times New Roman" w:eastAsia="仿宋_GB2312" w:cs="Times New Roman"/>
          <w:color w:val="auto"/>
          <w:kern w:val="0"/>
          <w:sz w:val="32"/>
          <w:szCs w:val="32"/>
          <w:highlight w:val="none"/>
        </w:rPr>
        <w:t>考核工作，</w:t>
      </w:r>
      <w:r>
        <w:rPr>
          <w:rFonts w:hint="default" w:ascii="Times New Roman" w:hAnsi="Times New Roman" w:eastAsia="仿宋_GB2312" w:cs="Times New Roman"/>
          <w:color w:val="auto"/>
          <w:kern w:val="0"/>
          <w:sz w:val="32"/>
          <w:szCs w:val="32"/>
          <w:highlight w:val="none"/>
          <w:lang w:val="en-US" w:eastAsia="zh-CN"/>
        </w:rPr>
        <w:t>2020年10月印发了</w:t>
      </w:r>
      <w:r>
        <w:rPr>
          <w:rFonts w:hint="default" w:ascii="Times New Roman" w:hAnsi="Times New Roman" w:eastAsia="仿宋_GB2312" w:cs="Times New Roman"/>
          <w:color w:val="auto"/>
          <w:sz w:val="32"/>
          <w:szCs w:val="32"/>
          <w:highlight w:val="none"/>
        </w:rPr>
        <w:t>《工程造价咨询服务管理办法</w:t>
      </w:r>
      <w:r>
        <w:rPr>
          <w:rFonts w:hint="default" w:ascii="Times New Roman" w:hAnsi="Times New Roman" w:eastAsia="仿宋_GB2312" w:cs="Times New Roman"/>
          <w:color w:val="auto"/>
          <w:sz w:val="32"/>
          <w:szCs w:val="32"/>
          <w:highlight w:val="none"/>
          <w:lang w:eastAsia="zh-CN"/>
        </w:rPr>
        <w:t>（试行）</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val="en-US" w:eastAsia="zh-CN"/>
        </w:rPr>
        <w:t>(</w:t>
      </w:r>
      <w:r>
        <w:rPr>
          <w:rFonts w:hint="default" w:ascii="Times New Roman" w:hAnsi="Times New Roman" w:eastAsia="仿宋_GB2312" w:cs="Times New Roman"/>
          <w:color w:val="auto"/>
          <w:sz w:val="32"/>
          <w:szCs w:val="32"/>
          <w:highlight w:val="none"/>
        </w:rPr>
        <w:t>滁重〔</w:t>
      </w:r>
      <w:r>
        <w:rPr>
          <w:rFonts w:hint="default" w:ascii="Times New Roman" w:hAnsi="Times New Roman" w:eastAsia="仿宋_GB2312" w:cs="Times New Roman"/>
          <w:color w:val="auto"/>
          <w:sz w:val="32"/>
          <w:szCs w:val="32"/>
          <w:highlight w:val="none"/>
          <w:lang w:eastAsia="zh-CN"/>
        </w:rPr>
        <w:t>20</w:t>
      </w:r>
      <w:r>
        <w:rPr>
          <w:rFonts w:hint="default" w:ascii="Times New Roman" w:hAnsi="Times New Roman" w:eastAsia="仿宋_GB2312" w:cs="Times New Roman"/>
          <w:color w:val="auto"/>
          <w:sz w:val="32"/>
          <w:szCs w:val="32"/>
          <w:highlight w:val="none"/>
          <w:lang w:val="en-US" w:eastAsia="zh-CN"/>
        </w:rPr>
        <w:t>20</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 w:cs="Times New Roman"/>
          <w:color w:val="auto"/>
          <w:sz w:val="32"/>
          <w:szCs w:val="32"/>
          <w:highlight w:val="none"/>
          <w:shd w:val="clear" w:color="auto" w:fill="auto"/>
          <w:lang w:val="en-US" w:eastAsia="zh-CN"/>
        </w:rPr>
        <w:t>61</w:t>
      </w:r>
      <w:r>
        <w:rPr>
          <w:rFonts w:hint="default" w:ascii="Times New Roman" w:hAnsi="Times New Roman" w:eastAsia="仿宋_GB2312" w:cs="Times New Roman"/>
          <w:color w:val="auto"/>
          <w:sz w:val="32"/>
          <w:szCs w:val="32"/>
          <w:highlight w:val="none"/>
        </w:rPr>
        <w:t>号</w:t>
      </w:r>
      <w:r>
        <w:rPr>
          <w:rFonts w:hint="default" w:ascii="Times New Roman" w:hAnsi="Times New Roman" w:eastAsia="仿宋_GB2312" w:cs="Times New Roman"/>
          <w:color w:val="auto"/>
          <w:sz w:val="32"/>
          <w:szCs w:val="32"/>
          <w:highlight w:val="none"/>
          <w:lang w:val="en-US" w:eastAsia="zh-CN"/>
        </w:rPr>
        <w:t>)，试行已满一年，结合工作实际，现予以修订。经2022</w:t>
      </w:r>
      <w:r>
        <w:rPr>
          <w:rFonts w:hint="default" w:ascii="Times New Roman" w:hAnsi="Times New Roman" w:eastAsia="仿宋_GB2312" w:cs="Times New Roman"/>
          <w:color w:val="auto"/>
          <w:sz w:val="32"/>
          <w:szCs w:val="32"/>
          <w:highlight w:val="none"/>
          <w:shd w:val="clear" w:color="auto" w:fill="auto"/>
          <w:lang w:val="en-US" w:eastAsia="zh-CN"/>
        </w:rPr>
        <w:t>年6月</w:t>
      </w:r>
      <w:r>
        <w:rPr>
          <w:rFonts w:hint="eastAsia" w:ascii="Times New Roman" w:hAnsi="Times New Roman" w:eastAsia="仿宋_GB2312" w:cs="Times New Roman"/>
          <w:color w:val="auto"/>
          <w:sz w:val="32"/>
          <w:szCs w:val="32"/>
          <w:highlight w:val="none"/>
          <w:shd w:val="clear" w:color="auto" w:fill="auto"/>
          <w:lang w:val="en-US" w:eastAsia="zh-CN"/>
        </w:rPr>
        <w:t>23日</w:t>
      </w:r>
      <w:r>
        <w:rPr>
          <w:rFonts w:hint="default" w:ascii="Times New Roman" w:hAnsi="Times New Roman" w:eastAsia="仿宋_GB2312" w:cs="Times New Roman"/>
          <w:color w:val="auto"/>
          <w:sz w:val="32"/>
          <w:szCs w:val="32"/>
          <w:highlight w:val="none"/>
          <w:shd w:val="clear" w:color="auto" w:fill="auto"/>
          <w:lang w:val="en-US" w:eastAsia="zh-CN"/>
        </w:rPr>
        <w:t>党组会</w:t>
      </w:r>
      <w:r>
        <w:rPr>
          <w:rFonts w:hint="default" w:ascii="Times New Roman" w:hAnsi="Times New Roman" w:eastAsia="仿宋_GB2312" w:cs="Times New Roman"/>
          <w:color w:val="auto"/>
          <w:sz w:val="32"/>
          <w:szCs w:val="32"/>
          <w:highlight w:val="none"/>
          <w:lang w:val="en-US" w:eastAsia="zh-CN"/>
        </w:rPr>
        <w:t>研究同意，</w:t>
      </w:r>
      <w:r>
        <w:rPr>
          <w:rFonts w:hint="default" w:ascii="Times New Roman" w:hAnsi="Times New Roman" w:eastAsia="仿宋_GB2312" w:cs="Times New Roman"/>
          <w:color w:val="auto"/>
          <w:kern w:val="0"/>
          <w:sz w:val="32"/>
          <w:szCs w:val="32"/>
          <w:highlight w:val="none"/>
          <w:lang w:eastAsia="zh-CN"/>
        </w:rPr>
        <w:t>现印发</w:t>
      </w:r>
      <w:r>
        <w:rPr>
          <w:rFonts w:hint="default" w:ascii="Times New Roman" w:hAnsi="Times New Roman" w:eastAsia="仿宋_GB2312" w:cs="Times New Roman"/>
          <w:color w:val="auto"/>
          <w:sz w:val="32"/>
          <w:szCs w:val="32"/>
          <w:highlight w:val="none"/>
        </w:rPr>
        <w:t>《工程造价咨询服务管理办法》，请认真贯彻执行</w:t>
      </w:r>
      <w:r>
        <w:rPr>
          <w:rFonts w:hint="default" w:ascii="Times New Roman" w:hAnsi="Times New Roman" w:eastAsia="仿宋_GB2312" w:cs="Times New Roman"/>
          <w:color w:val="auto"/>
          <w:kern w:val="0"/>
          <w:sz w:val="32"/>
          <w:szCs w:val="32"/>
          <w:highlight w:val="none"/>
        </w:rPr>
        <w:t>，并及时反馈执行中的意见和</w:t>
      </w:r>
      <w:r>
        <w:rPr>
          <w:rFonts w:hint="default" w:ascii="Times New Roman" w:hAnsi="Times New Roman" w:eastAsia="仿宋_GB2312" w:cs="Times New Roman"/>
          <w:color w:val="auto"/>
          <w:sz w:val="32"/>
          <w:szCs w:val="32"/>
          <w:highlight w:val="none"/>
        </w:rPr>
        <w:t>建议。《工程造价咨询服务管理办法</w:t>
      </w:r>
      <w:r>
        <w:rPr>
          <w:rFonts w:hint="default" w:ascii="Times New Roman" w:hAnsi="Times New Roman" w:eastAsia="仿宋_GB2312" w:cs="Times New Roman"/>
          <w:color w:val="auto"/>
          <w:sz w:val="32"/>
          <w:szCs w:val="32"/>
          <w:highlight w:val="none"/>
          <w:lang w:eastAsia="zh-CN"/>
        </w:rPr>
        <w:t>（试行）</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val="en-US" w:eastAsia="zh-CN"/>
        </w:rPr>
        <w:t>(</w:t>
      </w:r>
      <w:r>
        <w:rPr>
          <w:rFonts w:hint="default" w:ascii="Times New Roman" w:hAnsi="Times New Roman" w:eastAsia="仿宋_GB2312" w:cs="Times New Roman"/>
          <w:color w:val="auto"/>
          <w:sz w:val="32"/>
          <w:szCs w:val="32"/>
          <w:highlight w:val="none"/>
        </w:rPr>
        <w:t>滁重〔</w:t>
      </w:r>
      <w:r>
        <w:rPr>
          <w:rFonts w:hint="default" w:ascii="Times New Roman" w:hAnsi="Times New Roman" w:eastAsia="仿宋_GB2312" w:cs="Times New Roman"/>
          <w:color w:val="auto"/>
          <w:sz w:val="32"/>
          <w:szCs w:val="32"/>
          <w:highlight w:val="none"/>
          <w:lang w:eastAsia="zh-CN"/>
        </w:rPr>
        <w:t>20</w:t>
      </w:r>
      <w:r>
        <w:rPr>
          <w:rFonts w:hint="default" w:ascii="Times New Roman" w:hAnsi="Times New Roman" w:eastAsia="仿宋_GB2312" w:cs="Times New Roman"/>
          <w:color w:val="auto"/>
          <w:sz w:val="32"/>
          <w:szCs w:val="32"/>
          <w:highlight w:val="none"/>
          <w:lang w:val="en-US" w:eastAsia="zh-CN"/>
        </w:rPr>
        <w:t>20</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 w:cs="Times New Roman"/>
          <w:color w:val="auto"/>
          <w:sz w:val="32"/>
          <w:szCs w:val="32"/>
          <w:highlight w:val="none"/>
          <w:shd w:val="clear" w:color="auto" w:fill="auto"/>
          <w:lang w:val="en-US" w:eastAsia="zh-CN"/>
        </w:rPr>
        <w:t>61</w:t>
      </w:r>
      <w:r>
        <w:rPr>
          <w:rFonts w:hint="default" w:ascii="Times New Roman" w:hAnsi="Times New Roman" w:eastAsia="仿宋_GB2312" w:cs="Times New Roman"/>
          <w:color w:val="auto"/>
          <w:sz w:val="32"/>
          <w:szCs w:val="32"/>
          <w:highlight w:val="none"/>
        </w:rPr>
        <w:t>号</w:t>
      </w:r>
      <w:r>
        <w:rPr>
          <w:rFonts w:hint="default" w:ascii="Times New Roman" w:hAnsi="Times New Roman" w:eastAsia="仿宋_GB2312" w:cs="Times New Roman"/>
          <w:color w:val="auto"/>
          <w:sz w:val="32"/>
          <w:szCs w:val="32"/>
          <w:highlight w:val="none"/>
          <w:lang w:val="en-US" w:eastAsia="zh-CN"/>
        </w:rPr>
        <w:t>)、</w:t>
      </w:r>
      <w:r>
        <w:rPr>
          <w:rFonts w:hint="default" w:ascii="Times New Roman" w:hAnsi="Times New Roman" w:eastAsia="仿宋_GB2312" w:cs="Times New Roman"/>
          <w:color w:val="auto"/>
          <w:sz w:val="32"/>
          <w:szCs w:val="32"/>
          <w:highlight w:val="none"/>
        </w:rPr>
        <w:t>《工程</w:t>
      </w:r>
      <w:r>
        <w:rPr>
          <w:rFonts w:hint="default" w:ascii="Times New Roman" w:hAnsi="Times New Roman" w:eastAsia="仿宋_GB2312" w:cs="Times New Roman"/>
          <w:color w:val="auto"/>
          <w:sz w:val="32"/>
          <w:szCs w:val="32"/>
          <w:highlight w:val="none"/>
          <w:lang w:eastAsia="zh-CN"/>
        </w:rPr>
        <w:t>量清单及最高投标限价编制管理办法</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val="en-US" w:eastAsia="zh-CN"/>
        </w:rPr>
        <w:t>(</w:t>
      </w:r>
      <w:r>
        <w:rPr>
          <w:rFonts w:hint="default" w:ascii="Times New Roman" w:hAnsi="Times New Roman" w:eastAsia="仿宋_GB2312" w:cs="Times New Roman"/>
          <w:color w:val="auto"/>
          <w:sz w:val="32"/>
          <w:szCs w:val="32"/>
          <w:highlight w:val="none"/>
        </w:rPr>
        <w:t>滁重〔</w:t>
      </w:r>
      <w:r>
        <w:rPr>
          <w:rFonts w:hint="default" w:ascii="Times New Roman" w:hAnsi="Times New Roman" w:eastAsia="仿宋_GB2312" w:cs="Times New Roman"/>
          <w:color w:val="auto"/>
          <w:sz w:val="32"/>
          <w:szCs w:val="32"/>
          <w:highlight w:val="none"/>
          <w:lang w:eastAsia="zh-CN"/>
        </w:rPr>
        <w:t>20</w:t>
      </w:r>
      <w:r>
        <w:rPr>
          <w:rFonts w:hint="default" w:ascii="Times New Roman" w:hAnsi="Times New Roman" w:eastAsia="仿宋_GB2312" w:cs="Times New Roman"/>
          <w:color w:val="auto"/>
          <w:sz w:val="32"/>
          <w:szCs w:val="32"/>
          <w:highlight w:val="none"/>
          <w:lang w:val="en-US" w:eastAsia="zh-CN"/>
        </w:rPr>
        <w:t>19</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val="en-US" w:eastAsia="zh-CN"/>
        </w:rPr>
        <w:t>46</w:t>
      </w:r>
      <w:r>
        <w:rPr>
          <w:rFonts w:hint="default" w:ascii="Times New Roman" w:hAnsi="Times New Roman" w:eastAsia="仿宋_GB2312" w:cs="Times New Roman"/>
          <w:color w:val="auto"/>
          <w:sz w:val="32"/>
          <w:szCs w:val="32"/>
          <w:highlight w:val="none"/>
        </w:rPr>
        <w:t>号</w:t>
      </w:r>
      <w:r>
        <w:rPr>
          <w:rFonts w:hint="default" w:ascii="Times New Roman" w:hAnsi="Times New Roman" w:eastAsia="仿宋_GB2312" w:cs="Times New Roman"/>
          <w:color w:val="auto"/>
          <w:sz w:val="32"/>
          <w:szCs w:val="32"/>
          <w:highlight w:val="none"/>
          <w:lang w:val="en-US" w:eastAsia="zh-CN"/>
        </w:rPr>
        <w:t xml:space="preserve">) </w:t>
      </w:r>
      <w:r>
        <w:rPr>
          <w:rFonts w:hint="default" w:ascii="Times New Roman" w:hAnsi="Times New Roman" w:eastAsia="仿宋_GB2312" w:cs="Times New Roman"/>
          <w:color w:val="auto"/>
          <w:sz w:val="32"/>
          <w:szCs w:val="32"/>
          <w:highlight w:val="none"/>
        </w:rPr>
        <w:t>废止。</w:t>
      </w:r>
    </w:p>
    <w:p w14:paraId="62C15C12">
      <w:pPr>
        <w:keepNext w:val="0"/>
        <w:keepLines w:val="0"/>
        <w:pageBreakBefore w:val="0"/>
        <w:widowControl w:val="0"/>
        <w:kinsoku/>
        <w:overflowPunct/>
        <w:topLinePunct w:val="0"/>
        <w:autoSpaceDE/>
        <w:autoSpaceDN/>
        <w:bidi w:val="0"/>
        <w:adjustRightInd/>
        <w:snapToGrid/>
        <w:spacing w:line="600" w:lineRule="exact"/>
        <w:textAlignment w:val="auto"/>
        <w:rPr>
          <w:rFonts w:hint="default" w:ascii="Times New Roman" w:hAnsi="Times New Roman" w:cs="Times New Roman"/>
          <w:color w:val="auto"/>
          <w:highlight w:val="none"/>
        </w:rPr>
      </w:pPr>
    </w:p>
    <w:p w14:paraId="2289BD93">
      <w:pPr>
        <w:keepNext w:val="0"/>
        <w:keepLines w:val="0"/>
        <w:pageBreakBefore w:val="0"/>
        <w:widowControl w:val="0"/>
        <w:kinsoku/>
        <w:wordWrap w:val="0"/>
        <w:overflowPunct/>
        <w:topLinePunct w:val="0"/>
        <w:autoSpaceDE/>
        <w:autoSpaceDN/>
        <w:bidi w:val="0"/>
        <w:adjustRightInd/>
        <w:snapToGrid/>
        <w:spacing w:line="600" w:lineRule="exact"/>
        <w:jc w:val="right"/>
        <w:textAlignment w:val="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rPr>
        <w:t>滁州市重点工程建设管理处</w:t>
      </w:r>
      <w:r>
        <w:rPr>
          <w:rFonts w:hint="default" w:ascii="Times New Roman" w:hAnsi="Times New Roman" w:eastAsia="仿宋_GB2312" w:cs="Times New Roman"/>
          <w:color w:val="auto"/>
          <w:sz w:val="32"/>
          <w:szCs w:val="32"/>
          <w:highlight w:val="none"/>
          <w:lang w:val="en-US" w:eastAsia="zh-CN"/>
        </w:rPr>
        <w:t xml:space="preserve">    </w:t>
      </w:r>
    </w:p>
    <w:p w14:paraId="77AC9903">
      <w:pPr>
        <w:keepNext w:val="0"/>
        <w:keepLines w:val="0"/>
        <w:pageBreakBefore w:val="0"/>
        <w:widowControl w:val="0"/>
        <w:kinsoku/>
        <w:overflowPunct/>
        <w:topLinePunct w:val="0"/>
        <w:autoSpaceDE/>
        <w:autoSpaceDN/>
        <w:bidi w:val="0"/>
        <w:adjustRightInd/>
        <w:snapToGrid/>
        <w:spacing w:line="600" w:lineRule="exact"/>
        <w:ind w:firstLine="5120" w:firstLineChars="1600"/>
        <w:jc w:val="both"/>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lang w:eastAsia="zh-CN"/>
        </w:rPr>
        <w:t>202</w:t>
      </w:r>
      <w:r>
        <w:rPr>
          <w:rFonts w:hint="default" w:ascii="Times New Roman" w:hAnsi="Times New Roman" w:eastAsia="仿宋_GB2312" w:cs="Times New Roman"/>
          <w:color w:val="auto"/>
          <w:sz w:val="32"/>
          <w:szCs w:val="32"/>
          <w:highlight w:val="none"/>
          <w:lang w:val="en-US" w:eastAsia="zh-CN"/>
        </w:rPr>
        <w:t>2</w:t>
      </w:r>
      <w:r>
        <w:rPr>
          <w:rFonts w:hint="default" w:ascii="Times New Roman" w:hAnsi="Times New Roman" w:eastAsia="仿宋_GB2312" w:cs="Times New Roman"/>
          <w:color w:val="auto"/>
          <w:sz w:val="32"/>
          <w:szCs w:val="32"/>
          <w:highlight w:val="none"/>
        </w:rPr>
        <w:t>年</w:t>
      </w:r>
      <w:r>
        <w:rPr>
          <w:rFonts w:hint="default" w:ascii="Times New Roman" w:hAnsi="Times New Roman" w:eastAsia="仿宋_GB2312" w:cs="Times New Roman"/>
          <w:color w:val="auto"/>
          <w:sz w:val="32"/>
          <w:szCs w:val="32"/>
          <w:highlight w:val="none"/>
          <w:lang w:val="en-US" w:eastAsia="zh-CN"/>
        </w:rPr>
        <w:t>9</w:t>
      </w:r>
      <w:r>
        <w:rPr>
          <w:rFonts w:hint="default" w:ascii="Times New Roman" w:hAnsi="Times New Roman" w:eastAsia="仿宋_GB2312" w:cs="Times New Roman"/>
          <w:color w:val="auto"/>
          <w:sz w:val="32"/>
          <w:szCs w:val="32"/>
          <w:highlight w:val="none"/>
        </w:rPr>
        <w:t>月</w:t>
      </w:r>
      <w:r>
        <w:rPr>
          <w:rFonts w:hint="default" w:ascii="Times New Roman" w:hAnsi="Times New Roman" w:eastAsia="仿宋_GB2312" w:cs="Times New Roman"/>
          <w:color w:val="auto"/>
          <w:sz w:val="32"/>
          <w:szCs w:val="32"/>
          <w:highlight w:val="none"/>
          <w:lang w:val="en-US" w:eastAsia="zh-CN"/>
        </w:rPr>
        <w:t>1</w:t>
      </w:r>
      <w:r>
        <w:rPr>
          <w:rFonts w:hint="default" w:ascii="Times New Roman" w:hAnsi="Times New Roman" w:eastAsia="仿宋_GB2312" w:cs="Times New Roman"/>
          <w:color w:val="auto"/>
          <w:sz w:val="32"/>
          <w:szCs w:val="32"/>
          <w:highlight w:val="none"/>
        </w:rPr>
        <w:t>日</w:t>
      </w:r>
    </w:p>
    <w:p w14:paraId="33FD1C3A">
      <w:pPr>
        <w:pStyle w:val="44"/>
        <w:rPr>
          <w:rFonts w:hint="default" w:ascii="Times New Roman" w:hAnsi="Times New Roman" w:eastAsia="仿宋_GB2312" w:cs="Times New Roman"/>
          <w:color w:val="auto"/>
          <w:sz w:val="32"/>
          <w:szCs w:val="32"/>
          <w:highlight w:val="none"/>
        </w:rPr>
      </w:pPr>
    </w:p>
    <w:p w14:paraId="397736C2">
      <w:pPr>
        <w:rPr>
          <w:rFonts w:hint="default"/>
          <w:color w:val="auto"/>
          <w:highlight w:val="none"/>
        </w:rPr>
      </w:pPr>
    </w:p>
    <w:p w14:paraId="7705CDE2">
      <w:pPr>
        <w:pStyle w:val="44"/>
        <w:rPr>
          <w:rFonts w:hint="default"/>
          <w:color w:val="auto"/>
          <w:highlight w:val="none"/>
        </w:rPr>
      </w:pPr>
    </w:p>
    <w:p w14:paraId="5DB0B83D">
      <w:pPr>
        <w:rPr>
          <w:rFonts w:hint="default"/>
          <w:color w:val="auto"/>
          <w:highlight w:val="none"/>
        </w:rPr>
      </w:pPr>
    </w:p>
    <w:p w14:paraId="60EFE524">
      <w:pPr>
        <w:pStyle w:val="44"/>
        <w:rPr>
          <w:rFonts w:hint="default"/>
          <w:color w:val="auto"/>
          <w:highlight w:val="none"/>
        </w:rPr>
      </w:pPr>
    </w:p>
    <w:p w14:paraId="1EBE0DBF">
      <w:pPr>
        <w:rPr>
          <w:rFonts w:hint="default"/>
          <w:color w:val="auto"/>
          <w:highlight w:val="none"/>
        </w:rPr>
      </w:pPr>
    </w:p>
    <w:p w14:paraId="6D9F484A">
      <w:pPr>
        <w:rPr>
          <w:rFonts w:hint="default"/>
          <w:color w:val="auto"/>
          <w:highlight w:val="none"/>
        </w:rPr>
      </w:pPr>
    </w:p>
    <w:p w14:paraId="1106052E">
      <w:pPr>
        <w:pStyle w:val="44"/>
        <w:rPr>
          <w:rFonts w:hint="default"/>
          <w:color w:val="auto"/>
          <w:highlight w:val="none"/>
        </w:rPr>
      </w:pPr>
    </w:p>
    <w:p w14:paraId="357B55F8">
      <w:pPr>
        <w:rPr>
          <w:rFonts w:hint="default"/>
          <w:color w:val="auto"/>
          <w:highlight w:val="none"/>
        </w:rPr>
      </w:pPr>
    </w:p>
    <w:p w14:paraId="70B7187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方正小标宋简体" w:cs="Times New Roman"/>
          <w:b w:val="0"/>
          <w:bCs/>
          <w:color w:val="auto"/>
          <w:sz w:val="44"/>
          <w:szCs w:val="44"/>
          <w:highlight w:val="none"/>
          <w:lang w:eastAsia="zh-CN"/>
        </w:rPr>
      </w:pPr>
      <w:r>
        <w:rPr>
          <w:rFonts w:hint="default" w:ascii="Times New Roman" w:hAnsi="Times New Roman" w:eastAsia="方正小标宋简体" w:cs="Times New Roman"/>
          <w:b w:val="0"/>
          <w:bCs/>
          <w:color w:val="auto"/>
          <w:sz w:val="44"/>
          <w:szCs w:val="44"/>
          <w:highlight w:val="none"/>
        </w:rPr>
        <w:t>工程造价咨询服务管理办法</w:t>
      </w:r>
    </w:p>
    <w:p w14:paraId="0F2DEB20">
      <w:pPr>
        <w:keepNext w:val="0"/>
        <w:keepLines w:val="0"/>
        <w:pageBreakBefore w:val="0"/>
        <w:kinsoku/>
        <w:wordWrap/>
        <w:overflowPunct/>
        <w:topLinePunct w:val="0"/>
        <w:autoSpaceDE/>
        <w:autoSpaceDN/>
        <w:bidi w:val="0"/>
        <w:adjustRightInd/>
        <w:spacing w:line="400" w:lineRule="exact"/>
        <w:ind w:firstLine="3520" w:firstLineChars="1100"/>
        <w:textAlignment w:val="auto"/>
        <w:rPr>
          <w:rFonts w:hint="default" w:ascii="Times New Roman" w:hAnsi="Times New Roman" w:eastAsia="仿宋_GB2312" w:cs="Times New Roman"/>
          <w:color w:val="auto"/>
          <w:sz w:val="32"/>
          <w:szCs w:val="32"/>
          <w:highlight w:val="none"/>
        </w:rPr>
      </w:pPr>
    </w:p>
    <w:p w14:paraId="3D6DCC90">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outlineLvl w:val="9"/>
        <w:rPr>
          <w:rFonts w:hint="default" w:ascii="Times New Roman" w:hAnsi="Times New Roman" w:eastAsia="黑体" w:cs="Times New Roman"/>
          <w:color w:val="auto"/>
          <w:sz w:val="32"/>
          <w:szCs w:val="32"/>
          <w:highlight w:val="none"/>
        </w:rPr>
      </w:pPr>
      <w:r>
        <w:rPr>
          <w:rFonts w:hint="default" w:ascii="Times New Roman" w:hAnsi="Times New Roman" w:eastAsia="黑体" w:cs="Times New Roman"/>
          <w:color w:val="auto"/>
          <w:sz w:val="32"/>
          <w:szCs w:val="32"/>
          <w:highlight w:val="none"/>
        </w:rPr>
        <w:t>第一章 总则</w:t>
      </w:r>
    </w:p>
    <w:p w14:paraId="518BBA88">
      <w:pPr>
        <w:keepNext w:val="0"/>
        <w:keepLines w:val="0"/>
        <w:pageBreakBefore w:val="0"/>
        <w:kinsoku/>
        <w:wordWrap/>
        <w:overflowPunct/>
        <w:topLinePunct w:val="0"/>
        <w:autoSpaceDE/>
        <w:autoSpaceDN/>
        <w:bidi w:val="0"/>
        <w:adjustRightInd/>
        <w:spacing w:line="400" w:lineRule="exact"/>
        <w:ind w:left="0" w:leftChars="0" w:firstLine="627"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b/>
          <w:bCs/>
          <w:color w:val="auto"/>
          <w:spacing w:val="-4"/>
          <w:kern w:val="0"/>
          <w:sz w:val="32"/>
          <w:szCs w:val="32"/>
          <w:highlight w:val="none"/>
        </w:rPr>
        <w:t>第一条</w:t>
      </w:r>
      <w:r>
        <w:rPr>
          <w:rFonts w:hint="default" w:ascii="Times New Roman" w:hAnsi="Times New Roman" w:eastAsia="仿宋_GB2312" w:cs="Times New Roman"/>
          <w:color w:val="auto"/>
          <w:spacing w:val="-4"/>
          <w:kern w:val="0"/>
          <w:sz w:val="32"/>
          <w:szCs w:val="32"/>
          <w:highlight w:val="none"/>
        </w:rPr>
        <w:t xml:space="preserve"> </w:t>
      </w:r>
      <w:r>
        <w:rPr>
          <w:rFonts w:hint="default" w:ascii="Times New Roman" w:hAnsi="Times New Roman" w:eastAsia="仿宋_GB2312" w:cs="Times New Roman"/>
          <w:color w:val="auto"/>
          <w:spacing w:val="-4"/>
          <w:kern w:val="0"/>
          <w:sz w:val="32"/>
          <w:szCs w:val="32"/>
          <w:highlight w:val="none"/>
          <w:lang w:val="en-US" w:eastAsia="zh-CN"/>
        </w:rPr>
        <w:t xml:space="preserve"> </w:t>
      </w:r>
      <w:r>
        <w:rPr>
          <w:rFonts w:hint="default" w:ascii="Times New Roman" w:hAnsi="Times New Roman" w:eastAsia="仿宋_GB2312" w:cs="Times New Roman"/>
          <w:color w:val="auto"/>
          <w:spacing w:val="-4"/>
          <w:kern w:val="0"/>
          <w:sz w:val="32"/>
          <w:szCs w:val="32"/>
          <w:highlight w:val="none"/>
        </w:rPr>
        <w:t>为</w:t>
      </w:r>
      <w:r>
        <w:rPr>
          <w:rFonts w:hint="default" w:ascii="Times New Roman" w:hAnsi="Times New Roman" w:eastAsia="仿宋_GB2312" w:cs="Times New Roman"/>
          <w:color w:val="auto"/>
          <w:sz w:val="32"/>
          <w:szCs w:val="32"/>
          <w:highlight w:val="none"/>
        </w:rPr>
        <w:t>加强</w:t>
      </w:r>
      <w:r>
        <w:rPr>
          <w:rFonts w:hint="default" w:ascii="Times New Roman" w:hAnsi="Times New Roman" w:eastAsia="仿宋_GB2312" w:cs="Times New Roman"/>
          <w:color w:val="auto"/>
          <w:spacing w:val="-4"/>
          <w:kern w:val="0"/>
          <w:sz w:val="32"/>
          <w:szCs w:val="32"/>
          <w:highlight w:val="none"/>
        </w:rPr>
        <w:t>我处工程造价咨询服务管理</w:t>
      </w:r>
      <w:r>
        <w:rPr>
          <w:rFonts w:hint="default" w:ascii="Times New Roman" w:hAnsi="Times New Roman" w:eastAsia="仿宋_GB2312" w:cs="Times New Roman"/>
          <w:color w:val="auto"/>
          <w:sz w:val="32"/>
          <w:szCs w:val="32"/>
          <w:highlight w:val="none"/>
        </w:rPr>
        <w:t>，提高造价成果质量和工作效率，严格控制政府投资，防范风险，强化廉政建设，根据相关规定，结合我处实际，</w:t>
      </w:r>
      <w:r>
        <w:rPr>
          <w:rFonts w:hint="default" w:ascii="Times New Roman" w:hAnsi="Times New Roman" w:eastAsia="仿宋_GB2312" w:cs="Times New Roman"/>
          <w:color w:val="auto"/>
          <w:kern w:val="0"/>
          <w:sz w:val="32"/>
          <w:szCs w:val="32"/>
          <w:highlight w:val="none"/>
        </w:rPr>
        <w:t>制定</w:t>
      </w:r>
      <w:r>
        <w:rPr>
          <w:rFonts w:hint="default" w:ascii="Times New Roman" w:hAnsi="Times New Roman" w:eastAsia="仿宋_GB2312" w:cs="Times New Roman"/>
          <w:color w:val="auto"/>
          <w:sz w:val="32"/>
          <w:szCs w:val="32"/>
          <w:highlight w:val="none"/>
        </w:rPr>
        <w:t>本办法。</w:t>
      </w:r>
    </w:p>
    <w:p w14:paraId="0A4616F4">
      <w:pPr>
        <w:keepNext w:val="0"/>
        <w:keepLines w:val="0"/>
        <w:pageBreakBefore w:val="0"/>
        <w:kinsoku/>
        <w:wordWrap/>
        <w:overflowPunct/>
        <w:topLinePunct w:val="0"/>
        <w:autoSpaceDE/>
        <w:autoSpaceDN/>
        <w:bidi w:val="0"/>
        <w:adjustRightInd/>
        <w:spacing w:line="400" w:lineRule="exact"/>
        <w:ind w:left="0" w:leftChars="0" w:firstLine="627" w:firstLineChars="200"/>
        <w:jc w:val="left"/>
        <w:textAlignment w:val="auto"/>
        <w:rPr>
          <w:rFonts w:hint="default" w:ascii="Times New Roman" w:hAnsi="Times New Roman" w:eastAsia="黑体" w:cs="Times New Roman"/>
          <w:color w:val="auto"/>
          <w:sz w:val="32"/>
          <w:szCs w:val="32"/>
          <w:highlight w:val="none"/>
        </w:rPr>
      </w:pPr>
      <w:r>
        <w:rPr>
          <w:rFonts w:hint="default" w:ascii="Times New Roman" w:hAnsi="Times New Roman" w:eastAsia="仿宋_GB2312" w:cs="Times New Roman"/>
          <w:b/>
          <w:bCs/>
          <w:color w:val="auto"/>
          <w:spacing w:val="-4"/>
          <w:kern w:val="0"/>
          <w:sz w:val="32"/>
          <w:szCs w:val="32"/>
          <w:highlight w:val="none"/>
        </w:rPr>
        <w:t>第二条</w:t>
      </w:r>
      <w:r>
        <w:rPr>
          <w:rFonts w:hint="default" w:ascii="Times New Roman" w:hAnsi="Times New Roman" w:eastAsia="仿宋_GB2312" w:cs="Times New Roman"/>
          <w:color w:val="auto"/>
          <w:spacing w:val="-4"/>
          <w:kern w:val="0"/>
          <w:sz w:val="32"/>
          <w:szCs w:val="32"/>
          <w:highlight w:val="none"/>
        </w:rPr>
        <w:t xml:space="preserve"> </w:t>
      </w:r>
      <w:r>
        <w:rPr>
          <w:rFonts w:hint="default" w:ascii="Times New Roman" w:hAnsi="Times New Roman" w:eastAsia="仿宋_GB2312" w:cs="Times New Roman"/>
          <w:color w:val="auto"/>
          <w:spacing w:val="-4"/>
          <w:kern w:val="0"/>
          <w:sz w:val="32"/>
          <w:szCs w:val="32"/>
          <w:highlight w:val="none"/>
          <w:lang w:val="en-US" w:eastAsia="zh-CN"/>
        </w:rPr>
        <w:t xml:space="preserve"> </w:t>
      </w:r>
      <w:r>
        <w:rPr>
          <w:rFonts w:hint="default" w:ascii="Times New Roman" w:hAnsi="Times New Roman" w:eastAsia="仿宋_GB2312" w:cs="Times New Roman"/>
          <w:color w:val="auto"/>
          <w:spacing w:val="-4"/>
          <w:kern w:val="0"/>
          <w:sz w:val="32"/>
          <w:szCs w:val="32"/>
          <w:highlight w:val="none"/>
        </w:rPr>
        <w:t>我处委托工程造价咨询企业（以下简称“造价企业”）</w:t>
      </w:r>
      <w:r>
        <w:rPr>
          <w:rFonts w:hint="default" w:ascii="Times New Roman" w:hAnsi="Times New Roman" w:eastAsia="仿宋_GB2312" w:cs="Times New Roman"/>
          <w:color w:val="auto"/>
          <w:spacing w:val="-4"/>
          <w:kern w:val="0"/>
          <w:sz w:val="32"/>
          <w:szCs w:val="32"/>
          <w:highlight w:val="none"/>
          <w:lang w:eastAsia="zh-CN"/>
        </w:rPr>
        <w:t>的</w:t>
      </w:r>
      <w:r>
        <w:rPr>
          <w:rFonts w:hint="default" w:ascii="Times New Roman" w:hAnsi="Times New Roman" w:eastAsia="仿宋_GB2312" w:cs="Times New Roman"/>
          <w:color w:val="auto"/>
          <w:spacing w:val="-4"/>
          <w:kern w:val="0"/>
          <w:sz w:val="32"/>
          <w:szCs w:val="32"/>
          <w:highlight w:val="none"/>
        </w:rPr>
        <w:t>投资估算、设计概算、工程量清单</w:t>
      </w:r>
      <w:r>
        <w:rPr>
          <w:rFonts w:hint="default" w:ascii="Times New Roman" w:hAnsi="Times New Roman" w:eastAsia="仿宋_GB2312" w:cs="Times New Roman"/>
          <w:color w:val="auto"/>
          <w:spacing w:val="-4"/>
          <w:kern w:val="0"/>
          <w:sz w:val="32"/>
          <w:szCs w:val="32"/>
          <w:highlight w:val="none"/>
          <w:lang w:eastAsia="zh-CN"/>
        </w:rPr>
        <w:t>及</w:t>
      </w:r>
      <w:r>
        <w:rPr>
          <w:rFonts w:hint="default" w:ascii="Times New Roman" w:hAnsi="Times New Roman" w:eastAsia="仿宋_GB2312" w:cs="Times New Roman"/>
          <w:color w:val="auto"/>
          <w:spacing w:val="-4"/>
          <w:kern w:val="0"/>
          <w:sz w:val="32"/>
          <w:szCs w:val="32"/>
          <w:highlight w:val="none"/>
        </w:rPr>
        <w:t>最高投标限价编制</w:t>
      </w:r>
      <w:r>
        <w:rPr>
          <w:rFonts w:hint="default" w:ascii="Times New Roman" w:hAnsi="Times New Roman" w:eastAsia="仿宋_GB2312" w:cs="Times New Roman"/>
          <w:color w:val="auto"/>
          <w:spacing w:val="-4"/>
          <w:kern w:val="0"/>
          <w:sz w:val="32"/>
          <w:szCs w:val="32"/>
          <w:highlight w:val="none"/>
          <w:lang w:eastAsia="zh-CN"/>
        </w:rPr>
        <w:t>（以下简称“清单编制”）和审核</w:t>
      </w:r>
      <w:r>
        <w:rPr>
          <w:rFonts w:hint="default" w:ascii="Times New Roman" w:hAnsi="Times New Roman" w:eastAsia="仿宋_GB2312" w:cs="Times New Roman"/>
          <w:color w:val="auto"/>
          <w:spacing w:val="-4"/>
          <w:kern w:val="0"/>
          <w:sz w:val="32"/>
          <w:szCs w:val="32"/>
          <w:highlight w:val="none"/>
        </w:rPr>
        <w:t>、施工阶段全过程造价控制（以下简称“跟踪审计”）、结算审核、第三方复审等咨询业务均适用于本办法。</w:t>
      </w:r>
    </w:p>
    <w:p w14:paraId="6DBA81AE">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9"/>
        <w:rPr>
          <w:rFonts w:hint="default" w:ascii="Times New Roman" w:hAnsi="Times New Roman" w:eastAsia="黑体" w:cs="Times New Roman"/>
          <w:color w:val="auto"/>
          <w:kern w:val="36"/>
          <w:sz w:val="32"/>
          <w:szCs w:val="32"/>
          <w:highlight w:val="none"/>
        </w:rPr>
      </w:pPr>
      <w:r>
        <w:rPr>
          <w:rFonts w:hint="default" w:ascii="Times New Roman" w:hAnsi="Times New Roman" w:eastAsia="黑体" w:cs="Times New Roman"/>
          <w:color w:val="auto"/>
          <w:sz w:val="32"/>
          <w:szCs w:val="32"/>
          <w:highlight w:val="none"/>
        </w:rPr>
        <w:t>第二章 工作流程</w:t>
      </w:r>
    </w:p>
    <w:p w14:paraId="3F7EB5B4">
      <w:pPr>
        <w:keepNext w:val="0"/>
        <w:keepLines w:val="0"/>
        <w:pageBreakBefore w:val="0"/>
        <w:kinsoku/>
        <w:wordWrap/>
        <w:overflowPunct/>
        <w:topLinePunct w:val="0"/>
        <w:autoSpaceDE/>
        <w:autoSpaceDN/>
        <w:bidi w:val="0"/>
        <w:adjustRightInd/>
        <w:spacing w:line="400" w:lineRule="exact"/>
        <w:ind w:left="0" w:leftChars="0" w:firstLine="643"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b/>
          <w:bCs/>
          <w:color w:val="auto"/>
          <w:sz w:val="32"/>
          <w:szCs w:val="32"/>
          <w:highlight w:val="none"/>
        </w:rPr>
        <w:t>第三条</w:t>
      </w:r>
      <w:r>
        <w:rPr>
          <w:rFonts w:hint="default" w:ascii="Times New Roman" w:hAnsi="Times New Roman" w:eastAsia="仿宋_GB2312" w:cs="Times New Roman"/>
          <w:color w:val="auto"/>
          <w:sz w:val="32"/>
          <w:szCs w:val="32"/>
          <w:highlight w:val="none"/>
          <w:lang w:val="en-US" w:eastAsia="zh-CN"/>
        </w:rPr>
        <w:t xml:space="preserve">  </w:t>
      </w:r>
      <w:r>
        <w:rPr>
          <w:rFonts w:hint="default" w:ascii="Times New Roman" w:hAnsi="Times New Roman" w:eastAsia="仿宋_GB2312" w:cs="Times New Roman"/>
          <w:color w:val="auto"/>
          <w:sz w:val="32"/>
          <w:szCs w:val="32"/>
          <w:highlight w:val="none"/>
          <w:lang w:eastAsia="zh-CN"/>
        </w:rPr>
        <w:t>清单编制审核</w:t>
      </w:r>
      <w:r>
        <w:rPr>
          <w:rFonts w:hint="default" w:ascii="Times New Roman" w:hAnsi="Times New Roman" w:eastAsia="仿宋_GB2312" w:cs="Times New Roman"/>
          <w:color w:val="auto"/>
          <w:sz w:val="32"/>
          <w:szCs w:val="32"/>
          <w:highlight w:val="none"/>
        </w:rPr>
        <w:t>流程</w:t>
      </w:r>
    </w:p>
    <w:p w14:paraId="6F798ED3">
      <w:pPr>
        <w:keepNext w:val="0"/>
        <w:keepLines w:val="0"/>
        <w:pageBreakBefore w:val="0"/>
        <w:kinsoku/>
        <w:wordWrap/>
        <w:overflowPunct/>
        <w:topLinePunct w:val="0"/>
        <w:autoSpaceDE/>
        <w:autoSpaceDN/>
        <w:bidi w:val="0"/>
        <w:adjustRightInd/>
        <w:spacing w:line="400" w:lineRule="exact"/>
        <w:ind w:left="0" w:leftChars="0" w:firstLine="640" w:firstLineChars="200"/>
        <w:jc w:val="left"/>
        <w:textAlignment w:val="auto"/>
        <w:rPr>
          <w:rFonts w:hint="default" w:ascii="Times New Roman" w:hAnsi="Times New Roman" w:cs="Times New Roman"/>
          <w:color w:val="auto"/>
          <w:sz w:val="32"/>
          <w:szCs w:val="32"/>
          <w:highlight w:val="none"/>
        </w:rPr>
      </w:pPr>
      <w:r>
        <w:rPr>
          <w:rFonts w:hint="default" w:ascii="Times New Roman" w:hAnsi="Times New Roman" w:eastAsia="仿宋_GB2312" w:cs="Times New Roman"/>
          <w:color w:val="auto"/>
          <w:kern w:val="2"/>
          <w:sz w:val="32"/>
          <w:szCs w:val="32"/>
          <w:highlight w:val="none"/>
          <w:lang w:val="en-US" w:eastAsia="zh-CN" w:bidi="ar-SA"/>
        </w:rPr>
        <w:t>工程技术科提供图审合格的完整纸质图、电子图和勘察报告等相关设计文件</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eastAsia="zh-CN"/>
        </w:rPr>
        <w:t>综合计划科委托造价企业</w:t>
      </w:r>
      <w:r>
        <w:rPr>
          <w:rFonts w:hint="default" w:ascii="Times New Roman" w:hAnsi="Times New Roman" w:eastAsia="仿宋_GB2312" w:cs="Times New Roman"/>
          <w:color w:val="auto"/>
          <w:sz w:val="32"/>
          <w:szCs w:val="32"/>
          <w:highlight w:val="none"/>
        </w:rPr>
        <w:t>编制清单→</w:t>
      </w:r>
      <w:r>
        <w:rPr>
          <w:rFonts w:hint="default" w:ascii="Times New Roman" w:hAnsi="Times New Roman" w:eastAsia="仿宋_GB2312" w:cs="Times New Roman"/>
          <w:color w:val="auto"/>
          <w:sz w:val="32"/>
          <w:szCs w:val="32"/>
          <w:highlight w:val="none"/>
          <w:lang w:eastAsia="zh-CN"/>
        </w:rPr>
        <w:t>项目分管领导牵头，组织综合计划科、工程技术科、工程建设科和设计（勘察）单位、清单编制单位等参加清单会审（投资较大、技术复杂、专业性较强的项目，可以委托第三方复审或组织专家论证）</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eastAsia="zh-CN"/>
        </w:rPr>
        <w:t>工程技术科督促设计单位按照会审意见限期完成修改，并对最终图纸进行确认</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eastAsia="zh-CN"/>
        </w:rPr>
        <w:t>编制单位出具会审备忘录（编制说明），按会审意见和终版图纸调整</w:t>
      </w:r>
      <w:r>
        <w:rPr>
          <w:rFonts w:hint="default" w:ascii="Times New Roman" w:hAnsi="Times New Roman" w:eastAsia="仿宋_GB2312" w:cs="Times New Roman"/>
          <w:color w:val="auto"/>
          <w:sz w:val="32"/>
          <w:szCs w:val="32"/>
          <w:highlight w:val="none"/>
        </w:rPr>
        <w:t>清单</w:t>
      </w:r>
      <w:r>
        <w:rPr>
          <w:rFonts w:hint="default" w:ascii="Times New Roman" w:hAnsi="Times New Roman" w:eastAsia="仿宋_GB2312" w:cs="Times New Roman"/>
          <w:color w:val="auto"/>
          <w:sz w:val="32"/>
          <w:szCs w:val="32"/>
          <w:highlight w:val="none"/>
          <w:lang w:eastAsia="zh-CN"/>
        </w:rPr>
        <w:t>。其中，</w:t>
      </w:r>
      <w:r>
        <w:rPr>
          <w:rFonts w:hint="default" w:ascii="Times New Roman" w:hAnsi="Times New Roman" w:eastAsia="仿宋_GB2312" w:cs="Times New Roman"/>
          <w:color w:val="auto"/>
          <w:sz w:val="32"/>
          <w:szCs w:val="32"/>
          <w:highlight w:val="none"/>
        </w:rPr>
        <w:t>最高</w:t>
      </w:r>
      <w:r>
        <w:rPr>
          <w:rFonts w:hint="default" w:ascii="Times New Roman" w:hAnsi="Times New Roman" w:eastAsia="仿宋_GB2312" w:cs="Times New Roman"/>
          <w:color w:val="auto"/>
          <w:sz w:val="32"/>
          <w:szCs w:val="32"/>
          <w:highlight w:val="none"/>
          <w:lang w:eastAsia="zh-CN"/>
        </w:rPr>
        <w:t>投标</w:t>
      </w:r>
      <w:r>
        <w:rPr>
          <w:rFonts w:hint="default" w:ascii="Times New Roman" w:hAnsi="Times New Roman" w:eastAsia="仿宋_GB2312" w:cs="Times New Roman"/>
          <w:color w:val="auto"/>
          <w:sz w:val="32"/>
          <w:szCs w:val="32"/>
          <w:highlight w:val="none"/>
        </w:rPr>
        <w:t>限价</w:t>
      </w:r>
      <w:r>
        <w:rPr>
          <w:rFonts w:hint="default" w:ascii="Times New Roman" w:hAnsi="Times New Roman" w:eastAsia="仿宋_GB2312" w:cs="Times New Roman"/>
          <w:color w:val="auto"/>
          <w:sz w:val="32"/>
          <w:szCs w:val="32"/>
          <w:highlight w:val="none"/>
          <w:lang w:eastAsia="zh-CN"/>
        </w:rPr>
        <w:t>一亿元以上项目报送市财政工程造价审核中心审核。（上述限额标准根据市财政局规定同步调整）</w:t>
      </w:r>
    </w:p>
    <w:p w14:paraId="41BEBED0">
      <w:pPr>
        <w:keepNext w:val="0"/>
        <w:keepLines w:val="0"/>
        <w:pageBreakBefore w:val="0"/>
        <w:numPr>
          <w:ilvl w:val="0"/>
          <w:numId w:val="0"/>
        </w:numPr>
        <w:kinsoku/>
        <w:wordWrap/>
        <w:overflowPunct/>
        <w:topLinePunct w:val="0"/>
        <w:autoSpaceDE/>
        <w:autoSpaceDN/>
        <w:bidi w:val="0"/>
        <w:adjustRightInd/>
        <w:spacing w:line="400" w:lineRule="exact"/>
        <w:ind w:firstLine="643"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b/>
          <w:bCs/>
          <w:color w:val="auto"/>
          <w:sz w:val="32"/>
          <w:szCs w:val="32"/>
          <w:highlight w:val="none"/>
          <w:lang w:val="en-US" w:eastAsia="zh-CN"/>
        </w:rPr>
        <w:t>第四条</w:t>
      </w:r>
      <w:r>
        <w:rPr>
          <w:rFonts w:hint="default" w:ascii="Times New Roman" w:hAnsi="Times New Roman" w:eastAsia="仿宋_GB2312" w:cs="Times New Roman"/>
          <w:color w:val="auto"/>
          <w:sz w:val="32"/>
          <w:szCs w:val="32"/>
          <w:highlight w:val="none"/>
          <w:lang w:val="en-US" w:eastAsia="zh-CN"/>
        </w:rPr>
        <w:t xml:space="preserve"> </w:t>
      </w:r>
      <w:r>
        <w:rPr>
          <w:rFonts w:hint="default" w:ascii="Times New Roman" w:hAnsi="Times New Roman" w:eastAsia="仿宋_GB2312" w:cs="Times New Roman"/>
          <w:color w:val="auto"/>
          <w:sz w:val="32"/>
          <w:szCs w:val="32"/>
          <w:highlight w:val="none"/>
        </w:rPr>
        <w:t>项目</w:t>
      </w:r>
      <w:r>
        <w:rPr>
          <w:rFonts w:hint="default" w:ascii="Times New Roman" w:hAnsi="Times New Roman" w:eastAsia="仿宋_GB2312" w:cs="Times New Roman"/>
          <w:color w:val="auto"/>
          <w:sz w:val="32"/>
          <w:szCs w:val="32"/>
          <w:highlight w:val="none"/>
          <w:lang w:eastAsia="zh-CN"/>
        </w:rPr>
        <w:t>结算审核</w:t>
      </w:r>
      <w:r>
        <w:rPr>
          <w:rFonts w:hint="default" w:ascii="Times New Roman" w:hAnsi="Times New Roman" w:eastAsia="仿宋_GB2312" w:cs="Times New Roman"/>
          <w:color w:val="auto"/>
          <w:sz w:val="32"/>
          <w:szCs w:val="32"/>
          <w:highlight w:val="none"/>
        </w:rPr>
        <w:t>流程</w:t>
      </w:r>
    </w:p>
    <w:p w14:paraId="70B52543">
      <w:pPr>
        <w:keepNext w:val="0"/>
        <w:keepLines w:val="0"/>
        <w:pageBreakBefore w:val="0"/>
        <w:numPr>
          <w:ilvl w:val="0"/>
          <w:numId w:val="0"/>
        </w:numPr>
        <w:kinsoku/>
        <w:wordWrap/>
        <w:overflowPunct/>
        <w:topLinePunct w:val="0"/>
        <w:autoSpaceDE/>
        <w:autoSpaceDN/>
        <w:bidi w:val="0"/>
        <w:adjustRightInd/>
        <w:spacing w:line="400" w:lineRule="exact"/>
        <w:ind w:firstLine="640"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(一）</w:t>
      </w:r>
      <w:r>
        <w:rPr>
          <w:rFonts w:hint="default" w:ascii="Times New Roman" w:hAnsi="Times New Roman" w:eastAsia="仿宋_GB2312" w:cs="Times New Roman"/>
          <w:color w:val="auto"/>
          <w:sz w:val="32"/>
          <w:szCs w:val="32"/>
          <w:highlight w:val="none"/>
          <w:lang w:eastAsia="zh-CN"/>
        </w:rPr>
        <w:t>工程</w:t>
      </w:r>
      <w:r>
        <w:rPr>
          <w:rFonts w:hint="default" w:ascii="Times New Roman" w:hAnsi="Times New Roman" w:eastAsia="仿宋_GB2312" w:cs="Times New Roman"/>
          <w:color w:val="auto"/>
          <w:sz w:val="32"/>
          <w:szCs w:val="32"/>
          <w:highlight w:val="none"/>
        </w:rPr>
        <w:t>合同价</w:t>
      </w:r>
      <w:r>
        <w:rPr>
          <w:rFonts w:hint="default" w:ascii="Times New Roman" w:hAnsi="Times New Roman" w:eastAsia="仿宋_GB2312" w:cs="Times New Roman"/>
          <w:color w:val="auto"/>
          <w:sz w:val="32"/>
          <w:szCs w:val="32"/>
          <w:highlight w:val="none"/>
          <w:lang w:eastAsia="zh-CN"/>
        </w:rPr>
        <w:t>2000</w:t>
      </w:r>
      <w:r>
        <w:rPr>
          <w:rFonts w:hint="default" w:ascii="Times New Roman" w:hAnsi="Times New Roman" w:eastAsia="仿宋_GB2312" w:cs="Times New Roman"/>
          <w:color w:val="auto"/>
          <w:sz w:val="32"/>
          <w:szCs w:val="32"/>
          <w:highlight w:val="none"/>
        </w:rPr>
        <w:t>万元及以上（绿化</w:t>
      </w:r>
      <w:r>
        <w:rPr>
          <w:rFonts w:hint="default" w:ascii="Times New Roman" w:hAnsi="Times New Roman" w:eastAsia="仿宋_GB2312" w:cs="Times New Roman"/>
          <w:color w:val="auto"/>
          <w:sz w:val="32"/>
          <w:szCs w:val="32"/>
          <w:highlight w:val="none"/>
          <w:lang w:eastAsia="zh-CN"/>
        </w:rPr>
        <w:t>、园林景观1000</w:t>
      </w:r>
      <w:r>
        <w:rPr>
          <w:rFonts w:hint="default" w:ascii="Times New Roman" w:hAnsi="Times New Roman" w:eastAsia="仿宋_GB2312" w:cs="Times New Roman"/>
          <w:color w:val="auto"/>
          <w:sz w:val="32"/>
          <w:szCs w:val="32"/>
          <w:highlight w:val="none"/>
        </w:rPr>
        <w:t>万元及以上）项目</w:t>
      </w:r>
    </w:p>
    <w:p w14:paraId="0BB590B2">
      <w:pPr>
        <w:keepNext w:val="0"/>
        <w:keepLines w:val="0"/>
        <w:pageBreakBefore w:val="0"/>
        <w:kinsoku/>
        <w:wordWrap/>
        <w:overflowPunct/>
        <w:topLinePunct w:val="0"/>
        <w:autoSpaceDE/>
        <w:autoSpaceDN/>
        <w:bidi w:val="0"/>
        <w:adjustRightInd/>
        <w:spacing w:line="40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lang w:eastAsia="zh-CN"/>
        </w:rPr>
        <w:t>施工单位向跟踪审计单位报送结算资料</w:t>
      </w:r>
      <w:r>
        <w:rPr>
          <w:rFonts w:hint="default" w:ascii="Times New Roman" w:hAnsi="Times New Roman" w:eastAsia="仿宋_GB2312" w:cs="Times New Roman"/>
          <w:color w:val="auto"/>
          <w:sz w:val="32"/>
          <w:szCs w:val="32"/>
          <w:highlight w:val="none"/>
        </w:rPr>
        <w:t>→跟踪审计单位出具</w:t>
      </w:r>
      <w:r>
        <w:rPr>
          <w:rFonts w:hint="default" w:ascii="Times New Roman" w:hAnsi="Times New Roman" w:eastAsia="仿宋_GB2312" w:cs="Times New Roman"/>
          <w:color w:val="auto"/>
          <w:sz w:val="32"/>
          <w:szCs w:val="32"/>
          <w:highlight w:val="none"/>
          <w:lang w:eastAsia="zh-CN"/>
        </w:rPr>
        <w:t>结算审核</w:t>
      </w:r>
      <w:r>
        <w:rPr>
          <w:rFonts w:hint="default" w:ascii="Times New Roman" w:hAnsi="Times New Roman" w:eastAsia="仿宋_GB2312" w:cs="Times New Roman"/>
          <w:color w:val="auto"/>
          <w:sz w:val="32"/>
          <w:szCs w:val="32"/>
          <w:highlight w:val="none"/>
        </w:rPr>
        <w:t>报告→工程建设科</w:t>
      </w:r>
      <w:r>
        <w:rPr>
          <w:rFonts w:hint="default" w:ascii="Times New Roman" w:hAnsi="Times New Roman" w:eastAsia="仿宋_GB2312" w:cs="Times New Roman"/>
          <w:color w:val="auto"/>
          <w:sz w:val="32"/>
          <w:szCs w:val="32"/>
          <w:highlight w:val="none"/>
          <w:lang w:eastAsia="zh-CN"/>
        </w:rPr>
        <w:t>组织监理、跟审、设计等单位</w:t>
      </w:r>
      <w:r>
        <w:rPr>
          <w:rFonts w:hint="default" w:ascii="Times New Roman" w:hAnsi="Times New Roman" w:eastAsia="仿宋_GB2312" w:cs="Times New Roman"/>
          <w:color w:val="auto"/>
          <w:sz w:val="32"/>
          <w:szCs w:val="32"/>
          <w:highlight w:val="none"/>
        </w:rPr>
        <w:t>审查→跟踪审计单位调整</w:t>
      </w:r>
      <w:r>
        <w:rPr>
          <w:rFonts w:hint="default" w:ascii="Times New Roman" w:hAnsi="Times New Roman" w:eastAsia="仿宋_GB2312" w:cs="Times New Roman"/>
          <w:color w:val="auto"/>
          <w:sz w:val="32"/>
          <w:szCs w:val="32"/>
          <w:highlight w:val="none"/>
          <w:lang w:eastAsia="zh-CN"/>
        </w:rPr>
        <w:t>结算审核</w:t>
      </w:r>
      <w:r>
        <w:rPr>
          <w:rFonts w:hint="default" w:ascii="Times New Roman" w:hAnsi="Times New Roman" w:eastAsia="仿宋_GB2312" w:cs="Times New Roman"/>
          <w:color w:val="auto"/>
          <w:sz w:val="32"/>
          <w:szCs w:val="32"/>
          <w:highlight w:val="none"/>
        </w:rPr>
        <w:t>报告→综合计划科复核→跟踪审计单位</w:t>
      </w:r>
      <w:r>
        <w:rPr>
          <w:rFonts w:hint="default" w:ascii="Times New Roman" w:hAnsi="Times New Roman" w:eastAsia="仿宋_GB2312" w:cs="Times New Roman"/>
          <w:color w:val="auto"/>
          <w:sz w:val="32"/>
          <w:szCs w:val="32"/>
          <w:highlight w:val="none"/>
          <w:lang w:eastAsia="zh-CN"/>
        </w:rPr>
        <w:t>定稿结算审核</w:t>
      </w:r>
      <w:r>
        <w:rPr>
          <w:rFonts w:hint="default" w:ascii="Times New Roman" w:hAnsi="Times New Roman" w:eastAsia="仿宋_GB2312" w:cs="Times New Roman"/>
          <w:color w:val="auto"/>
          <w:sz w:val="32"/>
          <w:szCs w:val="32"/>
          <w:highlight w:val="none"/>
        </w:rPr>
        <w:t>报告→</w:t>
      </w:r>
      <w:r>
        <w:rPr>
          <w:rFonts w:hint="default" w:ascii="Times New Roman" w:hAnsi="Times New Roman" w:eastAsia="仿宋_GB2312" w:cs="Times New Roman"/>
          <w:color w:val="auto"/>
          <w:sz w:val="32"/>
          <w:szCs w:val="32"/>
          <w:highlight w:val="none"/>
          <w:lang w:eastAsia="zh-CN"/>
        </w:rPr>
        <w:t>工程建设科报</w:t>
      </w:r>
      <w:r>
        <w:rPr>
          <w:rFonts w:hint="default" w:ascii="Times New Roman" w:hAnsi="Times New Roman" w:eastAsia="仿宋_GB2312" w:cs="Times New Roman"/>
          <w:color w:val="auto"/>
          <w:sz w:val="32"/>
          <w:szCs w:val="32"/>
          <w:highlight w:val="none"/>
        </w:rPr>
        <w:t>市财政工程造价审核中心出具审核意见书并备案</w:t>
      </w:r>
      <w:r>
        <w:rPr>
          <w:rFonts w:hint="default" w:ascii="Times New Roman" w:hAnsi="Times New Roman" w:eastAsia="仿宋_GB2312" w:cs="Times New Roman"/>
          <w:color w:val="auto"/>
          <w:sz w:val="32"/>
          <w:szCs w:val="32"/>
          <w:highlight w:val="none"/>
          <w:lang w:eastAsia="zh-CN"/>
        </w:rPr>
        <w:t>存档</w:t>
      </w:r>
      <w:r>
        <w:rPr>
          <w:rFonts w:hint="default" w:ascii="Times New Roman" w:hAnsi="Times New Roman" w:eastAsia="仿宋_GB2312" w:cs="Times New Roman"/>
          <w:color w:val="auto"/>
          <w:sz w:val="32"/>
          <w:szCs w:val="32"/>
          <w:highlight w:val="none"/>
        </w:rPr>
        <w:t>。</w:t>
      </w:r>
    </w:p>
    <w:p w14:paraId="170F4BE5">
      <w:pPr>
        <w:keepNext w:val="0"/>
        <w:keepLines w:val="0"/>
        <w:pageBreakBefore w:val="0"/>
        <w:kinsoku/>
        <w:wordWrap/>
        <w:overflowPunct/>
        <w:topLinePunct w:val="0"/>
        <w:autoSpaceDE/>
        <w:autoSpaceDN/>
        <w:bidi w:val="0"/>
        <w:adjustRightInd/>
        <w:spacing w:line="40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eastAsia="zh-CN"/>
        </w:rPr>
        <w:t>二</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eastAsia="zh-CN"/>
        </w:rPr>
        <w:t>工程</w:t>
      </w:r>
      <w:r>
        <w:rPr>
          <w:rFonts w:hint="default" w:ascii="Times New Roman" w:hAnsi="Times New Roman" w:eastAsia="仿宋_GB2312" w:cs="Times New Roman"/>
          <w:color w:val="auto"/>
          <w:sz w:val="32"/>
          <w:szCs w:val="32"/>
          <w:highlight w:val="none"/>
        </w:rPr>
        <w:t>合同价</w:t>
      </w:r>
      <w:r>
        <w:rPr>
          <w:rFonts w:hint="default" w:ascii="Times New Roman" w:hAnsi="Times New Roman" w:eastAsia="仿宋_GB2312" w:cs="Times New Roman"/>
          <w:color w:val="auto"/>
          <w:sz w:val="32"/>
          <w:szCs w:val="32"/>
          <w:highlight w:val="none"/>
          <w:lang w:eastAsia="zh-CN"/>
        </w:rPr>
        <w:t>200</w:t>
      </w:r>
      <w:r>
        <w:rPr>
          <w:rFonts w:hint="default" w:ascii="Times New Roman" w:hAnsi="Times New Roman" w:eastAsia="仿宋_GB2312" w:cs="Times New Roman"/>
          <w:color w:val="auto"/>
          <w:sz w:val="32"/>
          <w:szCs w:val="32"/>
          <w:highlight w:val="none"/>
        </w:rPr>
        <w:t>万元（绿化</w:t>
      </w:r>
      <w:r>
        <w:rPr>
          <w:rFonts w:hint="default" w:ascii="Times New Roman" w:hAnsi="Times New Roman" w:eastAsia="仿宋_GB2312" w:cs="Times New Roman"/>
          <w:color w:val="auto"/>
          <w:sz w:val="32"/>
          <w:szCs w:val="32"/>
          <w:highlight w:val="none"/>
          <w:lang w:eastAsia="zh-CN"/>
        </w:rPr>
        <w:t>、园林景观100</w:t>
      </w:r>
      <w:r>
        <w:rPr>
          <w:rFonts w:hint="default" w:ascii="Times New Roman" w:hAnsi="Times New Roman" w:eastAsia="仿宋_GB2312" w:cs="Times New Roman"/>
          <w:color w:val="auto"/>
          <w:sz w:val="32"/>
          <w:szCs w:val="32"/>
          <w:highlight w:val="none"/>
        </w:rPr>
        <w:t>万元）及以上，</w:t>
      </w:r>
      <w:r>
        <w:rPr>
          <w:rFonts w:hint="default" w:ascii="Times New Roman" w:hAnsi="Times New Roman" w:eastAsia="仿宋_GB2312" w:cs="Times New Roman"/>
          <w:color w:val="auto"/>
          <w:sz w:val="32"/>
          <w:szCs w:val="32"/>
          <w:highlight w:val="none"/>
          <w:lang w:eastAsia="zh-CN"/>
        </w:rPr>
        <w:t>2000</w:t>
      </w:r>
      <w:r>
        <w:rPr>
          <w:rFonts w:hint="default" w:ascii="Times New Roman" w:hAnsi="Times New Roman" w:eastAsia="仿宋_GB2312" w:cs="Times New Roman"/>
          <w:color w:val="auto"/>
          <w:sz w:val="32"/>
          <w:szCs w:val="32"/>
          <w:highlight w:val="none"/>
        </w:rPr>
        <w:t>万元（绿化</w:t>
      </w:r>
      <w:r>
        <w:rPr>
          <w:rFonts w:hint="default" w:ascii="Times New Roman" w:hAnsi="Times New Roman" w:eastAsia="仿宋_GB2312" w:cs="Times New Roman"/>
          <w:color w:val="auto"/>
          <w:sz w:val="32"/>
          <w:szCs w:val="32"/>
          <w:highlight w:val="none"/>
          <w:lang w:eastAsia="zh-CN"/>
        </w:rPr>
        <w:t>、园林景观1000</w:t>
      </w:r>
      <w:r>
        <w:rPr>
          <w:rFonts w:hint="default" w:ascii="Times New Roman" w:hAnsi="Times New Roman" w:eastAsia="仿宋_GB2312" w:cs="Times New Roman"/>
          <w:color w:val="auto"/>
          <w:sz w:val="32"/>
          <w:szCs w:val="32"/>
          <w:highlight w:val="none"/>
        </w:rPr>
        <w:t>万元）以下项目</w:t>
      </w:r>
    </w:p>
    <w:p w14:paraId="64AAF5EA">
      <w:pPr>
        <w:keepNext w:val="0"/>
        <w:keepLines w:val="0"/>
        <w:pageBreakBefore w:val="0"/>
        <w:kinsoku/>
        <w:wordWrap/>
        <w:overflowPunct/>
        <w:topLinePunct w:val="0"/>
        <w:autoSpaceDE/>
        <w:autoSpaceDN/>
        <w:bidi w:val="0"/>
        <w:adjustRightInd/>
        <w:spacing w:line="40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lang w:eastAsia="zh-CN"/>
        </w:rPr>
        <w:t>施工单位向跟踪审计单位报送结算资料</w:t>
      </w:r>
      <w:r>
        <w:rPr>
          <w:rFonts w:hint="default" w:ascii="Times New Roman" w:hAnsi="Times New Roman" w:eastAsia="仿宋_GB2312" w:cs="Times New Roman"/>
          <w:color w:val="auto"/>
          <w:sz w:val="32"/>
          <w:szCs w:val="32"/>
          <w:highlight w:val="none"/>
        </w:rPr>
        <w:t>→跟踪审计单位出具</w:t>
      </w:r>
      <w:r>
        <w:rPr>
          <w:rFonts w:hint="default" w:ascii="Times New Roman" w:hAnsi="Times New Roman" w:eastAsia="仿宋_GB2312" w:cs="Times New Roman"/>
          <w:color w:val="auto"/>
          <w:sz w:val="32"/>
          <w:szCs w:val="32"/>
          <w:highlight w:val="none"/>
          <w:lang w:eastAsia="zh-CN"/>
        </w:rPr>
        <w:t>结算审核</w:t>
      </w:r>
      <w:r>
        <w:rPr>
          <w:rFonts w:hint="default" w:ascii="Times New Roman" w:hAnsi="Times New Roman" w:eastAsia="仿宋_GB2312" w:cs="Times New Roman"/>
          <w:color w:val="auto"/>
          <w:sz w:val="32"/>
          <w:szCs w:val="32"/>
          <w:highlight w:val="none"/>
        </w:rPr>
        <w:t>报告→工程建设科</w:t>
      </w:r>
      <w:r>
        <w:rPr>
          <w:rFonts w:hint="default" w:ascii="Times New Roman" w:hAnsi="Times New Roman" w:eastAsia="仿宋_GB2312" w:cs="Times New Roman"/>
          <w:color w:val="auto"/>
          <w:sz w:val="32"/>
          <w:szCs w:val="32"/>
          <w:highlight w:val="none"/>
          <w:lang w:eastAsia="zh-CN"/>
        </w:rPr>
        <w:t>组织监理、跟审、设计等单位</w:t>
      </w:r>
      <w:r>
        <w:rPr>
          <w:rFonts w:hint="default" w:ascii="Times New Roman" w:hAnsi="Times New Roman" w:eastAsia="仿宋_GB2312" w:cs="Times New Roman"/>
          <w:color w:val="auto"/>
          <w:sz w:val="32"/>
          <w:szCs w:val="32"/>
          <w:highlight w:val="none"/>
        </w:rPr>
        <w:t>审查→跟踪审计单位调整</w:t>
      </w:r>
      <w:r>
        <w:rPr>
          <w:rFonts w:hint="default" w:ascii="Times New Roman" w:hAnsi="Times New Roman" w:eastAsia="仿宋_GB2312" w:cs="Times New Roman"/>
          <w:color w:val="auto"/>
          <w:sz w:val="32"/>
          <w:szCs w:val="32"/>
          <w:highlight w:val="none"/>
          <w:lang w:eastAsia="zh-CN"/>
        </w:rPr>
        <w:t>结算审核</w:t>
      </w:r>
      <w:r>
        <w:rPr>
          <w:rFonts w:hint="default" w:ascii="Times New Roman" w:hAnsi="Times New Roman" w:eastAsia="仿宋_GB2312" w:cs="Times New Roman"/>
          <w:color w:val="auto"/>
          <w:sz w:val="32"/>
          <w:szCs w:val="32"/>
          <w:highlight w:val="none"/>
        </w:rPr>
        <w:t>报告→综合计划科委托第三方</w:t>
      </w:r>
      <w:r>
        <w:rPr>
          <w:rFonts w:hint="default" w:ascii="Times New Roman" w:hAnsi="Times New Roman" w:eastAsia="仿宋_GB2312" w:cs="Times New Roman"/>
          <w:color w:val="auto"/>
          <w:sz w:val="32"/>
          <w:szCs w:val="32"/>
          <w:highlight w:val="none"/>
          <w:lang w:eastAsia="zh-CN"/>
        </w:rPr>
        <w:t>复审单位</w:t>
      </w:r>
      <w:r>
        <w:rPr>
          <w:rFonts w:hint="default" w:ascii="Times New Roman" w:hAnsi="Times New Roman" w:eastAsia="仿宋_GB2312" w:cs="Times New Roman"/>
          <w:color w:val="auto"/>
          <w:sz w:val="32"/>
          <w:szCs w:val="32"/>
          <w:highlight w:val="none"/>
        </w:rPr>
        <w:t>审核并出具结算审</w:t>
      </w:r>
      <w:r>
        <w:rPr>
          <w:rFonts w:hint="default" w:ascii="Times New Roman" w:hAnsi="Times New Roman" w:eastAsia="仿宋_GB2312" w:cs="Times New Roman"/>
          <w:color w:val="auto"/>
          <w:sz w:val="32"/>
          <w:szCs w:val="32"/>
          <w:highlight w:val="none"/>
          <w:lang w:eastAsia="zh-CN"/>
        </w:rPr>
        <w:t>（复）核</w:t>
      </w:r>
      <w:r>
        <w:rPr>
          <w:rFonts w:hint="default" w:ascii="Times New Roman" w:hAnsi="Times New Roman" w:eastAsia="仿宋_GB2312" w:cs="Times New Roman"/>
          <w:color w:val="auto"/>
          <w:sz w:val="32"/>
          <w:szCs w:val="32"/>
          <w:highlight w:val="none"/>
        </w:rPr>
        <w:t>报告→综合计划科复核→第三方</w:t>
      </w:r>
      <w:r>
        <w:rPr>
          <w:rFonts w:hint="default" w:ascii="Times New Roman" w:hAnsi="Times New Roman" w:eastAsia="仿宋_GB2312" w:cs="Times New Roman"/>
          <w:color w:val="auto"/>
          <w:sz w:val="32"/>
          <w:szCs w:val="32"/>
          <w:highlight w:val="none"/>
          <w:lang w:eastAsia="zh-CN"/>
        </w:rPr>
        <w:t>复审单位</w:t>
      </w:r>
      <w:r>
        <w:rPr>
          <w:rFonts w:hint="default" w:ascii="Times New Roman" w:hAnsi="Times New Roman" w:eastAsia="仿宋_GB2312" w:cs="Times New Roman"/>
          <w:color w:val="auto"/>
          <w:sz w:val="32"/>
          <w:szCs w:val="32"/>
          <w:highlight w:val="none"/>
        </w:rPr>
        <w:t>调整结算审</w:t>
      </w:r>
      <w:r>
        <w:rPr>
          <w:rFonts w:hint="default" w:ascii="Times New Roman" w:hAnsi="Times New Roman" w:eastAsia="仿宋_GB2312" w:cs="Times New Roman"/>
          <w:color w:val="auto"/>
          <w:sz w:val="32"/>
          <w:szCs w:val="32"/>
          <w:highlight w:val="none"/>
          <w:lang w:eastAsia="zh-CN"/>
        </w:rPr>
        <w:t>（复）核</w:t>
      </w:r>
      <w:r>
        <w:rPr>
          <w:rFonts w:hint="default" w:ascii="Times New Roman" w:hAnsi="Times New Roman" w:eastAsia="仿宋_GB2312" w:cs="Times New Roman"/>
          <w:color w:val="auto"/>
          <w:sz w:val="32"/>
          <w:szCs w:val="32"/>
          <w:highlight w:val="none"/>
        </w:rPr>
        <w:t>报告→</w:t>
      </w:r>
      <w:r>
        <w:rPr>
          <w:rFonts w:hint="default" w:ascii="Times New Roman" w:hAnsi="Times New Roman" w:eastAsia="仿宋_GB2312" w:cs="Times New Roman"/>
          <w:color w:val="auto"/>
          <w:sz w:val="32"/>
          <w:szCs w:val="32"/>
          <w:highlight w:val="none"/>
          <w:lang w:eastAsia="zh-CN"/>
        </w:rPr>
        <w:t>工程建设科</w:t>
      </w:r>
      <w:r>
        <w:rPr>
          <w:rFonts w:hint="default" w:ascii="Times New Roman" w:hAnsi="Times New Roman" w:eastAsia="仿宋_GB2312" w:cs="Times New Roman"/>
          <w:color w:val="auto"/>
          <w:sz w:val="32"/>
          <w:szCs w:val="32"/>
          <w:highlight w:val="none"/>
        </w:rPr>
        <w:t>备案</w:t>
      </w:r>
      <w:r>
        <w:rPr>
          <w:rFonts w:hint="default" w:ascii="Times New Roman" w:hAnsi="Times New Roman" w:eastAsia="仿宋_GB2312" w:cs="Times New Roman"/>
          <w:color w:val="auto"/>
          <w:sz w:val="32"/>
          <w:szCs w:val="32"/>
          <w:highlight w:val="none"/>
          <w:lang w:eastAsia="zh-CN"/>
        </w:rPr>
        <w:t>存档</w:t>
      </w:r>
      <w:r>
        <w:rPr>
          <w:rFonts w:hint="default" w:ascii="Times New Roman" w:hAnsi="Times New Roman" w:eastAsia="仿宋_GB2312" w:cs="Times New Roman"/>
          <w:color w:val="auto"/>
          <w:sz w:val="32"/>
          <w:szCs w:val="32"/>
          <w:highlight w:val="none"/>
        </w:rPr>
        <w:t>。</w:t>
      </w:r>
    </w:p>
    <w:p w14:paraId="6EFC5AC6">
      <w:pPr>
        <w:keepNext w:val="0"/>
        <w:keepLines w:val="0"/>
        <w:pageBreakBefore w:val="0"/>
        <w:kinsoku/>
        <w:wordWrap/>
        <w:overflowPunct/>
        <w:topLinePunct w:val="0"/>
        <w:autoSpaceDE/>
        <w:autoSpaceDN/>
        <w:bidi w:val="0"/>
        <w:adjustRightInd/>
        <w:spacing w:line="400" w:lineRule="exact"/>
        <w:ind w:left="0" w:leftChars="0" w:firstLine="640" w:firstLineChars="200"/>
        <w:jc w:val="left"/>
        <w:textAlignment w:val="auto"/>
        <w:outlineLvl w:val="0"/>
        <w:rPr>
          <w:rFonts w:hint="default" w:ascii="Times New Roman" w:hAnsi="Times New Roman" w:eastAsia="仿宋_GB2312" w:cs="Times New Roman"/>
          <w:color w:val="auto"/>
          <w:sz w:val="32"/>
          <w:szCs w:val="32"/>
          <w:highlight w:val="none"/>
        </w:rPr>
      </w:pPr>
      <w:bookmarkStart w:id="68" w:name="_Toc2443"/>
      <w:r>
        <w:rPr>
          <w:rFonts w:hint="default" w:ascii="Times New Roman" w:hAnsi="Times New Roman" w:eastAsia="仿宋_GB2312" w:cs="Times New Roman"/>
          <w:color w:val="auto"/>
          <w:sz w:val="32"/>
          <w:szCs w:val="32"/>
          <w:highlight w:val="none"/>
        </w:rPr>
        <w:t>（三）</w:t>
      </w:r>
      <w:r>
        <w:rPr>
          <w:rFonts w:hint="default" w:ascii="Times New Roman" w:hAnsi="Times New Roman" w:eastAsia="仿宋_GB2312" w:cs="Times New Roman"/>
          <w:color w:val="auto"/>
          <w:sz w:val="32"/>
          <w:szCs w:val="32"/>
          <w:highlight w:val="none"/>
          <w:lang w:eastAsia="zh-CN"/>
        </w:rPr>
        <w:t>工程</w:t>
      </w:r>
      <w:r>
        <w:rPr>
          <w:rFonts w:hint="default" w:ascii="Times New Roman" w:hAnsi="Times New Roman" w:eastAsia="仿宋_GB2312" w:cs="Times New Roman"/>
          <w:color w:val="auto"/>
          <w:sz w:val="32"/>
          <w:szCs w:val="32"/>
          <w:highlight w:val="none"/>
        </w:rPr>
        <w:t>合同价</w:t>
      </w:r>
      <w:r>
        <w:rPr>
          <w:rFonts w:hint="default" w:ascii="Times New Roman" w:hAnsi="Times New Roman" w:eastAsia="仿宋_GB2312" w:cs="Times New Roman"/>
          <w:color w:val="auto"/>
          <w:sz w:val="32"/>
          <w:szCs w:val="32"/>
          <w:highlight w:val="none"/>
          <w:lang w:eastAsia="zh-CN"/>
        </w:rPr>
        <w:t>200</w:t>
      </w:r>
      <w:r>
        <w:rPr>
          <w:rFonts w:hint="default" w:ascii="Times New Roman" w:hAnsi="Times New Roman" w:eastAsia="仿宋_GB2312" w:cs="Times New Roman"/>
          <w:color w:val="auto"/>
          <w:sz w:val="32"/>
          <w:szCs w:val="32"/>
          <w:highlight w:val="none"/>
        </w:rPr>
        <w:t>万元（绿化</w:t>
      </w:r>
      <w:r>
        <w:rPr>
          <w:rFonts w:hint="default" w:ascii="Times New Roman" w:hAnsi="Times New Roman" w:eastAsia="仿宋_GB2312" w:cs="Times New Roman"/>
          <w:color w:val="auto"/>
          <w:sz w:val="32"/>
          <w:szCs w:val="32"/>
          <w:highlight w:val="none"/>
          <w:lang w:eastAsia="zh-CN"/>
        </w:rPr>
        <w:t>、园林景观100</w:t>
      </w:r>
      <w:r>
        <w:rPr>
          <w:rFonts w:hint="default" w:ascii="Times New Roman" w:hAnsi="Times New Roman" w:eastAsia="仿宋_GB2312" w:cs="Times New Roman"/>
          <w:color w:val="auto"/>
          <w:sz w:val="32"/>
          <w:szCs w:val="32"/>
          <w:highlight w:val="none"/>
        </w:rPr>
        <w:t>万元）以下项目</w:t>
      </w:r>
      <w:bookmarkEnd w:id="68"/>
    </w:p>
    <w:p w14:paraId="3A34358A">
      <w:pPr>
        <w:keepNext w:val="0"/>
        <w:keepLines w:val="0"/>
        <w:pageBreakBefore w:val="0"/>
        <w:kinsoku/>
        <w:wordWrap/>
        <w:overflowPunct/>
        <w:topLinePunct w:val="0"/>
        <w:autoSpaceDE/>
        <w:autoSpaceDN/>
        <w:bidi w:val="0"/>
        <w:adjustRightInd/>
        <w:spacing w:line="40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lang w:eastAsia="zh-CN"/>
        </w:rPr>
        <w:t>施工单位向跟踪审计单位报送结算资料</w:t>
      </w:r>
      <w:r>
        <w:rPr>
          <w:rFonts w:hint="default" w:ascii="Times New Roman" w:hAnsi="Times New Roman" w:eastAsia="仿宋_GB2312" w:cs="Times New Roman"/>
          <w:color w:val="auto"/>
          <w:sz w:val="32"/>
          <w:szCs w:val="32"/>
          <w:highlight w:val="none"/>
        </w:rPr>
        <w:t>→跟踪审计单位出具</w:t>
      </w:r>
      <w:r>
        <w:rPr>
          <w:rFonts w:hint="default" w:ascii="Times New Roman" w:hAnsi="Times New Roman" w:eastAsia="仿宋_GB2312" w:cs="Times New Roman"/>
          <w:color w:val="auto"/>
          <w:sz w:val="32"/>
          <w:szCs w:val="32"/>
          <w:highlight w:val="none"/>
          <w:lang w:eastAsia="zh-CN"/>
        </w:rPr>
        <w:t>结算审核</w:t>
      </w:r>
      <w:r>
        <w:rPr>
          <w:rFonts w:hint="default" w:ascii="Times New Roman" w:hAnsi="Times New Roman" w:eastAsia="仿宋_GB2312" w:cs="Times New Roman"/>
          <w:color w:val="auto"/>
          <w:sz w:val="32"/>
          <w:szCs w:val="32"/>
          <w:highlight w:val="none"/>
        </w:rPr>
        <w:t>报告→工程建设科</w:t>
      </w:r>
      <w:r>
        <w:rPr>
          <w:rFonts w:hint="default" w:ascii="Times New Roman" w:hAnsi="Times New Roman" w:eastAsia="仿宋_GB2312" w:cs="Times New Roman"/>
          <w:color w:val="auto"/>
          <w:sz w:val="32"/>
          <w:szCs w:val="32"/>
          <w:highlight w:val="none"/>
          <w:lang w:eastAsia="zh-CN"/>
        </w:rPr>
        <w:t>组织监理、跟审、设计等单位</w:t>
      </w:r>
      <w:r>
        <w:rPr>
          <w:rFonts w:hint="default" w:ascii="Times New Roman" w:hAnsi="Times New Roman" w:eastAsia="仿宋_GB2312" w:cs="Times New Roman"/>
          <w:color w:val="auto"/>
          <w:sz w:val="32"/>
          <w:szCs w:val="32"/>
          <w:highlight w:val="none"/>
        </w:rPr>
        <w:t>审查→综合计划科复核→跟踪审计单位调整</w:t>
      </w:r>
      <w:r>
        <w:rPr>
          <w:rFonts w:hint="default" w:ascii="Times New Roman" w:hAnsi="Times New Roman" w:eastAsia="仿宋_GB2312" w:cs="Times New Roman"/>
          <w:color w:val="auto"/>
          <w:sz w:val="32"/>
          <w:szCs w:val="32"/>
          <w:highlight w:val="none"/>
          <w:lang w:eastAsia="zh-CN"/>
        </w:rPr>
        <w:t>结算审核</w:t>
      </w:r>
      <w:r>
        <w:rPr>
          <w:rFonts w:hint="default" w:ascii="Times New Roman" w:hAnsi="Times New Roman" w:eastAsia="仿宋_GB2312" w:cs="Times New Roman"/>
          <w:color w:val="auto"/>
          <w:sz w:val="32"/>
          <w:szCs w:val="32"/>
          <w:highlight w:val="none"/>
        </w:rPr>
        <w:t>报告→</w:t>
      </w:r>
      <w:r>
        <w:rPr>
          <w:rFonts w:hint="default" w:ascii="Times New Roman" w:hAnsi="Times New Roman" w:eastAsia="仿宋_GB2312" w:cs="Times New Roman"/>
          <w:color w:val="auto"/>
          <w:sz w:val="32"/>
          <w:szCs w:val="32"/>
          <w:highlight w:val="none"/>
          <w:lang w:eastAsia="zh-CN"/>
        </w:rPr>
        <w:t>工程建设科</w:t>
      </w:r>
      <w:r>
        <w:rPr>
          <w:rFonts w:hint="default" w:ascii="Times New Roman" w:hAnsi="Times New Roman" w:eastAsia="仿宋_GB2312" w:cs="Times New Roman"/>
          <w:color w:val="auto"/>
          <w:sz w:val="32"/>
          <w:szCs w:val="32"/>
          <w:highlight w:val="none"/>
        </w:rPr>
        <w:t>备案</w:t>
      </w:r>
      <w:r>
        <w:rPr>
          <w:rFonts w:hint="default" w:ascii="Times New Roman" w:hAnsi="Times New Roman" w:eastAsia="仿宋_GB2312" w:cs="Times New Roman"/>
          <w:color w:val="auto"/>
          <w:sz w:val="32"/>
          <w:szCs w:val="32"/>
          <w:highlight w:val="none"/>
          <w:lang w:eastAsia="zh-CN"/>
        </w:rPr>
        <w:t>存档</w:t>
      </w:r>
      <w:r>
        <w:rPr>
          <w:rFonts w:hint="default" w:ascii="Times New Roman" w:hAnsi="Times New Roman" w:eastAsia="仿宋_GB2312" w:cs="Times New Roman"/>
          <w:color w:val="auto"/>
          <w:sz w:val="32"/>
          <w:szCs w:val="32"/>
          <w:highlight w:val="none"/>
        </w:rPr>
        <w:t>。</w:t>
      </w:r>
    </w:p>
    <w:p w14:paraId="7352322F">
      <w:pPr>
        <w:pStyle w:val="44"/>
        <w:keepNext w:val="0"/>
        <w:keepLines w:val="0"/>
        <w:pageBreakBefore w:val="0"/>
        <w:kinsoku/>
        <w:wordWrap/>
        <w:overflowPunct/>
        <w:topLinePunct w:val="0"/>
        <w:autoSpaceDE/>
        <w:autoSpaceDN/>
        <w:bidi w:val="0"/>
        <w:adjustRightInd/>
        <w:spacing w:line="400" w:lineRule="exact"/>
        <w:ind w:left="0" w:leftChars="0" w:firstLine="640" w:firstLineChars="200"/>
        <w:textAlignment w:val="auto"/>
        <w:rPr>
          <w:rFonts w:hint="default" w:ascii="Times New Roman" w:hAnsi="Times New Roman" w:cs="Times New Roman"/>
          <w:color w:val="auto"/>
          <w:sz w:val="32"/>
          <w:szCs w:val="32"/>
          <w:highlight w:val="none"/>
        </w:rPr>
      </w:pPr>
      <w:r>
        <w:rPr>
          <w:rFonts w:hint="default" w:ascii="Times New Roman" w:hAnsi="Times New Roman" w:eastAsia="仿宋_GB2312" w:cs="Times New Roman"/>
          <w:color w:val="auto"/>
          <w:sz w:val="32"/>
          <w:szCs w:val="32"/>
          <w:highlight w:val="none"/>
          <w:lang w:eastAsia="zh-CN"/>
        </w:rPr>
        <w:t>上述限额标准根据市财政局规定同步调整。</w:t>
      </w:r>
    </w:p>
    <w:p w14:paraId="5FD0FE65">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9"/>
        <w:rPr>
          <w:rFonts w:hint="default" w:ascii="Times New Roman" w:hAnsi="Times New Roman" w:eastAsia="黑体" w:cs="Times New Roman"/>
          <w:color w:val="auto"/>
          <w:kern w:val="36"/>
          <w:sz w:val="32"/>
          <w:szCs w:val="32"/>
          <w:highlight w:val="none"/>
        </w:rPr>
      </w:pPr>
      <w:r>
        <w:rPr>
          <w:rFonts w:hint="default" w:ascii="Times New Roman" w:hAnsi="Times New Roman" w:eastAsia="黑体" w:cs="Times New Roman"/>
          <w:color w:val="auto"/>
          <w:sz w:val="32"/>
          <w:szCs w:val="32"/>
          <w:highlight w:val="none"/>
        </w:rPr>
        <w:t>第三章 业务委托</w:t>
      </w:r>
    </w:p>
    <w:p w14:paraId="64705A60">
      <w:pPr>
        <w:keepNext w:val="0"/>
        <w:keepLines w:val="0"/>
        <w:pageBreakBefore w:val="0"/>
        <w:kinsoku/>
        <w:wordWrap/>
        <w:overflowPunct/>
        <w:topLinePunct w:val="0"/>
        <w:autoSpaceDE/>
        <w:autoSpaceDN/>
        <w:bidi w:val="0"/>
        <w:adjustRightInd/>
        <w:spacing w:line="400" w:lineRule="exact"/>
        <w:ind w:left="0" w:leftChars="0" w:firstLine="643" w:firstLineChars="200"/>
        <w:jc w:val="left"/>
        <w:textAlignment w:val="auto"/>
        <w:rPr>
          <w:rFonts w:hint="default" w:ascii="Times New Roman" w:hAnsi="Times New Roman" w:eastAsia="仿宋_GB2312" w:cs="Times New Roman"/>
          <w:b/>
          <w:color w:val="auto"/>
          <w:sz w:val="32"/>
          <w:szCs w:val="32"/>
          <w:highlight w:val="none"/>
        </w:rPr>
      </w:pPr>
      <w:r>
        <w:rPr>
          <w:rFonts w:hint="default" w:ascii="Times New Roman" w:hAnsi="Times New Roman" w:eastAsia="仿宋_GB2312" w:cs="Times New Roman"/>
          <w:b/>
          <w:bCs/>
          <w:color w:val="auto"/>
          <w:sz w:val="32"/>
          <w:szCs w:val="32"/>
          <w:highlight w:val="none"/>
        </w:rPr>
        <w:t>第</w:t>
      </w:r>
      <w:r>
        <w:rPr>
          <w:rFonts w:hint="eastAsia" w:eastAsia="仿宋_GB2312" w:cs="Times New Roman"/>
          <w:b/>
          <w:bCs/>
          <w:color w:val="auto"/>
          <w:sz w:val="32"/>
          <w:szCs w:val="32"/>
          <w:highlight w:val="none"/>
          <w:lang w:val="en-US" w:eastAsia="zh-CN"/>
        </w:rPr>
        <w:t>五</w:t>
      </w:r>
      <w:r>
        <w:rPr>
          <w:rFonts w:hint="default" w:ascii="Times New Roman" w:hAnsi="Times New Roman" w:eastAsia="仿宋_GB2312" w:cs="Times New Roman"/>
          <w:b/>
          <w:bCs/>
          <w:color w:val="auto"/>
          <w:sz w:val="32"/>
          <w:szCs w:val="32"/>
          <w:highlight w:val="none"/>
        </w:rPr>
        <w:t>条</w:t>
      </w:r>
      <w:r>
        <w:rPr>
          <w:rFonts w:hint="default" w:ascii="Times New Roman" w:hAnsi="Times New Roman" w:eastAsia="仿宋_GB2312" w:cs="Times New Roman"/>
          <w:color w:val="auto"/>
          <w:sz w:val="32"/>
          <w:szCs w:val="32"/>
          <w:highlight w:val="none"/>
        </w:rPr>
        <w:t xml:space="preserve"> </w:t>
      </w:r>
      <w:r>
        <w:rPr>
          <w:rFonts w:hint="default" w:ascii="Times New Roman" w:hAnsi="Times New Roman" w:eastAsia="仿宋_GB2312" w:cs="Times New Roman"/>
          <w:color w:val="auto"/>
          <w:sz w:val="32"/>
          <w:szCs w:val="32"/>
          <w:highlight w:val="none"/>
          <w:lang w:val="en-US" w:eastAsia="zh-CN"/>
        </w:rPr>
        <w:t xml:space="preserve"> </w:t>
      </w:r>
      <w:r>
        <w:rPr>
          <w:rFonts w:hint="default" w:ascii="Times New Roman" w:hAnsi="Times New Roman" w:eastAsia="仿宋_GB2312" w:cs="Times New Roman"/>
          <w:color w:val="auto"/>
          <w:sz w:val="32"/>
          <w:szCs w:val="32"/>
          <w:highlight w:val="none"/>
        </w:rPr>
        <w:t>公开方式</w:t>
      </w:r>
    </w:p>
    <w:p w14:paraId="57505266">
      <w:pPr>
        <w:keepNext w:val="0"/>
        <w:keepLines w:val="0"/>
        <w:pageBreakBefore w:val="0"/>
        <w:kinsoku/>
        <w:wordWrap/>
        <w:overflowPunct/>
        <w:topLinePunct w:val="0"/>
        <w:autoSpaceDE/>
        <w:autoSpaceDN/>
        <w:bidi w:val="0"/>
        <w:adjustRightInd/>
        <w:spacing w:line="400" w:lineRule="exact"/>
        <w:ind w:left="0" w:leftChars="0" w:firstLine="640" w:firstLineChars="200"/>
        <w:jc w:val="left"/>
        <w:textAlignment w:val="auto"/>
        <w:rPr>
          <w:rFonts w:hint="default" w:ascii="Times New Roman" w:hAnsi="Times New Roman" w:eastAsia="仿宋_GB2312" w:cs="Times New Roman"/>
          <w:b/>
          <w:color w:val="auto"/>
          <w:sz w:val="32"/>
          <w:szCs w:val="32"/>
          <w:highlight w:val="none"/>
        </w:rPr>
      </w:pPr>
      <w:r>
        <w:rPr>
          <w:rFonts w:hint="default" w:ascii="Times New Roman" w:hAnsi="Times New Roman" w:eastAsia="仿宋_GB2312" w:cs="Times New Roman"/>
          <w:color w:val="auto"/>
          <w:sz w:val="32"/>
          <w:szCs w:val="32"/>
          <w:highlight w:val="none"/>
        </w:rPr>
        <w:t>(一)</w:t>
      </w:r>
      <w:r>
        <w:rPr>
          <w:rFonts w:hint="default" w:ascii="Times New Roman" w:hAnsi="Times New Roman" w:eastAsia="仿宋_GB2312" w:cs="Times New Roman"/>
          <w:color w:val="auto"/>
          <w:sz w:val="32"/>
          <w:szCs w:val="32"/>
          <w:highlight w:val="none"/>
          <w:lang w:val="en-US" w:eastAsia="zh-CN"/>
        </w:rPr>
        <w:t xml:space="preserve"> </w:t>
      </w:r>
      <w:r>
        <w:rPr>
          <w:rFonts w:hint="default" w:ascii="Times New Roman" w:hAnsi="Times New Roman" w:eastAsia="仿宋_GB2312" w:cs="Times New Roman"/>
          <w:color w:val="auto"/>
          <w:sz w:val="32"/>
          <w:szCs w:val="32"/>
          <w:highlight w:val="none"/>
        </w:rPr>
        <w:t>综合计划科根据项目性质和特点，编制招标文件，经综合计划科</w:t>
      </w:r>
      <w:r>
        <w:rPr>
          <w:rFonts w:hint="default" w:ascii="Times New Roman" w:hAnsi="Times New Roman" w:eastAsia="仿宋_GB2312" w:cs="Times New Roman"/>
          <w:b w:val="0"/>
          <w:bCs w:val="0"/>
          <w:color w:val="auto"/>
          <w:sz w:val="32"/>
          <w:szCs w:val="32"/>
          <w:highlight w:val="none"/>
          <w:lang w:eastAsia="zh-CN"/>
        </w:rPr>
        <w:t>分管</w:t>
      </w:r>
      <w:r>
        <w:rPr>
          <w:rFonts w:hint="default" w:ascii="Times New Roman" w:hAnsi="Times New Roman" w:eastAsia="仿宋_GB2312" w:cs="Times New Roman"/>
          <w:b w:val="0"/>
          <w:bCs w:val="0"/>
          <w:color w:val="auto"/>
          <w:sz w:val="32"/>
          <w:szCs w:val="32"/>
          <w:highlight w:val="none"/>
        </w:rPr>
        <w:t>领导</w:t>
      </w:r>
      <w:r>
        <w:rPr>
          <w:rFonts w:hint="default" w:ascii="Times New Roman" w:hAnsi="Times New Roman" w:eastAsia="仿宋_GB2312" w:cs="Times New Roman"/>
          <w:color w:val="auto"/>
          <w:sz w:val="32"/>
          <w:szCs w:val="32"/>
          <w:highlight w:val="none"/>
        </w:rPr>
        <w:t>批准，在处门户网站公开招标。</w:t>
      </w:r>
    </w:p>
    <w:p w14:paraId="14597B4E">
      <w:pPr>
        <w:keepNext w:val="0"/>
        <w:keepLines w:val="0"/>
        <w:pageBreakBefore w:val="0"/>
        <w:kinsoku/>
        <w:wordWrap/>
        <w:overflowPunct/>
        <w:topLinePunct w:val="0"/>
        <w:autoSpaceDE/>
        <w:autoSpaceDN/>
        <w:bidi w:val="0"/>
        <w:adjustRightInd/>
        <w:spacing w:line="40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(二)</w:t>
      </w:r>
      <w:r>
        <w:rPr>
          <w:rFonts w:hint="default" w:ascii="Times New Roman" w:hAnsi="Times New Roman" w:eastAsia="仿宋_GB2312" w:cs="Times New Roman"/>
          <w:color w:val="auto"/>
          <w:sz w:val="32"/>
          <w:szCs w:val="32"/>
          <w:highlight w:val="none"/>
          <w:lang w:val="en-US" w:eastAsia="zh-CN"/>
        </w:rPr>
        <w:t xml:space="preserve"> </w:t>
      </w:r>
      <w:r>
        <w:rPr>
          <w:rFonts w:hint="default" w:ascii="Times New Roman" w:hAnsi="Times New Roman" w:eastAsia="仿宋_GB2312" w:cs="Times New Roman"/>
          <w:color w:val="auto"/>
          <w:kern w:val="0"/>
          <w:sz w:val="32"/>
          <w:szCs w:val="32"/>
          <w:highlight w:val="none"/>
        </w:rPr>
        <w:t>造价企业</w:t>
      </w:r>
      <w:r>
        <w:rPr>
          <w:rFonts w:hint="default" w:ascii="Times New Roman" w:hAnsi="Times New Roman" w:eastAsia="仿宋_GB2312" w:cs="Times New Roman"/>
          <w:color w:val="auto"/>
          <w:kern w:val="0"/>
          <w:sz w:val="32"/>
          <w:szCs w:val="32"/>
          <w:highlight w:val="none"/>
          <w:lang w:eastAsia="zh-CN"/>
        </w:rPr>
        <w:t>自主报名，递交投标文件</w:t>
      </w:r>
      <w:r>
        <w:rPr>
          <w:rFonts w:hint="default" w:ascii="Times New Roman" w:hAnsi="Times New Roman" w:eastAsia="仿宋_GB2312" w:cs="Times New Roman"/>
          <w:color w:val="auto"/>
          <w:sz w:val="32"/>
          <w:szCs w:val="32"/>
          <w:highlight w:val="none"/>
        </w:rPr>
        <w:t>。</w:t>
      </w:r>
    </w:p>
    <w:p w14:paraId="457966BD">
      <w:pPr>
        <w:keepNext w:val="0"/>
        <w:keepLines w:val="0"/>
        <w:pageBreakBefore w:val="0"/>
        <w:kinsoku/>
        <w:wordWrap/>
        <w:overflowPunct/>
        <w:topLinePunct w:val="0"/>
        <w:autoSpaceDE/>
        <w:autoSpaceDN/>
        <w:bidi w:val="0"/>
        <w:adjustRightInd/>
        <w:spacing w:line="40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(三)</w:t>
      </w:r>
      <w:r>
        <w:rPr>
          <w:rFonts w:hint="default" w:ascii="Times New Roman" w:hAnsi="Times New Roman" w:eastAsia="仿宋_GB2312" w:cs="Times New Roman"/>
          <w:color w:val="auto"/>
          <w:sz w:val="32"/>
          <w:szCs w:val="32"/>
          <w:highlight w:val="none"/>
          <w:lang w:val="en-US" w:eastAsia="zh-CN"/>
        </w:rPr>
        <w:t xml:space="preserve"> </w:t>
      </w:r>
      <w:r>
        <w:rPr>
          <w:rFonts w:hint="default" w:ascii="Times New Roman" w:hAnsi="Times New Roman" w:eastAsia="仿宋_GB2312" w:cs="Times New Roman"/>
          <w:color w:val="auto"/>
          <w:sz w:val="32"/>
          <w:szCs w:val="32"/>
          <w:highlight w:val="none"/>
        </w:rPr>
        <w:t>项目</w:t>
      </w:r>
      <w:r>
        <w:rPr>
          <w:rFonts w:hint="default" w:ascii="Times New Roman" w:hAnsi="Times New Roman" w:eastAsia="仿宋_GB2312" w:cs="Times New Roman"/>
          <w:color w:val="auto"/>
          <w:sz w:val="32"/>
          <w:szCs w:val="32"/>
          <w:highlight w:val="none"/>
          <w:lang w:eastAsia="zh-CN"/>
        </w:rPr>
        <w:t>开标时</w:t>
      </w:r>
      <w:r>
        <w:rPr>
          <w:rFonts w:hint="default" w:ascii="Times New Roman" w:hAnsi="Times New Roman" w:eastAsia="仿宋_GB2312" w:cs="Times New Roman"/>
          <w:color w:val="auto"/>
          <w:sz w:val="32"/>
          <w:szCs w:val="32"/>
          <w:highlight w:val="none"/>
        </w:rPr>
        <w:t>，综合计划科</w:t>
      </w:r>
      <w:r>
        <w:rPr>
          <w:rFonts w:hint="default" w:ascii="Times New Roman" w:hAnsi="Times New Roman" w:eastAsia="仿宋_GB2312" w:cs="Times New Roman"/>
          <w:color w:val="auto"/>
          <w:sz w:val="32"/>
          <w:szCs w:val="32"/>
          <w:highlight w:val="none"/>
          <w:lang w:eastAsia="zh-CN"/>
        </w:rPr>
        <w:t>组织资格</w:t>
      </w:r>
      <w:r>
        <w:rPr>
          <w:rFonts w:hint="default" w:ascii="Times New Roman" w:hAnsi="Times New Roman" w:eastAsia="仿宋_GB2312" w:cs="Times New Roman"/>
          <w:color w:val="auto"/>
          <w:sz w:val="32"/>
          <w:szCs w:val="32"/>
          <w:highlight w:val="none"/>
        </w:rPr>
        <w:t>审查</w:t>
      </w:r>
      <w:r>
        <w:rPr>
          <w:rFonts w:hint="default" w:ascii="Times New Roman" w:hAnsi="Times New Roman" w:eastAsia="仿宋_GB2312" w:cs="Times New Roman"/>
          <w:color w:val="auto"/>
          <w:kern w:val="0"/>
          <w:sz w:val="32"/>
          <w:szCs w:val="32"/>
          <w:highlight w:val="none"/>
        </w:rPr>
        <w:t>，</w:t>
      </w:r>
      <w:r>
        <w:rPr>
          <w:rFonts w:hint="default" w:ascii="Times New Roman" w:hAnsi="Times New Roman" w:eastAsia="仿宋_GB2312" w:cs="Times New Roman"/>
          <w:color w:val="auto"/>
          <w:sz w:val="32"/>
          <w:szCs w:val="32"/>
          <w:highlight w:val="none"/>
        </w:rPr>
        <w:t>通过审查</w:t>
      </w:r>
      <w:r>
        <w:rPr>
          <w:rFonts w:hint="default" w:ascii="Times New Roman" w:hAnsi="Times New Roman" w:eastAsia="仿宋_GB2312" w:cs="Times New Roman"/>
          <w:color w:val="auto"/>
          <w:kern w:val="0"/>
          <w:sz w:val="32"/>
          <w:szCs w:val="32"/>
          <w:highlight w:val="none"/>
        </w:rPr>
        <w:t>的</w:t>
      </w:r>
      <w:r>
        <w:rPr>
          <w:rFonts w:hint="default" w:ascii="Times New Roman" w:hAnsi="Times New Roman" w:eastAsia="仿宋_GB2312" w:cs="Times New Roman"/>
          <w:color w:val="auto"/>
          <w:sz w:val="32"/>
          <w:szCs w:val="32"/>
          <w:highlight w:val="none"/>
        </w:rPr>
        <w:t>造价企业</w:t>
      </w:r>
      <w:r>
        <w:rPr>
          <w:rFonts w:hint="default" w:ascii="Times New Roman" w:hAnsi="Times New Roman" w:eastAsia="仿宋_GB2312" w:cs="Times New Roman"/>
          <w:color w:val="auto"/>
          <w:kern w:val="0"/>
          <w:sz w:val="32"/>
          <w:szCs w:val="32"/>
          <w:highlight w:val="none"/>
        </w:rPr>
        <w:t>不</w:t>
      </w:r>
      <w:r>
        <w:rPr>
          <w:rFonts w:hint="default" w:ascii="Times New Roman" w:hAnsi="Times New Roman" w:eastAsia="仿宋_GB2312" w:cs="Times New Roman"/>
          <w:color w:val="auto"/>
          <w:kern w:val="0"/>
          <w:sz w:val="32"/>
          <w:szCs w:val="32"/>
          <w:highlight w:val="none"/>
          <w:lang w:eastAsia="zh-CN"/>
        </w:rPr>
        <w:t>得</w:t>
      </w:r>
      <w:r>
        <w:rPr>
          <w:rFonts w:hint="default" w:ascii="Times New Roman" w:hAnsi="Times New Roman" w:eastAsia="仿宋_GB2312" w:cs="Times New Roman"/>
          <w:color w:val="auto"/>
          <w:kern w:val="0"/>
          <w:sz w:val="32"/>
          <w:szCs w:val="32"/>
          <w:highlight w:val="none"/>
        </w:rPr>
        <w:t>少于三家，否则，再次</w:t>
      </w:r>
      <w:r>
        <w:rPr>
          <w:rFonts w:hint="default" w:ascii="Times New Roman" w:hAnsi="Times New Roman" w:eastAsia="仿宋_GB2312" w:cs="Times New Roman"/>
          <w:color w:val="auto"/>
          <w:sz w:val="32"/>
          <w:szCs w:val="32"/>
          <w:highlight w:val="none"/>
        </w:rPr>
        <w:t>发布项目招标公告，如第二次仍少于三家，可转为竞争性谈判或单一来源采购。</w:t>
      </w:r>
    </w:p>
    <w:p w14:paraId="5C4A789F">
      <w:pPr>
        <w:keepNext w:val="0"/>
        <w:keepLines w:val="0"/>
        <w:pageBreakBefore w:val="0"/>
        <w:kinsoku/>
        <w:wordWrap/>
        <w:overflowPunct/>
        <w:topLinePunct w:val="0"/>
        <w:autoSpaceDE/>
        <w:autoSpaceDN/>
        <w:bidi w:val="0"/>
        <w:adjustRightInd/>
        <w:spacing w:line="40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(四)</w:t>
      </w:r>
      <w:r>
        <w:rPr>
          <w:rFonts w:hint="default" w:ascii="Times New Roman" w:hAnsi="Times New Roman" w:eastAsia="仿宋_GB2312" w:cs="Times New Roman"/>
          <w:color w:val="auto"/>
          <w:sz w:val="32"/>
          <w:szCs w:val="32"/>
          <w:highlight w:val="none"/>
          <w:lang w:val="en-US" w:eastAsia="zh-CN"/>
        </w:rPr>
        <w:t xml:space="preserve"> </w:t>
      </w:r>
      <w:r>
        <w:rPr>
          <w:rFonts w:hint="default" w:ascii="Times New Roman" w:hAnsi="Times New Roman" w:eastAsia="仿宋_GB2312" w:cs="Times New Roman"/>
          <w:color w:val="auto"/>
          <w:sz w:val="32"/>
          <w:szCs w:val="32"/>
          <w:highlight w:val="none"/>
        </w:rPr>
        <w:t>现场公开</w:t>
      </w:r>
      <w:r>
        <w:rPr>
          <w:rFonts w:hint="default" w:ascii="Times New Roman" w:hAnsi="Times New Roman" w:eastAsia="仿宋_GB2312" w:cs="Times New Roman"/>
          <w:color w:val="auto"/>
          <w:sz w:val="32"/>
          <w:szCs w:val="32"/>
          <w:highlight w:val="none"/>
          <w:lang w:eastAsia="zh-CN"/>
        </w:rPr>
        <w:t>确</w:t>
      </w:r>
      <w:r>
        <w:rPr>
          <w:rFonts w:hint="default" w:ascii="Times New Roman" w:hAnsi="Times New Roman" w:eastAsia="仿宋_GB2312" w:cs="Times New Roman"/>
          <w:color w:val="auto"/>
          <w:sz w:val="32"/>
          <w:szCs w:val="32"/>
          <w:highlight w:val="none"/>
        </w:rPr>
        <w:t>定造价企业，</w:t>
      </w:r>
      <w:r>
        <w:rPr>
          <w:rFonts w:hint="default" w:ascii="Times New Roman" w:hAnsi="Times New Roman" w:eastAsia="仿宋_GB2312" w:cs="Times New Roman"/>
          <w:color w:val="auto"/>
          <w:sz w:val="32"/>
          <w:szCs w:val="32"/>
          <w:highlight w:val="none"/>
          <w:lang w:eastAsia="zh-CN"/>
        </w:rPr>
        <w:t>中标</w:t>
      </w:r>
      <w:r>
        <w:rPr>
          <w:rFonts w:hint="default" w:ascii="Times New Roman" w:hAnsi="Times New Roman" w:eastAsia="仿宋_GB2312" w:cs="Times New Roman"/>
          <w:color w:val="auto"/>
          <w:sz w:val="32"/>
          <w:szCs w:val="32"/>
          <w:highlight w:val="none"/>
        </w:rPr>
        <w:t>结果在处门户网站公示。</w:t>
      </w:r>
    </w:p>
    <w:p w14:paraId="3548DCCE">
      <w:pPr>
        <w:keepNext w:val="0"/>
        <w:keepLines w:val="0"/>
        <w:pageBreakBefore w:val="0"/>
        <w:kinsoku/>
        <w:wordWrap/>
        <w:overflowPunct/>
        <w:topLinePunct w:val="0"/>
        <w:autoSpaceDE/>
        <w:autoSpaceDN/>
        <w:bidi w:val="0"/>
        <w:adjustRightInd/>
        <w:spacing w:line="400" w:lineRule="exact"/>
        <w:ind w:left="0" w:leftChars="0" w:firstLine="640" w:firstLineChars="200"/>
        <w:jc w:val="left"/>
        <w:textAlignment w:val="auto"/>
        <w:rPr>
          <w:rFonts w:hint="default" w:ascii="Times New Roman" w:hAnsi="Times New Roman" w:eastAsia="仿宋_GB2312" w:cs="Times New Roman"/>
          <w:b/>
          <w:color w:val="auto"/>
          <w:sz w:val="32"/>
          <w:szCs w:val="32"/>
          <w:highlight w:val="none"/>
        </w:rPr>
      </w:pPr>
      <w:r>
        <w:rPr>
          <w:rFonts w:hint="default" w:ascii="Times New Roman" w:hAnsi="Times New Roman" w:eastAsia="仿宋_GB2312" w:cs="Times New Roman"/>
          <w:color w:val="auto"/>
          <w:sz w:val="32"/>
          <w:szCs w:val="32"/>
          <w:highlight w:val="none"/>
        </w:rPr>
        <w:t>(五)</w:t>
      </w:r>
      <w:r>
        <w:rPr>
          <w:rFonts w:hint="default" w:ascii="Times New Roman" w:hAnsi="Times New Roman" w:eastAsia="仿宋_GB2312" w:cs="Times New Roman"/>
          <w:color w:val="auto"/>
          <w:sz w:val="32"/>
          <w:szCs w:val="32"/>
          <w:highlight w:val="none"/>
          <w:lang w:val="en-US" w:eastAsia="zh-CN"/>
        </w:rPr>
        <w:t xml:space="preserve"> </w:t>
      </w:r>
      <w:r>
        <w:rPr>
          <w:rFonts w:hint="default" w:ascii="Times New Roman" w:hAnsi="Times New Roman" w:eastAsia="仿宋_GB2312" w:cs="Times New Roman"/>
          <w:color w:val="auto"/>
          <w:sz w:val="32"/>
          <w:szCs w:val="32"/>
          <w:highlight w:val="none"/>
        </w:rPr>
        <w:t>公示期满无异议，综合计划科发</w:t>
      </w:r>
      <w:r>
        <w:rPr>
          <w:rFonts w:hint="default" w:ascii="Times New Roman" w:hAnsi="Times New Roman" w:eastAsia="仿宋_GB2312" w:cs="Times New Roman"/>
          <w:color w:val="auto"/>
          <w:sz w:val="32"/>
          <w:szCs w:val="32"/>
          <w:highlight w:val="none"/>
          <w:lang w:eastAsia="zh-CN"/>
        </w:rPr>
        <w:t>中标</w:t>
      </w:r>
      <w:r>
        <w:rPr>
          <w:rFonts w:hint="default" w:ascii="Times New Roman" w:hAnsi="Times New Roman" w:eastAsia="仿宋_GB2312" w:cs="Times New Roman"/>
          <w:color w:val="auto"/>
          <w:sz w:val="32"/>
          <w:szCs w:val="32"/>
          <w:highlight w:val="none"/>
        </w:rPr>
        <w:t>通知书，与造价企业签订合同。</w:t>
      </w:r>
    </w:p>
    <w:p w14:paraId="5D042B07">
      <w:pPr>
        <w:keepNext w:val="0"/>
        <w:keepLines w:val="0"/>
        <w:pageBreakBefore w:val="0"/>
        <w:kinsoku/>
        <w:wordWrap/>
        <w:overflowPunct/>
        <w:topLinePunct w:val="0"/>
        <w:autoSpaceDE/>
        <w:autoSpaceDN/>
        <w:bidi w:val="0"/>
        <w:adjustRightInd/>
        <w:spacing w:line="400" w:lineRule="exact"/>
        <w:ind w:left="0" w:leftChars="0" w:firstLine="643"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b/>
          <w:bCs/>
          <w:color w:val="auto"/>
          <w:sz w:val="32"/>
          <w:szCs w:val="32"/>
          <w:highlight w:val="none"/>
        </w:rPr>
        <w:t>第</w:t>
      </w:r>
      <w:r>
        <w:rPr>
          <w:rFonts w:hint="eastAsia" w:eastAsia="仿宋_GB2312" w:cs="Times New Roman"/>
          <w:b/>
          <w:bCs/>
          <w:color w:val="auto"/>
          <w:sz w:val="32"/>
          <w:szCs w:val="32"/>
          <w:highlight w:val="none"/>
          <w:lang w:val="en-US" w:eastAsia="zh-CN"/>
        </w:rPr>
        <w:t>六</w:t>
      </w:r>
      <w:r>
        <w:rPr>
          <w:rFonts w:hint="default" w:ascii="Times New Roman" w:hAnsi="Times New Roman" w:eastAsia="仿宋_GB2312" w:cs="Times New Roman"/>
          <w:b/>
          <w:bCs/>
          <w:color w:val="auto"/>
          <w:sz w:val="32"/>
          <w:szCs w:val="32"/>
          <w:highlight w:val="none"/>
        </w:rPr>
        <w:t>条</w:t>
      </w:r>
      <w:r>
        <w:rPr>
          <w:rFonts w:hint="default" w:ascii="Times New Roman" w:hAnsi="Times New Roman" w:eastAsia="仿宋_GB2312" w:cs="Times New Roman"/>
          <w:color w:val="auto"/>
          <w:sz w:val="32"/>
          <w:szCs w:val="32"/>
          <w:highlight w:val="none"/>
        </w:rPr>
        <w:t xml:space="preserve"> </w:t>
      </w:r>
      <w:r>
        <w:rPr>
          <w:rFonts w:hint="default" w:ascii="Times New Roman" w:hAnsi="Times New Roman" w:eastAsia="仿宋_GB2312" w:cs="Times New Roman"/>
          <w:color w:val="auto"/>
          <w:sz w:val="32"/>
          <w:szCs w:val="32"/>
          <w:highlight w:val="none"/>
          <w:lang w:val="en-US" w:eastAsia="zh-CN"/>
        </w:rPr>
        <w:t xml:space="preserve"> </w:t>
      </w:r>
      <w:r>
        <w:rPr>
          <w:rFonts w:hint="default" w:ascii="Times New Roman" w:hAnsi="Times New Roman" w:eastAsia="仿宋_GB2312" w:cs="Times New Roman"/>
          <w:color w:val="auto"/>
          <w:sz w:val="32"/>
          <w:szCs w:val="32"/>
          <w:highlight w:val="none"/>
        </w:rPr>
        <w:t>邀请方式</w:t>
      </w:r>
    </w:p>
    <w:p w14:paraId="1E014C9B">
      <w:pPr>
        <w:keepNext w:val="0"/>
        <w:keepLines w:val="0"/>
        <w:pageBreakBefore w:val="0"/>
        <w:kinsoku/>
        <w:wordWrap/>
        <w:overflowPunct/>
        <w:topLinePunct w:val="0"/>
        <w:autoSpaceDE/>
        <w:autoSpaceDN/>
        <w:bidi w:val="0"/>
        <w:adjustRightInd/>
        <w:spacing w:line="40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(一)</w:t>
      </w:r>
      <w:r>
        <w:rPr>
          <w:rFonts w:hint="default" w:ascii="Times New Roman" w:hAnsi="Times New Roman" w:eastAsia="仿宋_GB2312" w:cs="Times New Roman"/>
          <w:color w:val="auto"/>
          <w:sz w:val="32"/>
          <w:szCs w:val="32"/>
          <w:highlight w:val="none"/>
          <w:lang w:val="en-US" w:eastAsia="zh-CN"/>
        </w:rPr>
        <w:t xml:space="preserve"> </w:t>
      </w:r>
      <w:r>
        <w:rPr>
          <w:rFonts w:hint="default" w:ascii="Times New Roman" w:hAnsi="Times New Roman" w:eastAsia="仿宋_GB2312" w:cs="Times New Roman"/>
          <w:color w:val="auto"/>
          <w:sz w:val="32"/>
          <w:szCs w:val="32"/>
          <w:highlight w:val="none"/>
        </w:rPr>
        <w:t>综合计划科根据项目性质和特点，筛选、</w:t>
      </w:r>
      <w:r>
        <w:rPr>
          <w:rFonts w:hint="default" w:ascii="Times New Roman" w:hAnsi="Times New Roman" w:eastAsia="仿宋_GB2312" w:cs="Times New Roman"/>
          <w:color w:val="auto"/>
          <w:sz w:val="32"/>
          <w:szCs w:val="32"/>
          <w:highlight w:val="none"/>
          <w:lang w:eastAsia="zh-CN"/>
        </w:rPr>
        <w:t>初审</w:t>
      </w:r>
      <w:r>
        <w:rPr>
          <w:rFonts w:hint="default" w:ascii="Times New Roman" w:hAnsi="Times New Roman" w:eastAsia="仿宋_GB2312" w:cs="Times New Roman"/>
          <w:color w:val="auto"/>
          <w:sz w:val="32"/>
          <w:szCs w:val="32"/>
          <w:highlight w:val="none"/>
        </w:rPr>
        <w:t>并推荐不少于</w:t>
      </w:r>
      <w:r>
        <w:rPr>
          <w:rFonts w:hint="default" w:ascii="Times New Roman" w:hAnsi="Times New Roman" w:eastAsia="仿宋_GB2312" w:cs="Times New Roman"/>
          <w:color w:val="auto"/>
          <w:sz w:val="32"/>
          <w:szCs w:val="32"/>
          <w:highlight w:val="none"/>
          <w:lang w:eastAsia="zh-CN"/>
        </w:rPr>
        <w:t>五</w:t>
      </w:r>
      <w:r>
        <w:rPr>
          <w:rFonts w:hint="default" w:ascii="Times New Roman" w:hAnsi="Times New Roman" w:eastAsia="仿宋_GB2312" w:cs="Times New Roman"/>
          <w:color w:val="auto"/>
          <w:sz w:val="32"/>
          <w:szCs w:val="32"/>
          <w:highlight w:val="none"/>
        </w:rPr>
        <w:t>家造价企业，综合计划科分管领导</w:t>
      </w:r>
      <w:r>
        <w:rPr>
          <w:rFonts w:hint="default" w:ascii="Times New Roman" w:hAnsi="Times New Roman" w:eastAsia="仿宋_GB2312" w:cs="Times New Roman"/>
          <w:color w:val="auto"/>
          <w:sz w:val="32"/>
          <w:szCs w:val="32"/>
          <w:highlight w:val="none"/>
          <w:lang w:eastAsia="zh-CN"/>
        </w:rPr>
        <w:t>组织审查，报</w:t>
      </w:r>
      <w:r>
        <w:rPr>
          <w:rFonts w:hint="default" w:ascii="Times New Roman" w:hAnsi="Times New Roman" w:eastAsia="仿宋_GB2312" w:cs="Times New Roman"/>
          <w:color w:val="auto"/>
          <w:sz w:val="32"/>
          <w:szCs w:val="32"/>
          <w:highlight w:val="none"/>
        </w:rPr>
        <w:t>主要领导</w:t>
      </w:r>
      <w:r>
        <w:rPr>
          <w:rFonts w:hint="default" w:ascii="Times New Roman" w:hAnsi="Times New Roman" w:eastAsia="仿宋_GB2312" w:cs="Times New Roman"/>
          <w:color w:val="auto"/>
          <w:sz w:val="32"/>
          <w:szCs w:val="32"/>
          <w:highlight w:val="none"/>
          <w:lang w:eastAsia="zh-CN"/>
        </w:rPr>
        <w:t>批准后</w:t>
      </w:r>
      <w:r>
        <w:rPr>
          <w:rFonts w:hint="default" w:ascii="Times New Roman" w:hAnsi="Times New Roman" w:eastAsia="仿宋_GB2312" w:cs="Times New Roman"/>
          <w:color w:val="auto"/>
          <w:sz w:val="32"/>
          <w:szCs w:val="32"/>
          <w:highlight w:val="none"/>
        </w:rPr>
        <w:t>向被推荐企业发出邀请。</w:t>
      </w:r>
    </w:p>
    <w:p w14:paraId="223B7545">
      <w:pPr>
        <w:keepNext w:val="0"/>
        <w:keepLines w:val="0"/>
        <w:pageBreakBefore w:val="0"/>
        <w:kinsoku/>
        <w:wordWrap/>
        <w:overflowPunct/>
        <w:topLinePunct w:val="0"/>
        <w:autoSpaceDE/>
        <w:autoSpaceDN/>
        <w:bidi w:val="0"/>
        <w:adjustRightInd/>
        <w:spacing w:line="40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lang w:eastAsia="zh-CN"/>
        </w:rPr>
      </w:pPr>
      <w:r>
        <w:rPr>
          <w:rFonts w:hint="default" w:ascii="Times New Roman" w:hAnsi="Times New Roman" w:eastAsia="仿宋_GB2312" w:cs="Times New Roman"/>
          <w:color w:val="auto"/>
          <w:sz w:val="32"/>
          <w:szCs w:val="32"/>
          <w:highlight w:val="none"/>
        </w:rPr>
        <w:t>(二)</w:t>
      </w:r>
      <w:r>
        <w:rPr>
          <w:rFonts w:hint="default" w:ascii="Times New Roman" w:hAnsi="Times New Roman" w:eastAsia="仿宋_GB2312" w:cs="Times New Roman"/>
          <w:color w:val="auto"/>
          <w:sz w:val="32"/>
          <w:szCs w:val="32"/>
          <w:highlight w:val="none"/>
          <w:lang w:val="en-US" w:eastAsia="zh-CN"/>
        </w:rPr>
        <w:t xml:space="preserve"> </w:t>
      </w:r>
      <w:r>
        <w:rPr>
          <w:rFonts w:hint="default" w:ascii="Times New Roman" w:hAnsi="Times New Roman" w:eastAsia="仿宋_GB2312" w:cs="Times New Roman"/>
          <w:color w:val="auto"/>
          <w:sz w:val="32"/>
          <w:szCs w:val="32"/>
          <w:highlight w:val="none"/>
        </w:rPr>
        <w:t>被推荐的造价企业按照要求，参加项目竞价</w:t>
      </w:r>
      <w:r>
        <w:rPr>
          <w:rFonts w:hint="default" w:ascii="Times New Roman" w:hAnsi="Times New Roman" w:eastAsia="仿宋_GB2312" w:cs="Times New Roman"/>
          <w:color w:val="auto"/>
          <w:sz w:val="32"/>
          <w:szCs w:val="32"/>
          <w:highlight w:val="none"/>
          <w:lang w:eastAsia="zh-CN"/>
        </w:rPr>
        <w:t>。</w:t>
      </w:r>
    </w:p>
    <w:p w14:paraId="0DCC7A98">
      <w:pPr>
        <w:keepNext w:val="0"/>
        <w:keepLines w:val="0"/>
        <w:pageBreakBefore w:val="0"/>
        <w:kinsoku/>
        <w:wordWrap/>
        <w:overflowPunct/>
        <w:topLinePunct w:val="0"/>
        <w:autoSpaceDE/>
        <w:autoSpaceDN/>
        <w:bidi w:val="0"/>
        <w:adjustRightInd/>
        <w:spacing w:line="400" w:lineRule="exact"/>
        <w:ind w:left="0" w:leftChars="0" w:firstLine="640" w:firstLineChars="200"/>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(三)</w:t>
      </w:r>
      <w:r>
        <w:rPr>
          <w:rFonts w:hint="default" w:ascii="Times New Roman" w:hAnsi="Times New Roman" w:eastAsia="仿宋_GB2312" w:cs="Times New Roman"/>
          <w:color w:val="auto"/>
          <w:sz w:val="32"/>
          <w:szCs w:val="32"/>
          <w:highlight w:val="none"/>
          <w:lang w:val="en-US" w:eastAsia="zh-CN"/>
        </w:rPr>
        <w:t xml:space="preserve"> </w:t>
      </w:r>
      <w:r>
        <w:rPr>
          <w:rFonts w:hint="default" w:ascii="Times New Roman" w:hAnsi="Times New Roman" w:eastAsia="仿宋_GB2312" w:cs="Times New Roman"/>
          <w:color w:val="auto"/>
          <w:sz w:val="32"/>
          <w:szCs w:val="32"/>
          <w:highlight w:val="none"/>
        </w:rPr>
        <w:t>综合计划科发</w:t>
      </w:r>
      <w:r>
        <w:rPr>
          <w:rFonts w:hint="default" w:ascii="Times New Roman" w:hAnsi="Times New Roman" w:eastAsia="仿宋_GB2312" w:cs="Times New Roman"/>
          <w:color w:val="auto"/>
          <w:sz w:val="32"/>
          <w:szCs w:val="32"/>
          <w:highlight w:val="none"/>
          <w:lang w:eastAsia="zh-CN"/>
        </w:rPr>
        <w:t>中标</w:t>
      </w:r>
      <w:r>
        <w:rPr>
          <w:rFonts w:hint="default" w:ascii="Times New Roman" w:hAnsi="Times New Roman" w:eastAsia="仿宋_GB2312" w:cs="Times New Roman"/>
          <w:color w:val="auto"/>
          <w:sz w:val="32"/>
          <w:szCs w:val="32"/>
          <w:highlight w:val="none"/>
        </w:rPr>
        <w:t>通知书，与造价企业签订合同。</w:t>
      </w:r>
    </w:p>
    <w:p w14:paraId="2DD2C812">
      <w:pPr>
        <w:keepNext w:val="0"/>
        <w:keepLines w:val="0"/>
        <w:pageBreakBefore w:val="0"/>
        <w:kinsoku/>
        <w:wordWrap/>
        <w:overflowPunct/>
        <w:topLinePunct w:val="0"/>
        <w:autoSpaceDE/>
        <w:autoSpaceDN/>
        <w:bidi w:val="0"/>
        <w:adjustRightInd/>
        <w:spacing w:line="400" w:lineRule="exact"/>
        <w:ind w:left="0" w:leftChars="0" w:firstLine="643"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b/>
          <w:bCs/>
          <w:color w:val="auto"/>
          <w:sz w:val="32"/>
          <w:szCs w:val="32"/>
          <w:highlight w:val="none"/>
        </w:rPr>
        <w:t>第</w:t>
      </w:r>
      <w:r>
        <w:rPr>
          <w:rFonts w:hint="eastAsia" w:eastAsia="仿宋_GB2312" w:cs="Times New Roman"/>
          <w:b/>
          <w:bCs/>
          <w:color w:val="auto"/>
          <w:sz w:val="32"/>
          <w:szCs w:val="32"/>
          <w:highlight w:val="none"/>
          <w:lang w:val="en-US" w:eastAsia="zh-CN"/>
        </w:rPr>
        <w:t>七</w:t>
      </w:r>
      <w:r>
        <w:rPr>
          <w:rFonts w:hint="default" w:ascii="Times New Roman" w:hAnsi="Times New Roman" w:eastAsia="仿宋_GB2312" w:cs="Times New Roman"/>
          <w:b/>
          <w:bCs/>
          <w:color w:val="auto"/>
          <w:sz w:val="32"/>
          <w:szCs w:val="32"/>
          <w:highlight w:val="none"/>
        </w:rPr>
        <w:t>条</w:t>
      </w:r>
      <w:r>
        <w:rPr>
          <w:rFonts w:hint="default" w:ascii="Times New Roman" w:hAnsi="Times New Roman" w:eastAsia="仿宋_GB2312" w:cs="Times New Roman"/>
          <w:color w:val="auto"/>
          <w:sz w:val="32"/>
          <w:szCs w:val="32"/>
          <w:highlight w:val="none"/>
        </w:rPr>
        <w:t xml:space="preserve"> </w:t>
      </w:r>
      <w:r>
        <w:rPr>
          <w:rFonts w:hint="default" w:ascii="Times New Roman" w:hAnsi="Times New Roman" w:eastAsia="仿宋_GB2312" w:cs="Times New Roman"/>
          <w:color w:val="auto"/>
          <w:sz w:val="32"/>
          <w:szCs w:val="32"/>
          <w:highlight w:val="none"/>
          <w:lang w:val="en-US" w:eastAsia="zh-CN"/>
        </w:rPr>
        <w:t xml:space="preserve"> </w:t>
      </w:r>
      <w:r>
        <w:rPr>
          <w:rFonts w:hint="default" w:ascii="Times New Roman" w:hAnsi="Times New Roman" w:eastAsia="仿宋_GB2312" w:cs="Times New Roman"/>
          <w:color w:val="auto"/>
          <w:sz w:val="32"/>
          <w:szCs w:val="32"/>
          <w:highlight w:val="none"/>
        </w:rPr>
        <w:t>指定方式</w:t>
      </w:r>
    </w:p>
    <w:p w14:paraId="7D6825BE">
      <w:pPr>
        <w:keepNext w:val="0"/>
        <w:keepLines w:val="0"/>
        <w:pageBreakBefore w:val="0"/>
        <w:kinsoku/>
        <w:wordWrap/>
        <w:overflowPunct/>
        <w:topLinePunct w:val="0"/>
        <w:autoSpaceDE/>
        <w:autoSpaceDN/>
        <w:bidi w:val="0"/>
        <w:adjustRightInd/>
        <w:spacing w:line="40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涉铁、涉军、涉密、电力、供水、燃气、古建筑、智能化等特殊项目，</w:t>
      </w:r>
      <w:r>
        <w:rPr>
          <w:rFonts w:hint="default" w:ascii="Times New Roman" w:hAnsi="Times New Roman" w:eastAsia="仿宋_GB2312" w:cs="Times New Roman"/>
          <w:color w:val="auto"/>
          <w:sz w:val="32"/>
          <w:szCs w:val="32"/>
          <w:highlight w:val="none"/>
          <w:lang w:eastAsia="zh-CN"/>
        </w:rPr>
        <w:t>且</w:t>
      </w:r>
      <w:r>
        <w:rPr>
          <w:rFonts w:hint="default" w:ascii="Times New Roman" w:hAnsi="Times New Roman" w:eastAsia="仿宋_GB2312" w:cs="Times New Roman"/>
          <w:color w:val="auto"/>
          <w:sz w:val="32"/>
          <w:szCs w:val="32"/>
          <w:highlight w:val="none"/>
        </w:rPr>
        <w:t>只有</w:t>
      </w:r>
      <w:r>
        <w:rPr>
          <w:rFonts w:hint="default" w:ascii="Times New Roman" w:hAnsi="Times New Roman" w:eastAsia="仿宋_GB2312" w:cs="Times New Roman"/>
          <w:color w:val="auto"/>
          <w:sz w:val="32"/>
          <w:szCs w:val="32"/>
          <w:highlight w:val="none"/>
          <w:lang w:eastAsia="zh-CN"/>
        </w:rPr>
        <w:t>极</w:t>
      </w:r>
      <w:r>
        <w:rPr>
          <w:rFonts w:hint="default" w:ascii="Times New Roman" w:hAnsi="Times New Roman" w:eastAsia="仿宋_GB2312" w:cs="Times New Roman"/>
          <w:color w:val="auto"/>
          <w:sz w:val="32"/>
          <w:szCs w:val="32"/>
          <w:highlight w:val="none"/>
        </w:rPr>
        <w:t>少量潜在造价企业可供选择的，由综合计划科选择具备相应</w:t>
      </w:r>
      <w:r>
        <w:rPr>
          <w:rFonts w:hint="default" w:ascii="Times New Roman" w:hAnsi="Times New Roman" w:eastAsia="仿宋_GB2312" w:cs="Times New Roman"/>
          <w:color w:val="auto"/>
          <w:sz w:val="32"/>
          <w:szCs w:val="32"/>
          <w:highlight w:val="none"/>
          <w:lang w:eastAsia="zh-CN"/>
        </w:rPr>
        <w:t>业务能力</w:t>
      </w:r>
      <w:r>
        <w:rPr>
          <w:rFonts w:hint="default" w:ascii="Times New Roman" w:hAnsi="Times New Roman" w:eastAsia="仿宋_GB2312" w:cs="Times New Roman"/>
          <w:color w:val="auto"/>
          <w:sz w:val="32"/>
          <w:szCs w:val="32"/>
          <w:highlight w:val="none"/>
        </w:rPr>
        <w:t>的造价企业，经综合计划科分管领导</w:t>
      </w:r>
      <w:r>
        <w:rPr>
          <w:rFonts w:hint="default" w:ascii="Times New Roman" w:hAnsi="Times New Roman" w:eastAsia="仿宋_GB2312" w:cs="Times New Roman"/>
          <w:color w:val="auto"/>
          <w:sz w:val="32"/>
          <w:szCs w:val="32"/>
          <w:highlight w:val="none"/>
          <w:lang w:eastAsia="zh-CN"/>
        </w:rPr>
        <w:t>审核</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eastAsia="zh-CN"/>
        </w:rPr>
        <w:t>报</w:t>
      </w:r>
      <w:r>
        <w:rPr>
          <w:rFonts w:hint="default" w:ascii="Times New Roman" w:hAnsi="Times New Roman" w:eastAsia="仿宋_GB2312" w:cs="Times New Roman"/>
          <w:color w:val="auto"/>
          <w:sz w:val="32"/>
          <w:szCs w:val="32"/>
          <w:highlight w:val="none"/>
        </w:rPr>
        <w:t>主任办公会研究通过后进行委托。</w:t>
      </w:r>
    </w:p>
    <w:p w14:paraId="2FE1DC30">
      <w:pPr>
        <w:pStyle w:val="44"/>
        <w:keepNext w:val="0"/>
        <w:keepLines w:val="0"/>
        <w:pageBreakBefore w:val="0"/>
        <w:kinsoku/>
        <w:wordWrap/>
        <w:overflowPunct/>
        <w:topLinePunct w:val="0"/>
        <w:autoSpaceDE/>
        <w:autoSpaceDN/>
        <w:bidi w:val="0"/>
        <w:adjustRightInd/>
        <w:spacing w:line="400" w:lineRule="exact"/>
        <w:ind w:left="0" w:leftChars="0" w:firstLine="643" w:firstLineChars="200"/>
        <w:textAlignment w:val="auto"/>
        <w:rPr>
          <w:rFonts w:hint="default" w:ascii="Times New Roman" w:hAnsi="Times New Roman" w:eastAsia="黑体" w:cs="Times New Roman"/>
          <w:color w:val="auto"/>
          <w:sz w:val="32"/>
          <w:szCs w:val="32"/>
          <w:highlight w:val="none"/>
        </w:rPr>
      </w:pPr>
      <w:r>
        <w:rPr>
          <w:rFonts w:hint="default" w:ascii="Times New Roman" w:hAnsi="Times New Roman" w:eastAsia="仿宋_GB2312" w:cs="Times New Roman"/>
          <w:b/>
          <w:bCs/>
          <w:color w:val="auto"/>
          <w:sz w:val="32"/>
          <w:szCs w:val="32"/>
          <w:highlight w:val="none"/>
          <w:lang w:eastAsia="zh-CN"/>
        </w:rPr>
        <w:t>第</w:t>
      </w:r>
      <w:r>
        <w:rPr>
          <w:rFonts w:hint="eastAsia" w:eastAsia="仿宋_GB2312" w:cs="Times New Roman"/>
          <w:b/>
          <w:bCs/>
          <w:color w:val="auto"/>
          <w:sz w:val="32"/>
          <w:szCs w:val="32"/>
          <w:highlight w:val="none"/>
          <w:lang w:val="en-US" w:eastAsia="zh-CN"/>
        </w:rPr>
        <w:t>八</w:t>
      </w:r>
      <w:r>
        <w:rPr>
          <w:rFonts w:hint="default" w:ascii="Times New Roman" w:hAnsi="Times New Roman" w:eastAsia="仿宋_GB2312" w:cs="Times New Roman"/>
          <w:b/>
          <w:bCs/>
          <w:color w:val="auto"/>
          <w:sz w:val="32"/>
          <w:szCs w:val="32"/>
          <w:highlight w:val="none"/>
          <w:lang w:eastAsia="zh-CN"/>
        </w:rPr>
        <w:t>条</w:t>
      </w:r>
      <w:r>
        <w:rPr>
          <w:rFonts w:hint="default" w:ascii="Times New Roman" w:hAnsi="Times New Roman" w:eastAsia="仿宋_GB2312" w:cs="Times New Roman"/>
          <w:color w:val="auto"/>
          <w:sz w:val="32"/>
          <w:szCs w:val="32"/>
          <w:highlight w:val="none"/>
          <w:lang w:val="en-US" w:eastAsia="zh-CN"/>
        </w:rPr>
        <w:t xml:space="preserve"> </w:t>
      </w:r>
      <w:r>
        <w:rPr>
          <w:rFonts w:hint="default" w:ascii="Times New Roman" w:hAnsi="Times New Roman" w:eastAsia="仿宋_GB2312" w:cs="Times New Roman"/>
          <w:color w:val="auto"/>
          <w:sz w:val="32"/>
          <w:szCs w:val="32"/>
          <w:highlight w:val="none"/>
        </w:rPr>
        <w:t>工程</w:t>
      </w:r>
      <w:r>
        <w:rPr>
          <w:rFonts w:hint="default" w:ascii="Times New Roman" w:hAnsi="Times New Roman" w:eastAsia="仿宋_GB2312" w:cs="Times New Roman"/>
          <w:color w:val="auto"/>
          <w:kern w:val="0"/>
          <w:sz w:val="32"/>
          <w:szCs w:val="32"/>
          <w:highlight w:val="none"/>
        </w:rPr>
        <w:t>造价咨询服务</w:t>
      </w:r>
      <w:r>
        <w:rPr>
          <w:rFonts w:hint="default" w:ascii="Times New Roman" w:hAnsi="Times New Roman" w:eastAsia="仿宋_GB2312" w:cs="Times New Roman"/>
          <w:color w:val="auto"/>
          <w:sz w:val="32"/>
          <w:szCs w:val="32"/>
          <w:highlight w:val="none"/>
        </w:rPr>
        <w:t>费单项合同估算价</w:t>
      </w:r>
      <w:r>
        <w:rPr>
          <w:rFonts w:hint="default" w:ascii="Times New Roman" w:hAnsi="Times New Roman" w:eastAsia="仿宋_GB2312" w:cs="Times New Roman"/>
          <w:color w:val="auto"/>
          <w:sz w:val="32"/>
          <w:szCs w:val="32"/>
          <w:highlight w:val="none"/>
          <w:lang w:val="en-US" w:eastAsia="zh-CN"/>
        </w:rPr>
        <w:t>30</w:t>
      </w:r>
      <w:r>
        <w:rPr>
          <w:rFonts w:hint="default" w:ascii="Times New Roman" w:hAnsi="Times New Roman" w:eastAsia="仿宋_GB2312" w:cs="Times New Roman"/>
          <w:color w:val="auto"/>
          <w:sz w:val="32"/>
          <w:szCs w:val="32"/>
          <w:highlight w:val="none"/>
        </w:rPr>
        <w:t>万元及以上项目</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z w:val="32"/>
          <w:szCs w:val="32"/>
          <w:highlight w:val="none"/>
        </w:rPr>
        <w:t>综合计划科根据项目性质和特点，编制招标文件，经综合计划科分管领导</w:t>
      </w:r>
      <w:r>
        <w:rPr>
          <w:rFonts w:hint="default" w:ascii="Times New Roman" w:hAnsi="Times New Roman" w:eastAsia="仿宋_GB2312" w:cs="Times New Roman"/>
          <w:color w:val="auto"/>
          <w:sz w:val="32"/>
          <w:szCs w:val="32"/>
          <w:highlight w:val="none"/>
          <w:lang w:eastAsia="zh-CN"/>
        </w:rPr>
        <w:t>审核</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eastAsia="zh-CN"/>
        </w:rPr>
        <w:t>报主要领导批准后在市公共资源交易中心</w:t>
      </w:r>
      <w:r>
        <w:rPr>
          <w:rFonts w:hint="default" w:ascii="Times New Roman" w:hAnsi="Times New Roman" w:eastAsia="仿宋_GB2312" w:cs="Times New Roman"/>
          <w:color w:val="auto"/>
          <w:sz w:val="32"/>
          <w:szCs w:val="32"/>
          <w:highlight w:val="none"/>
        </w:rPr>
        <w:t>公开招标。</w:t>
      </w:r>
    </w:p>
    <w:p w14:paraId="6C4CE351">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9"/>
        <w:rPr>
          <w:rFonts w:hint="default" w:ascii="Times New Roman" w:hAnsi="Times New Roman" w:eastAsia="黑体" w:cs="Times New Roman"/>
          <w:color w:val="auto"/>
          <w:kern w:val="36"/>
          <w:sz w:val="32"/>
          <w:szCs w:val="32"/>
          <w:highlight w:val="none"/>
        </w:rPr>
      </w:pPr>
      <w:r>
        <w:rPr>
          <w:rFonts w:hint="default" w:ascii="Times New Roman" w:hAnsi="Times New Roman" w:eastAsia="黑体" w:cs="Times New Roman"/>
          <w:color w:val="auto"/>
          <w:sz w:val="32"/>
          <w:szCs w:val="32"/>
          <w:highlight w:val="none"/>
        </w:rPr>
        <w:t>第四章 服务费用</w:t>
      </w:r>
    </w:p>
    <w:p w14:paraId="6208F877">
      <w:pPr>
        <w:keepNext w:val="0"/>
        <w:keepLines w:val="0"/>
        <w:pageBreakBefore w:val="0"/>
        <w:kinsoku/>
        <w:wordWrap/>
        <w:overflowPunct/>
        <w:topLinePunct w:val="0"/>
        <w:autoSpaceDE/>
        <w:autoSpaceDN/>
        <w:bidi w:val="0"/>
        <w:adjustRightInd/>
        <w:spacing w:line="400" w:lineRule="exact"/>
        <w:ind w:left="0" w:leftChars="0" w:firstLine="643" w:firstLineChars="200"/>
        <w:jc w:val="left"/>
        <w:textAlignment w:val="auto"/>
        <w:rPr>
          <w:rFonts w:hint="default" w:ascii="Times New Roman" w:hAnsi="Times New Roman" w:eastAsia="仿宋_GB2312" w:cs="Times New Roman"/>
          <w:b/>
          <w:bCs/>
          <w:color w:val="auto"/>
          <w:sz w:val="32"/>
          <w:szCs w:val="32"/>
          <w:highlight w:val="none"/>
          <w:lang w:eastAsia="zh-CN"/>
        </w:rPr>
      </w:pPr>
      <w:r>
        <w:rPr>
          <w:rFonts w:hint="default" w:ascii="Times New Roman" w:hAnsi="Times New Roman" w:eastAsia="仿宋_GB2312" w:cs="Times New Roman"/>
          <w:b/>
          <w:bCs/>
          <w:color w:val="auto"/>
          <w:sz w:val="32"/>
          <w:szCs w:val="32"/>
          <w:highlight w:val="none"/>
        </w:rPr>
        <w:t>第</w:t>
      </w:r>
      <w:r>
        <w:rPr>
          <w:rFonts w:hint="eastAsia" w:eastAsia="仿宋_GB2312" w:cs="Times New Roman"/>
          <w:b/>
          <w:bCs/>
          <w:color w:val="auto"/>
          <w:sz w:val="32"/>
          <w:szCs w:val="32"/>
          <w:highlight w:val="none"/>
          <w:lang w:val="en-US" w:eastAsia="zh-CN"/>
        </w:rPr>
        <w:t>九</w:t>
      </w:r>
      <w:r>
        <w:rPr>
          <w:rFonts w:hint="default" w:ascii="Times New Roman" w:hAnsi="Times New Roman" w:eastAsia="仿宋_GB2312" w:cs="Times New Roman"/>
          <w:b/>
          <w:bCs/>
          <w:color w:val="auto"/>
          <w:sz w:val="32"/>
          <w:szCs w:val="32"/>
          <w:highlight w:val="none"/>
        </w:rPr>
        <w:t>条</w:t>
      </w:r>
      <w:r>
        <w:rPr>
          <w:rFonts w:hint="default" w:ascii="Times New Roman" w:hAnsi="Times New Roman" w:eastAsia="仿宋_GB2312" w:cs="Times New Roman"/>
          <w:color w:val="auto"/>
          <w:sz w:val="32"/>
          <w:szCs w:val="32"/>
          <w:highlight w:val="none"/>
          <w:lang w:val="en-US" w:eastAsia="zh-CN"/>
        </w:rPr>
        <w:t xml:space="preserve"> </w:t>
      </w:r>
      <w:r>
        <w:rPr>
          <w:rFonts w:hint="default" w:ascii="Times New Roman" w:hAnsi="Times New Roman" w:eastAsia="仿宋_GB2312" w:cs="Times New Roman"/>
          <w:color w:val="auto"/>
          <w:sz w:val="32"/>
          <w:szCs w:val="32"/>
          <w:highlight w:val="none"/>
        </w:rPr>
        <w:t xml:space="preserve"> </w:t>
      </w:r>
      <w:r>
        <w:rPr>
          <w:rFonts w:hint="default" w:ascii="Times New Roman" w:hAnsi="Times New Roman" w:eastAsia="仿宋_GB2312" w:cs="Times New Roman"/>
          <w:color w:val="auto"/>
          <w:sz w:val="32"/>
          <w:szCs w:val="32"/>
          <w:highlight w:val="none"/>
          <w:lang w:eastAsia="zh-CN"/>
        </w:rPr>
        <w:t>清单编制服务费用、投资估算、设计概算等</w:t>
      </w:r>
      <w:r>
        <w:rPr>
          <w:rFonts w:hint="default" w:ascii="Times New Roman" w:hAnsi="Times New Roman" w:eastAsia="仿宋_GB2312" w:cs="Times New Roman"/>
          <w:color w:val="auto"/>
          <w:sz w:val="32"/>
          <w:szCs w:val="32"/>
          <w:highlight w:val="none"/>
        </w:rPr>
        <w:t>其他工程造价咨询服务</w:t>
      </w:r>
      <w:r>
        <w:rPr>
          <w:rFonts w:hint="default" w:ascii="Times New Roman" w:hAnsi="Times New Roman" w:eastAsia="仿宋_GB2312" w:cs="Times New Roman"/>
          <w:color w:val="auto"/>
          <w:kern w:val="0"/>
          <w:sz w:val="32"/>
          <w:szCs w:val="32"/>
          <w:highlight w:val="none"/>
        </w:rPr>
        <w:t>费</w:t>
      </w:r>
      <w:r>
        <w:rPr>
          <w:rFonts w:hint="default" w:ascii="Times New Roman" w:hAnsi="Times New Roman" w:eastAsia="仿宋_GB2312" w:cs="Times New Roman"/>
          <w:color w:val="auto"/>
          <w:sz w:val="32"/>
          <w:szCs w:val="32"/>
          <w:highlight w:val="none"/>
          <w:lang w:eastAsia="zh-CN"/>
        </w:rPr>
        <w:t>参照执行《安徽省建设工程造价咨询服务项目及收费标准》（皖价服</w:t>
      </w:r>
      <w:r>
        <w:rPr>
          <w:rFonts w:hint="default" w:ascii="Times New Roman" w:hAnsi="Times New Roman" w:eastAsia="仿宋" w:cs="Times New Roman"/>
          <w:color w:val="auto"/>
          <w:sz w:val="32"/>
          <w:szCs w:val="32"/>
          <w:highlight w:val="none"/>
          <w:shd w:val="clear" w:color="auto" w:fill="auto"/>
        </w:rPr>
        <w:t>〔</w:t>
      </w:r>
      <w:r>
        <w:rPr>
          <w:rFonts w:hint="default" w:ascii="Times New Roman" w:hAnsi="Times New Roman" w:eastAsia="仿宋" w:cs="Times New Roman"/>
          <w:color w:val="auto"/>
          <w:sz w:val="32"/>
          <w:szCs w:val="32"/>
          <w:highlight w:val="none"/>
          <w:shd w:val="clear" w:color="auto" w:fill="auto"/>
          <w:lang w:eastAsia="zh-CN"/>
        </w:rPr>
        <w:t>20</w:t>
      </w:r>
      <w:r>
        <w:rPr>
          <w:rFonts w:hint="default" w:ascii="Times New Roman" w:hAnsi="Times New Roman" w:eastAsia="仿宋" w:cs="Times New Roman"/>
          <w:color w:val="auto"/>
          <w:sz w:val="32"/>
          <w:szCs w:val="32"/>
          <w:highlight w:val="none"/>
          <w:shd w:val="clear" w:color="auto" w:fill="auto"/>
          <w:lang w:val="en-US" w:eastAsia="zh-CN"/>
        </w:rPr>
        <w:t>07</w:t>
      </w:r>
      <w:r>
        <w:rPr>
          <w:rFonts w:hint="default" w:ascii="Times New Roman" w:hAnsi="Times New Roman" w:eastAsia="仿宋" w:cs="Times New Roman"/>
          <w:color w:val="auto"/>
          <w:sz w:val="32"/>
          <w:szCs w:val="32"/>
          <w:highlight w:val="none"/>
          <w:shd w:val="clear" w:color="auto" w:fill="auto"/>
        </w:rPr>
        <w:t>〕</w:t>
      </w:r>
      <w:r>
        <w:rPr>
          <w:rFonts w:hint="default" w:ascii="Times New Roman" w:hAnsi="Times New Roman" w:eastAsia="仿宋_GB2312" w:cs="Times New Roman"/>
          <w:color w:val="auto"/>
          <w:sz w:val="32"/>
          <w:szCs w:val="32"/>
          <w:highlight w:val="none"/>
          <w:lang w:val="en-US" w:eastAsia="zh-CN"/>
        </w:rPr>
        <w:t>86号</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b/>
          <w:bCs/>
          <w:color w:val="auto"/>
          <w:sz w:val="32"/>
          <w:szCs w:val="32"/>
          <w:highlight w:val="none"/>
          <w:lang w:eastAsia="zh-CN"/>
        </w:rPr>
        <w:t>清单编制服务费由综合计划科按照工程难易程度提出下浮率（一般为</w:t>
      </w:r>
      <w:r>
        <w:rPr>
          <w:rFonts w:hint="default" w:ascii="Times New Roman" w:hAnsi="Times New Roman" w:eastAsia="仿宋_GB2312" w:cs="Times New Roman"/>
          <w:b/>
          <w:bCs/>
          <w:color w:val="auto"/>
          <w:sz w:val="32"/>
          <w:szCs w:val="32"/>
          <w:highlight w:val="none"/>
          <w:lang w:val="en-US" w:eastAsia="zh-CN"/>
        </w:rPr>
        <w:t>40%-60%）</w:t>
      </w:r>
      <w:r>
        <w:rPr>
          <w:rFonts w:hint="default" w:ascii="Times New Roman" w:hAnsi="Times New Roman" w:eastAsia="仿宋_GB2312" w:cs="Times New Roman"/>
          <w:b/>
          <w:bCs/>
          <w:color w:val="auto"/>
          <w:sz w:val="32"/>
          <w:szCs w:val="32"/>
          <w:highlight w:val="none"/>
          <w:lang w:eastAsia="zh-CN"/>
        </w:rPr>
        <w:t>，</w:t>
      </w:r>
      <w:r>
        <w:rPr>
          <w:rFonts w:hint="default" w:ascii="Times New Roman" w:hAnsi="Times New Roman" w:eastAsia="仿宋_GB2312" w:cs="Times New Roman"/>
          <w:b/>
          <w:bCs/>
          <w:color w:val="auto"/>
          <w:sz w:val="32"/>
          <w:szCs w:val="32"/>
          <w:highlight w:val="none"/>
        </w:rPr>
        <w:t>经综合计划科分管领导</w:t>
      </w:r>
      <w:r>
        <w:rPr>
          <w:rFonts w:hint="default" w:ascii="Times New Roman" w:hAnsi="Times New Roman" w:eastAsia="仿宋_GB2312" w:cs="Times New Roman"/>
          <w:b/>
          <w:bCs/>
          <w:color w:val="auto"/>
          <w:sz w:val="32"/>
          <w:szCs w:val="32"/>
          <w:highlight w:val="none"/>
          <w:lang w:eastAsia="zh-CN"/>
        </w:rPr>
        <w:t>批准后实施。特别复杂或特殊的项目报主任办公会研究通过后可不下浮。</w:t>
      </w:r>
    </w:p>
    <w:p w14:paraId="6E173CD0">
      <w:pPr>
        <w:keepNext w:val="0"/>
        <w:keepLines w:val="0"/>
        <w:pageBreakBefore w:val="0"/>
        <w:kinsoku/>
        <w:wordWrap/>
        <w:overflowPunct/>
        <w:topLinePunct w:val="0"/>
        <w:autoSpaceDE/>
        <w:autoSpaceDN/>
        <w:bidi w:val="0"/>
        <w:adjustRightInd/>
        <w:spacing w:line="400" w:lineRule="exact"/>
        <w:ind w:left="0" w:leftChars="0" w:firstLine="643"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b/>
          <w:bCs/>
          <w:color w:val="auto"/>
          <w:sz w:val="32"/>
          <w:szCs w:val="32"/>
          <w:highlight w:val="none"/>
        </w:rPr>
        <w:t>第十条</w:t>
      </w:r>
      <w:r>
        <w:rPr>
          <w:rFonts w:hint="default" w:ascii="Times New Roman" w:hAnsi="Times New Roman" w:eastAsia="仿宋_GB2312" w:cs="Times New Roman"/>
          <w:color w:val="auto"/>
          <w:sz w:val="32"/>
          <w:szCs w:val="32"/>
          <w:highlight w:val="none"/>
        </w:rPr>
        <w:t xml:space="preserve"> </w:t>
      </w:r>
      <w:r>
        <w:rPr>
          <w:rFonts w:hint="default" w:ascii="Times New Roman" w:hAnsi="Times New Roman" w:eastAsia="仿宋_GB2312" w:cs="Times New Roman"/>
          <w:color w:val="auto"/>
          <w:sz w:val="32"/>
          <w:szCs w:val="32"/>
          <w:highlight w:val="none"/>
          <w:lang w:val="en-US" w:eastAsia="zh-CN"/>
        </w:rPr>
        <w:t xml:space="preserve"> </w:t>
      </w:r>
      <w:r>
        <w:rPr>
          <w:rFonts w:hint="default" w:ascii="Times New Roman" w:hAnsi="Times New Roman" w:eastAsia="仿宋_GB2312" w:cs="Times New Roman"/>
          <w:color w:val="auto"/>
          <w:sz w:val="32"/>
          <w:szCs w:val="32"/>
          <w:highlight w:val="none"/>
        </w:rPr>
        <w:t>项目跟踪审计、结算审核固定费率执行下列标准：</w:t>
      </w:r>
    </w:p>
    <w:p w14:paraId="618147D6">
      <w:pPr>
        <w:keepNext w:val="0"/>
        <w:keepLines w:val="0"/>
        <w:pageBreakBefore w:val="0"/>
        <w:kinsoku/>
        <w:wordWrap/>
        <w:overflowPunct/>
        <w:topLinePunct w:val="0"/>
        <w:autoSpaceDE/>
        <w:autoSpaceDN/>
        <w:bidi w:val="0"/>
        <w:adjustRightInd/>
        <w:spacing w:line="40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（一）</w:t>
      </w:r>
      <w:r>
        <w:rPr>
          <w:rFonts w:hint="default" w:ascii="Times New Roman" w:hAnsi="Times New Roman" w:eastAsia="仿宋_GB2312" w:cs="Times New Roman"/>
          <w:color w:val="auto"/>
          <w:sz w:val="32"/>
          <w:szCs w:val="32"/>
          <w:highlight w:val="none"/>
          <w:lang w:val="en-US" w:eastAsia="zh-CN"/>
        </w:rPr>
        <w:t xml:space="preserve"> </w:t>
      </w:r>
      <w:r>
        <w:rPr>
          <w:rFonts w:hint="default" w:ascii="Times New Roman" w:hAnsi="Times New Roman" w:eastAsia="仿宋_GB2312" w:cs="Times New Roman"/>
          <w:color w:val="auto"/>
          <w:sz w:val="32"/>
          <w:szCs w:val="32"/>
          <w:highlight w:val="none"/>
        </w:rPr>
        <w:t>项目跟踪审计服务费标准</w:t>
      </w:r>
    </w:p>
    <w:tbl>
      <w:tblPr>
        <w:tblStyle w:val="45"/>
        <w:tblW w:w="8247" w:type="dxa"/>
        <w:jc w:val="center"/>
        <w:tblLayout w:type="fixed"/>
        <w:tblCellMar>
          <w:top w:w="0" w:type="dxa"/>
          <w:left w:w="108" w:type="dxa"/>
          <w:bottom w:w="0" w:type="dxa"/>
          <w:right w:w="108" w:type="dxa"/>
        </w:tblCellMar>
      </w:tblPr>
      <w:tblGrid>
        <w:gridCol w:w="3685"/>
        <w:gridCol w:w="2262"/>
        <w:gridCol w:w="2300"/>
      </w:tblGrid>
      <w:tr w14:paraId="46E30F16">
        <w:tblPrEx>
          <w:tblCellMar>
            <w:top w:w="0" w:type="dxa"/>
            <w:left w:w="108" w:type="dxa"/>
            <w:bottom w:w="0" w:type="dxa"/>
            <w:right w:w="108" w:type="dxa"/>
          </w:tblCellMar>
        </w:tblPrEx>
        <w:trPr>
          <w:trHeight w:val="700" w:hRule="atLeast"/>
          <w:jc w:val="center"/>
        </w:trPr>
        <w:tc>
          <w:tcPr>
            <w:tcW w:w="3685" w:type="dxa"/>
            <w:tcBorders>
              <w:top w:val="single" w:color="auto" w:sz="4" w:space="0"/>
              <w:left w:val="single" w:color="auto" w:sz="4" w:space="0"/>
              <w:bottom w:val="single" w:color="auto" w:sz="4" w:space="0"/>
              <w:right w:val="single" w:color="auto" w:sz="4" w:space="0"/>
            </w:tcBorders>
            <w:noWrap w:val="0"/>
            <w:vAlign w:val="center"/>
          </w:tcPr>
          <w:p w14:paraId="58F64E4D">
            <w:pPr>
              <w:keepNext w:val="0"/>
              <w:keepLines w:val="0"/>
              <w:pageBreakBefore w:val="0"/>
              <w:widowControl/>
              <w:kinsoku/>
              <w:wordWrap/>
              <w:overflowPunct/>
              <w:topLinePunct w:val="0"/>
              <w:autoSpaceDE/>
              <w:autoSpaceDN/>
              <w:bidi w:val="0"/>
              <w:adjustRightInd/>
              <w:spacing w:line="400" w:lineRule="exact"/>
              <w:ind w:left="0" w:leftChars="0"/>
              <w:jc w:val="center"/>
              <w:textAlignment w:val="auto"/>
              <w:rPr>
                <w:rFonts w:hint="default" w:ascii="Times New Roman" w:hAnsi="Times New Roman" w:eastAsia="仿宋_GB2312" w:cs="Times New Roman"/>
                <w:color w:val="auto"/>
                <w:kern w:val="0"/>
                <w:sz w:val="32"/>
                <w:szCs w:val="32"/>
                <w:highlight w:val="none"/>
              </w:rPr>
            </w:pPr>
            <w:r>
              <w:rPr>
                <w:rFonts w:hint="default" w:ascii="Times New Roman" w:hAnsi="Times New Roman" w:eastAsia="仿宋_GB2312" w:cs="Times New Roman"/>
                <w:color w:val="auto"/>
                <w:kern w:val="0"/>
                <w:sz w:val="32"/>
                <w:szCs w:val="32"/>
                <w:highlight w:val="none"/>
              </w:rPr>
              <w:t>工程造价金额（万元）</w:t>
            </w:r>
          </w:p>
        </w:tc>
        <w:tc>
          <w:tcPr>
            <w:tcW w:w="2262" w:type="dxa"/>
            <w:tcBorders>
              <w:top w:val="single" w:color="auto" w:sz="4" w:space="0"/>
              <w:left w:val="single" w:color="auto" w:sz="4" w:space="0"/>
              <w:bottom w:val="single" w:color="auto" w:sz="4" w:space="0"/>
              <w:right w:val="single" w:color="auto" w:sz="4" w:space="0"/>
            </w:tcBorders>
            <w:noWrap w:val="0"/>
            <w:vAlign w:val="center"/>
          </w:tcPr>
          <w:p w14:paraId="070F92BE">
            <w:pPr>
              <w:keepNext w:val="0"/>
              <w:keepLines w:val="0"/>
              <w:pageBreakBefore w:val="0"/>
              <w:widowControl/>
              <w:kinsoku/>
              <w:wordWrap/>
              <w:overflowPunct/>
              <w:topLinePunct w:val="0"/>
              <w:autoSpaceDE/>
              <w:autoSpaceDN/>
              <w:bidi w:val="0"/>
              <w:adjustRightInd/>
              <w:spacing w:line="400" w:lineRule="exact"/>
              <w:ind w:left="0" w:leftChars="0"/>
              <w:jc w:val="center"/>
              <w:textAlignment w:val="auto"/>
              <w:rPr>
                <w:rFonts w:hint="default" w:ascii="Times New Roman" w:hAnsi="Times New Roman" w:eastAsia="仿宋_GB2312" w:cs="Times New Roman"/>
                <w:color w:val="auto"/>
                <w:kern w:val="0"/>
                <w:sz w:val="32"/>
                <w:szCs w:val="32"/>
                <w:highlight w:val="none"/>
              </w:rPr>
            </w:pPr>
            <w:r>
              <w:rPr>
                <w:rFonts w:hint="default" w:ascii="Times New Roman" w:hAnsi="Times New Roman" w:eastAsia="仿宋_GB2312" w:cs="Times New Roman"/>
                <w:color w:val="auto"/>
                <w:kern w:val="0"/>
                <w:sz w:val="32"/>
                <w:szCs w:val="32"/>
                <w:highlight w:val="none"/>
              </w:rPr>
              <w:t>基本费</w:t>
            </w:r>
          </w:p>
        </w:tc>
        <w:tc>
          <w:tcPr>
            <w:tcW w:w="2300" w:type="dxa"/>
            <w:tcBorders>
              <w:top w:val="single" w:color="auto" w:sz="4" w:space="0"/>
              <w:left w:val="nil"/>
              <w:bottom w:val="single" w:color="auto" w:sz="4" w:space="0"/>
              <w:right w:val="single" w:color="auto" w:sz="4" w:space="0"/>
            </w:tcBorders>
            <w:noWrap w:val="0"/>
            <w:vAlign w:val="center"/>
          </w:tcPr>
          <w:p w14:paraId="5EB7A19C">
            <w:pPr>
              <w:keepNext w:val="0"/>
              <w:keepLines w:val="0"/>
              <w:pageBreakBefore w:val="0"/>
              <w:widowControl/>
              <w:kinsoku/>
              <w:wordWrap/>
              <w:overflowPunct/>
              <w:topLinePunct w:val="0"/>
              <w:autoSpaceDE/>
              <w:autoSpaceDN/>
              <w:bidi w:val="0"/>
              <w:adjustRightInd/>
              <w:spacing w:line="400" w:lineRule="exact"/>
              <w:ind w:left="0" w:leftChars="0" w:firstLine="320" w:firstLineChars="100"/>
              <w:textAlignment w:val="auto"/>
              <w:rPr>
                <w:rFonts w:hint="default" w:ascii="Times New Roman" w:hAnsi="Times New Roman" w:eastAsia="仿宋_GB2312" w:cs="Times New Roman"/>
                <w:color w:val="auto"/>
                <w:kern w:val="0"/>
                <w:sz w:val="32"/>
                <w:szCs w:val="32"/>
                <w:highlight w:val="none"/>
              </w:rPr>
            </w:pPr>
            <w:r>
              <w:rPr>
                <w:rFonts w:hint="default" w:ascii="Times New Roman" w:hAnsi="Times New Roman" w:eastAsia="仿宋_GB2312" w:cs="Times New Roman"/>
                <w:color w:val="auto"/>
                <w:kern w:val="0"/>
                <w:sz w:val="32"/>
                <w:szCs w:val="32"/>
                <w:highlight w:val="none"/>
              </w:rPr>
              <w:t>审核成果费</w:t>
            </w:r>
          </w:p>
        </w:tc>
      </w:tr>
      <w:tr w14:paraId="4C0A97E3">
        <w:tblPrEx>
          <w:tblCellMar>
            <w:top w:w="0" w:type="dxa"/>
            <w:left w:w="108" w:type="dxa"/>
            <w:bottom w:w="0" w:type="dxa"/>
            <w:right w:w="108" w:type="dxa"/>
          </w:tblCellMar>
        </w:tblPrEx>
        <w:trPr>
          <w:trHeight w:val="430" w:hRule="atLeast"/>
          <w:jc w:val="center"/>
        </w:trPr>
        <w:tc>
          <w:tcPr>
            <w:tcW w:w="3685" w:type="dxa"/>
            <w:tcBorders>
              <w:top w:val="single" w:color="auto" w:sz="4" w:space="0"/>
              <w:left w:val="single" w:color="auto" w:sz="4" w:space="0"/>
              <w:bottom w:val="single" w:color="auto" w:sz="4" w:space="0"/>
              <w:right w:val="single" w:color="auto" w:sz="4" w:space="0"/>
            </w:tcBorders>
            <w:noWrap w:val="0"/>
            <w:vAlign w:val="center"/>
          </w:tcPr>
          <w:p w14:paraId="430D09E0">
            <w:pPr>
              <w:keepNext w:val="0"/>
              <w:keepLines w:val="0"/>
              <w:pageBreakBefore w:val="0"/>
              <w:widowControl/>
              <w:kinsoku/>
              <w:wordWrap/>
              <w:overflowPunct/>
              <w:topLinePunct w:val="0"/>
              <w:autoSpaceDE/>
              <w:autoSpaceDN/>
              <w:bidi w:val="0"/>
              <w:adjustRightInd/>
              <w:spacing w:line="400" w:lineRule="exact"/>
              <w:ind w:left="0" w:leftChars="0"/>
              <w:jc w:val="center"/>
              <w:textAlignment w:val="auto"/>
              <w:rPr>
                <w:rFonts w:hint="default" w:ascii="Times New Roman" w:hAnsi="Times New Roman" w:eastAsia="仿宋_GB2312" w:cs="Times New Roman"/>
                <w:color w:val="auto"/>
                <w:kern w:val="0"/>
                <w:sz w:val="32"/>
                <w:szCs w:val="32"/>
                <w:highlight w:val="none"/>
              </w:rPr>
            </w:pPr>
            <w:r>
              <w:rPr>
                <w:rFonts w:hint="default" w:ascii="Times New Roman" w:hAnsi="Times New Roman" w:eastAsia="仿宋_GB2312" w:cs="Times New Roman"/>
                <w:color w:val="auto"/>
                <w:kern w:val="0"/>
                <w:sz w:val="32"/>
                <w:szCs w:val="32"/>
                <w:highlight w:val="none"/>
                <w:lang w:eastAsia="zh-CN"/>
              </w:rPr>
              <w:t>1000</w:t>
            </w:r>
            <w:r>
              <w:rPr>
                <w:rFonts w:hint="default" w:ascii="Times New Roman" w:hAnsi="Times New Roman" w:eastAsia="仿宋_GB2312" w:cs="Times New Roman"/>
                <w:color w:val="auto"/>
                <w:kern w:val="0"/>
                <w:sz w:val="32"/>
                <w:szCs w:val="32"/>
                <w:highlight w:val="none"/>
              </w:rPr>
              <w:t>以内（含）</w:t>
            </w:r>
          </w:p>
        </w:tc>
        <w:tc>
          <w:tcPr>
            <w:tcW w:w="2262" w:type="dxa"/>
            <w:tcBorders>
              <w:top w:val="single" w:color="auto" w:sz="4" w:space="0"/>
              <w:left w:val="single" w:color="auto" w:sz="4" w:space="0"/>
              <w:bottom w:val="single" w:color="auto" w:sz="4" w:space="0"/>
              <w:right w:val="single" w:color="auto" w:sz="4" w:space="0"/>
            </w:tcBorders>
            <w:noWrap w:val="0"/>
            <w:vAlign w:val="center"/>
          </w:tcPr>
          <w:p w14:paraId="34735C60">
            <w:pPr>
              <w:keepNext w:val="0"/>
              <w:keepLines w:val="0"/>
              <w:pageBreakBefore w:val="0"/>
              <w:widowControl/>
              <w:kinsoku/>
              <w:wordWrap/>
              <w:overflowPunct/>
              <w:topLinePunct w:val="0"/>
              <w:autoSpaceDE/>
              <w:autoSpaceDN/>
              <w:bidi w:val="0"/>
              <w:adjustRightInd/>
              <w:spacing w:line="400" w:lineRule="exact"/>
              <w:ind w:left="0" w:leftChars="0"/>
              <w:jc w:val="center"/>
              <w:textAlignment w:val="auto"/>
              <w:rPr>
                <w:rFonts w:hint="default" w:ascii="Times New Roman" w:hAnsi="Times New Roman" w:eastAsia="仿宋_GB2312" w:cs="Times New Roman"/>
                <w:color w:val="auto"/>
                <w:kern w:val="0"/>
                <w:sz w:val="32"/>
                <w:szCs w:val="32"/>
                <w:highlight w:val="none"/>
              </w:rPr>
            </w:pPr>
            <w:r>
              <w:rPr>
                <w:rFonts w:hint="default" w:ascii="Times New Roman" w:hAnsi="Times New Roman" w:eastAsia="仿宋_GB2312" w:cs="Times New Roman"/>
                <w:color w:val="auto"/>
                <w:kern w:val="0"/>
                <w:sz w:val="32"/>
                <w:szCs w:val="32"/>
                <w:highlight w:val="none"/>
                <w:lang w:eastAsia="zh-CN"/>
              </w:rPr>
              <w:t>3</w:t>
            </w:r>
            <w:r>
              <w:rPr>
                <w:rFonts w:hint="default" w:ascii="Times New Roman" w:hAnsi="Times New Roman" w:eastAsia="仿宋_GB2312" w:cs="Times New Roman"/>
                <w:color w:val="auto"/>
                <w:kern w:val="0"/>
                <w:sz w:val="32"/>
                <w:szCs w:val="32"/>
                <w:highlight w:val="none"/>
              </w:rPr>
              <w:t>‰</w:t>
            </w:r>
          </w:p>
        </w:tc>
        <w:tc>
          <w:tcPr>
            <w:tcW w:w="2300" w:type="dxa"/>
            <w:tcBorders>
              <w:top w:val="nil"/>
              <w:left w:val="nil"/>
              <w:bottom w:val="single" w:color="auto" w:sz="4" w:space="0"/>
              <w:right w:val="single" w:color="auto" w:sz="4" w:space="0"/>
            </w:tcBorders>
            <w:noWrap w:val="0"/>
            <w:vAlign w:val="center"/>
          </w:tcPr>
          <w:p w14:paraId="74B54871">
            <w:pPr>
              <w:keepNext w:val="0"/>
              <w:keepLines w:val="0"/>
              <w:pageBreakBefore w:val="0"/>
              <w:widowControl/>
              <w:kinsoku/>
              <w:wordWrap/>
              <w:overflowPunct/>
              <w:topLinePunct w:val="0"/>
              <w:autoSpaceDE/>
              <w:autoSpaceDN/>
              <w:bidi w:val="0"/>
              <w:adjustRightInd/>
              <w:spacing w:line="400" w:lineRule="exact"/>
              <w:ind w:left="0" w:leftChars="0"/>
              <w:jc w:val="center"/>
              <w:textAlignment w:val="auto"/>
              <w:rPr>
                <w:rFonts w:hint="default" w:ascii="Times New Roman" w:hAnsi="Times New Roman" w:eastAsia="仿宋_GB2312" w:cs="Times New Roman"/>
                <w:b/>
                <w:bCs/>
                <w:color w:val="auto"/>
                <w:kern w:val="0"/>
                <w:sz w:val="32"/>
                <w:szCs w:val="32"/>
                <w:highlight w:val="none"/>
                <w:lang w:val="en-US" w:eastAsia="zh-CN"/>
              </w:rPr>
            </w:pPr>
            <w:r>
              <w:rPr>
                <w:rFonts w:hint="default" w:ascii="Times New Roman" w:hAnsi="Times New Roman" w:eastAsia="仿宋_GB2312" w:cs="Times New Roman"/>
                <w:b/>
                <w:bCs/>
                <w:color w:val="auto"/>
                <w:kern w:val="0"/>
                <w:sz w:val="32"/>
                <w:szCs w:val="32"/>
                <w:highlight w:val="none"/>
                <w:lang w:val="en-US" w:eastAsia="zh-CN"/>
              </w:rPr>
              <w:t>4</w:t>
            </w:r>
            <w:r>
              <w:rPr>
                <w:rFonts w:hint="default" w:ascii="Times New Roman" w:hAnsi="Times New Roman" w:eastAsia="仿宋_GB2312" w:cs="Times New Roman"/>
                <w:b/>
                <w:bCs/>
                <w:color w:val="auto"/>
                <w:kern w:val="0"/>
                <w:sz w:val="32"/>
                <w:szCs w:val="32"/>
                <w:highlight w:val="none"/>
              </w:rPr>
              <w:t>%</w:t>
            </w:r>
          </w:p>
        </w:tc>
      </w:tr>
      <w:tr w14:paraId="56D79294">
        <w:tblPrEx>
          <w:tblCellMar>
            <w:top w:w="0" w:type="dxa"/>
            <w:left w:w="108" w:type="dxa"/>
            <w:bottom w:w="0" w:type="dxa"/>
            <w:right w:w="108" w:type="dxa"/>
          </w:tblCellMar>
        </w:tblPrEx>
        <w:trPr>
          <w:trHeight w:val="430" w:hRule="atLeast"/>
          <w:jc w:val="center"/>
        </w:trPr>
        <w:tc>
          <w:tcPr>
            <w:tcW w:w="3685" w:type="dxa"/>
            <w:tcBorders>
              <w:top w:val="single" w:color="auto" w:sz="4" w:space="0"/>
              <w:left w:val="single" w:color="auto" w:sz="4" w:space="0"/>
              <w:bottom w:val="single" w:color="auto" w:sz="4" w:space="0"/>
              <w:right w:val="single" w:color="auto" w:sz="4" w:space="0"/>
            </w:tcBorders>
            <w:noWrap w:val="0"/>
            <w:vAlign w:val="center"/>
          </w:tcPr>
          <w:p w14:paraId="7E7BB888">
            <w:pPr>
              <w:keepNext w:val="0"/>
              <w:keepLines w:val="0"/>
              <w:pageBreakBefore w:val="0"/>
              <w:widowControl/>
              <w:kinsoku/>
              <w:wordWrap/>
              <w:overflowPunct/>
              <w:topLinePunct w:val="0"/>
              <w:autoSpaceDE/>
              <w:autoSpaceDN/>
              <w:bidi w:val="0"/>
              <w:adjustRightInd/>
              <w:spacing w:line="400" w:lineRule="exact"/>
              <w:ind w:left="0" w:leftChars="0"/>
              <w:jc w:val="center"/>
              <w:textAlignment w:val="auto"/>
              <w:rPr>
                <w:rFonts w:hint="default" w:ascii="Times New Roman" w:hAnsi="Times New Roman" w:eastAsia="仿宋_GB2312" w:cs="Times New Roman"/>
                <w:color w:val="auto"/>
                <w:kern w:val="0"/>
                <w:sz w:val="32"/>
                <w:szCs w:val="32"/>
                <w:highlight w:val="none"/>
              </w:rPr>
            </w:pPr>
            <w:r>
              <w:rPr>
                <w:rFonts w:hint="default" w:ascii="Times New Roman" w:hAnsi="Times New Roman" w:eastAsia="仿宋_GB2312" w:cs="Times New Roman"/>
                <w:color w:val="auto"/>
                <w:kern w:val="0"/>
                <w:sz w:val="32"/>
                <w:szCs w:val="32"/>
                <w:highlight w:val="none"/>
                <w:lang w:eastAsia="zh-CN"/>
              </w:rPr>
              <w:t>1000</w:t>
            </w:r>
            <w:r>
              <w:rPr>
                <w:rFonts w:hint="default" w:ascii="Times New Roman" w:hAnsi="Times New Roman" w:eastAsia="仿宋_GB2312" w:cs="Times New Roman"/>
                <w:color w:val="auto"/>
                <w:kern w:val="0"/>
                <w:sz w:val="32"/>
                <w:szCs w:val="32"/>
                <w:highlight w:val="none"/>
              </w:rPr>
              <w:t>-</w:t>
            </w:r>
            <w:r>
              <w:rPr>
                <w:rFonts w:hint="default" w:ascii="Times New Roman" w:hAnsi="Times New Roman" w:eastAsia="仿宋_GB2312" w:cs="Times New Roman"/>
                <w:color w:val="auto"/>
                <w:kern w:val="0"/>
                <w:sz w:val="32"/>
                <w:szCs w:val="32"/>
                <w:highlight w:val="none"/>
                <w:lang w:eastAsia="zh-CN"/>
              </w:rPr>
              <w:t>5000</w:t>
            </w:r>
            <w:r>
              <w:rPr>
                <w:rFonts w:hint="default" w:ascii="Times New Roman" w:hAnsi="Times New Roman" w:eastAsia="仿宋_GB2312" w:cs="Times New Roman"/>
                <w:color w:val="auto"/>
                <w:kern w:val="0"/>
                <w:sz w:val="32"/>
                <w:szCs w:val="32"/>
                <w:highlight w:val="none"/>
              </w:rPr>
              <w:t>以内（含）</w:t>
            </w:r>
          </w:p>
        </w:tc>
        <w:tc>
          <w:tcPr>
            <w:tcW w:w="2262" w:type="dxa"/>
            <w:tcBorders>
              <w:top w:val="single" w:color="auto" w:sz="4" w:space="0"/>
              <w:left w:val="nil"/>
              <w:bottom w:val="single" w:color="auto" w:sz="4" w:space="0"/>
              <w:right w:val="single" w:color="auto" w:sz="4" w:space="0"/>
            </w:tcBorders>
            <w:noWrap w:val="0"/>
            <w:vAlign w:val="center"/>
          </w:tcPr>
          <w:p w14:paraId="623D3707">
            <w:pPr>
              <w:keepNext w:val="0"/>
              <w:keepLines w:val="0"/>
              <w:pageBreakBefore w:val="0"/>
              <w:widowControl/>
              <w:kinsoku/>
              <w:wordWrap/>
              <w:overflowPunct/>
              <w:topLinePunct w:val="0"/>
              <w:autoSpaceDE/>
              <w:autoSpaceDN/>
              <w:bidi w:val="0"/>
              <w:adjustRightInd/>
              <w:spacing w:line="400" w:lineRule="exact"/>
              <w:ind w:left="0" w:leftChars="0"/>
              <w:jc w:val="center"/>
              <w:textAlignment w:val="auto"/>
              <w:rPr>
                <w:rFonts w:hint="default" w:ascii="Times New Roman" w:hAnsi="Times New Roman" w:eastAsia="仿宋_GB2312" w:cs="Times New Roman"/>
                <w:color w:val="auto"/>
                <w:kern w:val="0"/>
                <w:sz w:val="32"/>
                <w:szCs w:val="32"/>
                <w:highlight w:val="none"/>
              </w:rPr>
            </w:pPr>
            <w:r>
              <w:rPr>
                <w:rFonts w:hint="default" w:ascii="Times New Roman" w:hAnsi="Times New Roman" w:eastAsia="仿宋_GB2312" w:cs="Times New Roman"/>
                <w:color w:val="auto"/>
                <w:kern w:val="0"/>
                <w:sz w:val="32"/>
                <w:szCs w:val="32"/>
                <w:highlight w:val="none"/>
                <w:lang w:eastAsia="zh-CN"/>
              </w:rPr>
              <w:t>2</w:t>
            </w:r>
            <w:r>
              <w:rPr>
                <w:rFonts w:hint="default" w:ascii="Times New Roman" w:hAnsi="Times New Roman" w:eastAsia="仿宋_GB2312" w:cs="Times New Roman"/>
                <w:color w:val="auto"/>
                <w:kern w:val="0"/>
                <w:sz w:val="32"/>
                <w:szCs w:val="32"/>
                <w:highlight w:val="none"/>
              </w:rPr>
              <w:t>‰</w:t>
            </w:r>
          </w:p>
        </w:tc>
        <w:tc>
          <w:tcPr>
            <w:tcW w:w="2300" w:type="dxa"/>
            <w:tcBorders>
              <w:top w:val="nil"/>
              <w:left w:val="nil"/>
              <w:bottom w:val="single" w:color="auto" w:sz="4" w:space="0"/>
              <w:right w:val="single" w:color="auto" w:sz="4" w:space="0"/>
            </w:tcBorders>
            <w:noWrap w:val="0"/>
            <w:vAlign w:val="center"/>
          </w:tcPr>
          <w:p w14:paraId="3276A496">
            <w:pPr>
              <w:keepNext w:val="0"/>
              <w:keepLines w:val="0"/>
              <w:pageBreakBefore w:val="0"/>
              <w:widowControl/>
              <w:kinsoku/>
              <w:wordWrap/>
              <w:overflowPunct/>
              <w:topLinePunct w:val="0"/>
              <w:autoSpaceDE/>
              <w:autoSpaceDN/>
              <w:bidi w:val="0"/>
              <w:adjustRightInd/>
              <w:spacing w:line="400" w:lineRule="exact"/>
              <w:ind w:left="0" w:leftChars="0"/>
              <w:jc w:val="center"/>
              <w:textAlignment w:val="auto"/>
              <w:rPr>
                <w:rFonts w:hint="default" w:ascii="Times New Roman" w:hAnsi="Times New Roman" w:eastAsia="仿宋_GB2312" w:cs="Times New Roman"/>
                <w:b/>
                <w:bCs/>
                <w:color w:val="auto"/>
                <w:kern w:val="0"/>
                <w:sz w:val="32"/>
                <w:szCs w:val="32"/>
                <w:highlight w:val="none"/>
                <w:lang w:val="en-US" w:eastAsia="zh-CN"/>
              </w:rPr>
            </w:pPr>
            <w:r>
              <w:rPr>
                <w:rFonts w:hint="default" w:ascii="Times New Roman" w:hAnsi="Times New Roman" w:eastAsia="仿宋_GB2312" w:cs="Times New Roman"/>
                <w:b/>
                <w:bCs/>
                <w:color w:val="auto"/>
                <w:kern w:val="0"/>
                <w:sz w:val="32"/>
                <w:szCs w:val="32"/>
                <w:highlight w:val="none"/>
                <w:lang w:val="en-US" w:eastAsia="zh-CN"/>
              </w:rPr>
              <w:t>4</w:t>
            </w:r>
            <w:r>
              <w:rPr>
                <w:rFonts w:hint="default" w:ascii="Times New Roman" w:hAnsi="Times New Roman" w:eastAsia="仿宋_GB2312" w:cs="Times New Roman"/>
                <w:b/>
                <w:bCs/>
                <w:color w:val="auto"/>
                <w:kern w:val="0"/>
                <w:sz w:val="32"/>
                <w:szCs w:val="32"/>
                <w:highlight w:val="none"/>
              </w:rPr>
              <w:t>%</w:t>
            </w:r>
          </w:p>
        </w:tc>
      </w:tr>
      <w:tr w14:paraId="1906D17E">
        <w:tblPrEx>
          <w:tblCellMar>
            <w:top w:w="0" w:type="dxa"/>
            <w:left w:w="108" w:type="dxa"/>
            <w:bottom w:w="0" w:type="dxa"/>
            <w:right w:w="108" w:type="dxa"/>
          </w:tblCellMar>
        </w:tblPrEx>
        <w:trPr>
          <w:trHeight w:val="430" w:hRule="atLeast"/>
          <w:jc w:val="center"/>
        </w:trPr>
        <w:tc>
          <w:tcPr>
            <w:tcW w:w="3685" w:type="dxa"/>
            <w:tcBorders>
              <w:top w:val="nil"/>
              <w:left w:val="single" w:color="auto" w:sz="4" w:space="0"/>
              <w:bottom w:val="single" w:color="auto" w:sz="4" w:space="0"/>
              <w:right w:val="single" w:color="auto" w:sz="4" w:space="0"/>
            </w:tcBorders>
            <w:noWrap w:val="0"/>
            <w:vAlign w:val="center"/>
          </w:tcPr>
          <w:p w14:paraId="27708E48">
            <w:pPr>
              <w:keepNext w:val="0"/>
              <w:keepLines w:val="0"/>
              <w:pageBreakBefore w:val="0"/>
              <w:widowControl/>
              <w:kinsoku/>
              <w:wordWrap/>
              <w:overflowPunct/>
              <w:topLinePunct w:val="0"/>
              <w:autoSpaceDE/>
              <w:autoSpaceDN/>
              <w:bidi w:val="0"/>
              <w:adjustRightInd/>
              <w:spacing w:line="400" w:lineRule="exact"/>
              <w:ind w:left="0" w:leftChars="0"/>
              <w:jc w:val="center"/>
              <w:textAlignment w:val="auto"/>
              <w:rPr>
                <w:rFonts w:hint="default" w:ascii="Times New Roman" w:hAnsi="Times New Roman" w:eastAsia="仿宋_GB2312" w:cs="Times New Roman"/>
                <w:color w:val="auto"/>
                <w:kern w:val="0"/>
                <w:sz w:val="32"/>
                <w:szCs w:val="32"/>
                <w:highlight w:val="none"/>
              </w:rPr>
            </w:pPr>
            <w:r>
              <w:rPr>
                <w:rFonts w:hint="default" w:ascii="Times New Roman" w:hAnsi="Times New Roman" w:eastAsia="仿宋_GB2312" w:cs="Times New Roman"/>
                <w:color w:val="auto"/>
                <w:kern w:val="0"/>
                <w:sz w:val="32"/>
                <w:szCs w:val="32"/>
                <w:highlight w:val="none"/>
                <w:lang w:eastAsia="zh-CN"/>
              </w:rPr>
              <w:t>5000</w:t>
            </w:r>
            <w:r>
              <w:rPr>
                <w:rFonts w:hint="default" w:ascii="Times New Roman" w:hAnsi="Times New Roman" w:eastAsia="仿宋_GB2312" w:cs="Times New Roman"/>
                <w:color w:val="auto"/>
                <w:kern w:val="0"/>
                <w:sz w:val="32"/>
                <w:szCs w:val="32"/>
                <w:highlight w:val="none"/>
              </w:rPr>
              <w:t>-</w:t>
            </w:r>
            <w:r>
              <w:rPr>
                <w:rFonts w:hint="default" w:ascii="Times New Roman" w:hAnsi="Times New Roman" w:eastAsia="仿宋_GB2312" w:cs="Times New Roman"/>
                <w:color w:val="auto"/>
                <w:kern w:val="0"/>
                <w:sz w:val="32"/>
                <w:szCs w:val="32"/>
                <w:highlight w:val="none"/>
                <w:lang w:eastAsia="zh-CN"/>
              </w:rPr>
              <w:t>10000</w:t>
            </w:r>
            <w:r>
              <w:rPr>
                <w:rFonts w:hint="default" w:ascii="Times New Roman" w:hAnsi="Times New Roman" w:eastAsia="仿宋_GB2312" w:cs="Times New Roman"/>
                <w:color w:val="auto"/>
                <w:kern w:val="0"/>
                <w:sz w:val="32"/>
                <w:szCs w:val="32"/>
                <w:highlight w:val="none"/>
              </w:rPr>
              <w:t>以内（含）</w:t>
            </w:r>
          </w:p>
        </w:tc>
        <w:tc>
          <w:tcPr>
            <w:tcW w:w="2262" w:type="dxa"/>
            <w:tcBorders>
              <w:top w:val="nil"/>
              <w:left w:val="nil"/>
              <w:bottom w:val="single" w:color="auto" w:sz="4" w:space="0"/>
              <w:right w:val="single" w:color="auto" w:sz="4" w:space="0"/>
            </w:tcBorders>
            <w:noWrap w:val="0"/>
            <w:vAlign w:val="center"/>
          </w:tcPr>
          <w:p w14:paraId="07FFE572">
            <w:pPr>
              <w:keepNext w:val="0"/>
              <w:keepLines w:val="0"/>
              <w:pageBreakBefore w:val="0"/>
              <w:widowControl/>
              <w:kinsoku/>
              <w:wordWrap/>
              <w:overflowPunct/>
              <w:topLinePunct w:val="0"/>
              <w:autoSpaceDE/>
              <w:autoSpaceDN/>
              <w:bidi w:val="0"/>
              <w:adjustRightInd/>
              <w:spacing w:line="400" w:lineRule="exact"/>
              <w:ind w:left="0" w:leftChars="0"/>
              <w:jc w:val="center"/>
              <w:textAlignment w:val="auto"/>
              <w:rPr>
                <w:rFonts w:hint="default" w:ascii="Times New Roman" w:hAnsi="Times New Roman" w:eastAsia="仿宋_GB2312" w:cs="Times New Roman"/>
                <w:color w:val="auto"/>
                <w:kern w:val="0"/>
                <w:sz w:val="32"/>
                <w:szCs w:val="32"/>
                <w:highlight w:val="none"/>
              </w:rPr>
            </w:pPr>
            <w:r>
              <w:rPr>
                <w:rFonts w:hint="default" w:ascii="Times New Roman" w:hAnsi="Times New Roman" w:eastAsia="仿宋_GB2312" w:cs="Times New Roman"/>
                <w:color w:val="auto"/>
                <w:kern w:val="0"/>
                <w:sz w:val="32"/>
                <w:szCs w:val="32"/>
                <w:highlight w:val="none"/>
                <w:lang w:eastAsia="zh-CN"/>
              </w:rPr>
              <w:t>1</w:t>
            </w:r>
            <w:r>
              <w:rPr>
                <w:rFonts w:hint="default" w:ascii="Times New Roman" w:hAnsi="Times New Roman" w:eastAsia="仿宋_GB2312" w:cs="Times New Roman"/>
                <w:color w:val="auto"/>
                <w:kern w:val="0"/>
                <w:sz w:val="32"/>
                <w:szCs w:val="32"/>
                <w:highlight w:val="none"/>
              </w:rPr>
              <w:t>.</w:t>
            </w:r>
            <w:r>
              <w:rPr>
                <w:rFonts w:hint="default" w:ascii="Times New Roman" w:hAnsi="Times New Roman" w:eastAsia="仿宋_GB2312" w:cs="Times New Roman"/>
                <w:color w:val="auto"/>
                <w:kern w:val="0"/>
                <w:sz w:val="32"/>
                <w:szCs w:val="32"/>
                <w:highlight w:val="none"/>
                <w:lang w:eastAsia="zh-CN"/>
              </w:rPr>
              <w:t>5</w:t>
            </w:r>
            <w:r>
              <w:rPr>
                <w:rFonts w:hint="default" w:ascii="Times New Roman" w:hAnsi="Times New Roman" w:eastAsia="仿宋_GB2312" w:cs="Times New Roman"/>
                <w:color w:val="auto"/>
                <w:kern w:val="0"/>
                <w:sz w:val="32"/>
                <w:szCs w:val="32"/>
                <w:highlight w:val="none"/>
              </w:rPr>
              <w:t>‰</w:t>
            </w:r>
          </w:p>
        </w:tc>
        <w:tc>
          <w:tcPr>
            <w:tcW w:w="2300" w:type="dxa"/>
            <w:tcBorders>
              <w:top w:val="nil"/>
              <w:left w:val="nil"/>
              <w:bottom w:val="single" w:color="auto" w:sz="4" w:space="0"/>
              <w:right w:val="single" w:color="auto" w:sz="4" w:space="0"/>
            </w:tcBorders>
            <w:noWrap w:val="0"/>
            <w:vAlign w:val="center"/>
          </w:tcPr>
          <w:p w14:paraId="79430B07">
            <w:pPr>
              <w:keepNext w:val="0"/>
              <w:keepLines w:val="0"/>
              <w:pageBreakBefore w:val="0"/>
              <w:widowControl/>
              <w:kinsoku/>
              <w:wordWrap/>
              <w:overflowPunct/>
              <w:topLinePunct w:val="0"/>
              <w:autoSpaceDE/>
              <w:autoSpaceDN/>
              <w:bidi w:val="0"/>
              <w:adjustRightInd/>
              <w:spacing w:line="400" w:lineRule="exact"/>
              <w:ind w:left="0" w:leftChars="0"/>
              <w:jc w:val="center"/>
              <w:textAlignment w:val="auto"/>
              <w:rPr>
                <w:rFonts w:hint="default" w:ascii="Times New Roman" w:hAnsi="Times New Roman" w:eastAsia="仿宋_GB2312" w:cs="Times New Roman"/>
                <w:b/>
                <w:bCs/>
                <w:color w:val="auto"/>
                <w:kern w:val="0"/>
                <w:sz w:val="32"/>
                <w:szCs w:val="32"/>
                <w:highlight w:val="none"/>
                <w:lang w:val="en-US" w:eastAsia="zh-CN"/>
              </w:rPr>
            </w:pPr>
            <w:r>
              <w:rPr>
                <w:rFonts w:hint="default" w:ascii="Times New Roman" w:hAnsi="Times New Roman" w:eastAsia="仿宋_GB2312" w:cs="Times New Roman"/>
                <w:b/>
                <w:bCs/>
                <w:color w:val="auto"/>
                <w:kern w:val="0"/>
                <w:sz w:val="32"/>
                <w:szCs w:val="32"/>
                <w:highlight w:val="none"/>
                <w:lang w:val="en-US" w:eastAsia="zh-CN"/>
              </w:rPr>
              <w:t>4</w:t>
            </w:r>
            <w:r>
              <w:rPr>
                <w:rFonts w:hint="default" w:ascii="Times New Roman" w:hAnsi="Times New Roman" w:eastAsia="仿宋_GB2312" w:cs="Times New Roman"/>
                <w:b/>
                <w:bCs/>
                <w:color w:val="auto"/>
                <w:kern w:val="0"/>
                <w:sz w:val="32"/>
                <w:szCs w:val="32"/>
                <w:highlight w:val="none"/>
              </w:rPr>
              <w:t>%</w:t>
            </w:r>
          </w:p>
        </w:tc>
      </w:tr>
      <w:tr w14:paraId="7D595D7C">
        <w:tblPrEx>
          <w:tblCellMar>
            <w:top w:w="0" w:type="dxa"/>
            <w:left w:w="108" w:type="dxa"/>
            <w:bottom w:w="0" w:type="dxa"/>
            <w:right w:w="108" w:type="dxa"/>
          </w:tblCellMar>
        </w:tblPrEx>
        <w:trPr>
          <w:trHeight w:val="430" w:hRule="atLeast"/>
          <w:jc w:val="center"/>
        </w:trPr>
        <w:tc>
          <w:tcPr>
            <w:tcW w:w="3685" w:type="dxa"/>
            <w:tcBorders>
              <w:top w:val="nil"/>
              <w:left w:val="single" w:color="auto" w:sz="4" w:space="0"/>
              <w:bottom w:val="single" w:color="auto" w:sz="4" w:space="0"/>
              <w:right w:val="single" w:color="auto" w:sz="4" w:space="0"/>
            </w:tcBorders>
            <w:noWrap w:val="0"/>
            <w:vAlign w:val="center"/>
          </w:tcPr>
          <w:p w14:paraId="117CD817">
            <w:pPr>
              <w:keepNext w:val="0"/>
              <w:keepLines w:val="0"/>
              <w:pageBreakBefore w:val="0"/>
              <w:widowControl/>
              <w:kinsoku/>
              <w:wordWrap/>
              <w:overflowPunct/>
              <w:topLinePunct w:val="0"/>
              <w:autoSpaceDE/>
              <w:autoSpaceDN/>
              <w:bidi w:val="0"/>
              <w:adjustRightInd/>
              <w:spacing w:line="400" w:lineRule="exact"/>
              <w:ind w:left="0" w:leftChars="0"/>
              <w:jc w:val="center"/>
              <w:textAlignment w:val="auto"/>
              <w:rPr>
                <w:rFonts w:hint="default" w:ascii="Times New Roman" w:hAnsi="Times New Roman" w:eastAsia="仿宋_GB2312" w:cs="Times New Roman"/>
                <w:color w:val="auto"/>
                <w:kern w:val="0"/>
                <w:sz w:val="32"/>
                <w:szCs w:val="32"/>
                <w:highlight w:val="none"/>
              </w:rPr>
            </w:pPr>
            <w:r>
              <w:rPr>
                <w:rFonts w:hint="default" w:ascii="Times New Roman" w:hAnsi="Times New Roman" w:eastAsia="仿宋_GB2312" w:cs="Times New Roman"/>
                <w:color w:val="auto"/>
                <w:kern w:val="0"/>
                <w:sz w:val="32"/>
                <w:szCs w:val="32"/>
                <w:highlight w:val="none"/>
                <w:lang w:eastAsia="zh-CN"/>
              </w:rPr>
              <w:t>10000</w:t>
            </w:r>
            <w:r>
              <w:rPr>
                <w:rFonts w:hint="default" w:ascii="Times New Roman" w:hAnsi="Times New Roman" w:eastAsia="仿宋_GB2312" w:cs="Times New Roman"/>
                <w:color w:val="auto"/>
                <w:kern w:val="0"/>
                <w:sz w:val="32"/>
                <w:szCs w:val="32"/>
                <w:highlight w:val="none"/>
              </w:rPr>
              <w:t>-</w:t>
            </w:r>
            <w:r>
              <w:rPr>
                <w:rFonts w:hint="default" w:ascii="Times New Roman" w:hAnsi="Times New Roman" w:eastAsia="仿宋_GB2312" w:cs="Times New Roman"/>
                <w:color w:val="auto"/>
                <w:kern w:val="0"/>
                <w:sz w:val="32"/>
                <w:szCs w:val="32"/>
                <w:highlight w:val="none"/>
                <w:lang w:val="en-US" w:eastAsia="zh-CN"/>
              </w:rPr>
              <w:t>5</w:t>
            </w:r>
            <w:r>
              <w:rPr>
                <w:rFonts w:hint="default" w:ascii="Times New Roman" w:hAnsi="Times New Roman" w:eastAsia="仿宋_GB2312" w:cs="Times New Roman"/>
                <w:color w:val="auto"/>
                <w:kern w:val="0"/>
                <w:sz w:val="32"/>
                <w:szCs w:val="32"/>
                <w:highlight w:val="none"/>
                <w:lang w:eastAsia="zh-CN"/>
              </w:rPr>
              <w:t>0000</w:t>
            </w:r>
            <w:r>
              <w:rPr>
                <w:rFonts w:hint="default" w:ascii="Times New Roman" w:hAnsi="Times New Roman" w:eastAsia="仿宋_GB2312" w:cs="Times New Roman"/>
                <w:color w:val="auto"/>
                <w:kern w:val="0"/>
                <w:sz w:val="32"/>
                <w:szCs w:val="32"/>
                <w:highlight w:val="none"/>
              </w:rPr>
              <w:t>以内（含）</w:t>
            </w:r>
          </w:p>
        </w:tc>
        <w:tc>
          <w:tcPr>
            <w:tcW w:w="2262" w:type="dxa"/>
            <w:tcBorders>
              <w:top w:val="nil"/>
              <w:left w:val="nil"/>
              <w:bottom w:val="single" w:color="auto" w:sz="4" w:space="0"/>
              <w:right w:val="single" w:color="auto" w:sz="4" w:space="0"/>
            </w:tcBorders>
            <w:noWrap w:val="0"/>
            <w:vAlign w:val="center"/>
          </w:tcPr>
          <w:p w14:paraId="1C21E3E6">
            <w:pPr>
              <w:keepNext w:val="0"/>
              <w:keepLines w:val="0"/>
              <w:pageBreakBefore w:val="0"/>
              <w:widowControl/>
              <w:kinsoku/>
              <w:wordWrap/>
              <w:overflowPunct/>
              <w:topLinePunct w:val="0"/>
              <w:autoSpaceDE/>
              <w:autoSpaceDN/>
              <w:bidi w:val="0"/>
              <w:adjustRightInd/>
              <w:spacing w:line="400" w:lineRule="exact"/>
              <w:ind w:left="0" w:leftChars="0"/>
              <w:jc w:val="center"/>
              <w:textAlignment w:val="auto"/>
              <w:rPr>
                <w:rFonts w:hint="default" w:ascii="Times New Roman" w:hAnsi="Times New Roman" w:eastAsia="仿宋_GB2312" w:cs="Times New Roman"/>
                <w:color w:val="auto"/>
                <w:kern w:val="0"/>
                <w:sz w:val="32"/>
                <w:szCs w:val="32"/>
                <w:highlight w:val="none"/>
              </w:rPr>
            </w:pPr>
            <w:r>
              <w:rPr>
                <w:rFonts w:hint="default" w:ascii="Times New Roman" w:hAnsi="Times New Roman" w:eastAsia="仿宋_GB2312" w:cs="Times New Roman"/>
                <w:color w:val="auto"/>
                <w:kern w:val="0"/>
                <w:sz w:val="32"/>
                <w:szCs w:val="32"/>
                <w:highlight w:val="none"/>
                <w:lang w:eastAsia="zh-CN"/>
              </w:rPr>
              <w:t>1</w:t>
            </w:r>
            <w:r>
              <w:rPr>
                <w:rFonts w:hint="default" w:ascii="Times New Roman" w:hAnsi="Times New Roman" w:eastAsia="仿宋_GB2312" w:cs="Times New Roman"/>
                <w:color w:val="auto"/>
                <w:kern w:val="0"/>
                <w:sz w:val="32"/>
                <w:szCs w:val="32"/>
                <w:highlight w:val="none"/>
              </w:rPr>
              <w:t>.</w:t>
            </w:r>
            <w:r>
              <w:rPr>
                <w:rFonts w:hint="default" w:ascii="Times New Roman" w:hAnsi="Times New Roman" w:eastAsia="仿宋_GB2312" w:cs="Times New Roman"/>
                <w:color w:val="auto"/>
                <w:kern w:val="0"/>
                <w:sz w:val="32"/>
                <w:szCs w:val="32"/>
                <w:highlight w:val="none"/>
                <w:lang w:eastAsia="zh-CN"/>
              </w:rPr>
              <w:t>3</w:t>
            </w:r>
            <w:r>
              <w:rPr>
                <w:rFonts w:hint="default" w:ascii="Times New Roman" w:hAnsi="Times New Roman" w:eastAsia="仿宋_GB2312" w:cs="Times New Roman"/>
                <w:color w:val="auto"/>
                <w:kern w:val="0"/>
                <w:sz w:val="32"/>
                <w:szCs w:val="32"/>
                <w:highlight w:val="none"/>
              </w:rPr>
              <w:t>‰</w:t>
            </w:r>
          </w:p>
        </w:tc>
        <w:tc>
          <w:tcPr>
            <w:tcW w:w="2300" w:type="dxa"/>
            <w:tcBorders>
              <w:top w:val="nil"/>
              <w:left w:val="nil"/>
              <w:bottom w:val="single" w:color="auto" w:sz="4" w:space="0"/>
              <w:right w:val="single" w:color="auto" w:sz="4" w:space="0"/>
            </w:tcBorders>
            <w:noWrap w:val="0"/>
            <w:vAlign w:val="center"/>
          </w:tcPr>
          <w:p w14:paraId="174AED4A">
            <w:pPr>
              <w:keepNext w:val="0"/>
              <w:keepLines w:val="0"/>
              <w:pageBreakBefore w:val="0"/>
              <w:widowControl/>
              <w:kinsoku/>
              <w:wordWrap/>
              <w:overflowPunct/>
              <w:topLinePunct w:val="0"/>
              <w:autoSpaceDE/>
              <w:autoSpaceDN/>
              <w:bidi w:val="0"/>
              <w:adjustRightInd/>
              <w:spacing w:line="400" w:lineRule="exact"/>
              <w:jc w:val="center"/>
              <w:textAlignment w:val="auto"/>
              <w:rPr>
                <w:rFonts w:hint="default" w:ascii="Times New Roman" w:hAnsi="Times New Roman" w:eastAsia="仿宋_GB2312" w:cs="Times New Roman"/>
                <w:b/>
                <w:bCs/>
                <w:color w:val="auto"/>
                <w:kern w:val="0"/>
                <w:sz w:val="32"/>
                <w:szCs w:val="32"/>
                <w:highlight w:val="none"/>
                <w:lang w:val="en-US" w:eastAsia="zh-CN"/>
              </w:rPr>
            </w:pPr>
            <w:r>
              <w:rPr>
                <w:rFonts w:hint="default" w:ascii="Times New Roman" w:hAnsi="Times New Roman" w:eastAsia="仿宋_GB2312" w:cs="Times New Roman"/>
                <w:b/>
                <w:bCs/>
                <w:color w:val="auto"/>
                <w:kern w:val="0"/>
                <w:sz w:val="32"/>
                <w:szCs w:val="32"/>
                <w:highlight w:val="none"/>
                <w:lang w:val="en-US" w:eastAsia="zh-CN"/>
              </w:rPr>
              <w:t>4</w:t>
            </w:r>
            <w:r>
              <w:rPr>
                <w:rFonts w:hint="default" w:ascii="Times New Roman" w:hAnsi="Times New Roman" w:eastAsia="仿宋_GB2312" w:cs="Times New Roman"/>
                <w:b/>
                <w:bCs/>
                <w:color w:val="auto"/>
                <w:kern w:val="0"/>
                <w:sz w:val="32"/>
                <w:szCs w:val="32"/>
                <w:highlight w:val="none"/>
              </w:rPr>
              <w:t>%</w:t>
            </w:r>
          </w:p>
        </w:tc>
      </w:tr>
      <w:tr w14:paraId="2300AFBB">
        <w:tblPrEx>
          <w:tblCellMar>
            <w:top w:w="0" w:type="dxa"/>
            <w:left w:w="108" w:type="dxa"/>
            <w:bottom w:w="0" w:type="dxa"/>
            <w:right w:w="108" w:type="dxa"/>
          </w:tblCellMar>
        </w:tblPrEx>
        <w:trPr>
          <w:trHeight w:val="430" w:hRule="atLeast"/>
          <w:jc w:val="center"/>
        </w:trPr>
        <w:tc>
          <w:tcPr>
            <w:tcW w:w="3685" w:type="dxa"/>
            <w:tcBorders>
              <w:top w:val="single" w:color="auto" w:sz="4" w:space="0"/>
              <w:left w:val="single" w:color="auto" w:sz="4" w:space="0"/>
              <w:bottom w:val="single" w:color="auto" w:sz="4" w:space="0"/>
              <w:right w:val="single" w:color="auto" w:sz="4" w:space="0"/>
            </w:tcBorders>
            <w:noWrap w:val="0"/>
            <w:vAlign w:val="center"/>
          </w:tcPr>
          <w:p w14:paraId="29862835">
            <w:pPr>
              <w:keepNext w:val="0"/>
              <w:keepLines w:val="0"/>
              <w:pageBreakBefore w:val="0"/>
              <w:widowControl/>
              <w:kinsoku/>
              <w:wordWrap/>
              <w:overflowPunct/>
              <w:topLinePunct w:val="0"/>
              <w:autoSpaceDE/>
              <w:autoSpaceDN/>
              <w:bidi w:val="0"/>
              <w:adjustRightInd/>
              <w:spacing w:line="400" w:lineRule="exact"/>
              <w:ind w:left="0" w:leftChars="0"/>
              <w:jc w:val="center"/>
              <w:textAlignment w:val="auto"/>
              <w:rPr>
                <w:rFonts w:hint="default" w:ascii="Times New Roman" w:hAnsi="Times New Roman" w:eastAsia="仿宋_GB2312" w:cs="Times New Roman"/>
                <w:color w:val="auto"/>
                <w:kern w:val="0"/>
                <w:sz w:val="32"/>
                <w:szCs w:val="32"/>
                <w:highlight w:val="none"/>
              </w:rPr>
            </w:pPr>
            <w:r>
              <w:rPr>
                <w:rFonts w:hint="default" w:ascii="Times New Roman" w:hAnsi="Times New Roman" w:eastAsia="仿宋_GB2312" w:cs="Times New Roman"/>
                <w:color w:val="auto"/>
                <w:kern w:val="0"/>
                <w:sz w:val="32"/>
                <w:szCs w:val="32"/>
                <w:highlight w:val="none"/>
                <w:lang w:eastAsia="zh-CN"/>
              </w:rPr>
              <w:t>50000</w:t>
            </w:r>
            <w:r>
              <w:rPr>
                <w:rFonts w:hint="default" w:ascii="Times New Roman" w:hAnsi="Times New Roman" w:eastAsia="仿宋_GB2312" w:cs="Times New Roman"/>
                <w:color w:val="auto"/>
                <w:kern w:val="0"/>
                <w:sz w:val="32"/>
                <w:szCs w:val="32"/>
                <w:highlight w:val="none"/>
              </w:rPr>
              <w:t>以上</w:t>
            </w:r>
          </w:p>
        </w:tc>
        <w:tc>
          <w:tcPr>
            <w:tcW w:w="2262" w:type="dxa"/>
            <w:tcBorders>
              <w:top w:val="single" w:color="auto" w:sz="4" w:space="0"/>
              <w:left w:val="nil"/>
              <w:bottom w:val="single" w:color="auto" w:sz="4" w:space="0"/>
              <w:right w:val="single" w:color="auto" w:sz="4" w:space="0"/>
            </w:tcBorders>
            <w:noWrap w:val="0"/>
            <w:vAlign w:val="center"/>
          </w:tcPr>
          <w:p w14:paraId="68F3BE5D">
            <w:pPr>
              <w:keepNext w:val="0"/>
              <w:keepLines w:val="0"/>
              <w:pageBreakBefore w:val="0"/>
              <w:widowControl/>
              <w:kinsoku/>
              <w:wordWrap/>
              <w:overflowPunct/>
              <w:topLinePunct w:val="0"/>
              <w:autoSpaceDE/>
              <w:autoSpaceDN/>
              <w:bidi w:val="0"/>
              <w:adjustRightInd/>
              <w:spacing w:line="400" w:lineRule="exact"/>
              <w:ind w:left="0" w:leftChars="0"/>
              <w:jc w:val="center"/>
              <w:textAlignment w:val="auto"/>
              <w:rPr>
                <w:rFonts w:hint="default" w:ascii="Times New Roman" w:hAnsi="Times New Roman" w:eastAsia="仿宋_GB2312" w:cs="Times New Roman"/>
                <w:color w:val="auto"/>
                <w:kern w:val="0"/>
                <w:sz w:val="32"/>
                <w:szCs w:val="32"/>
                <w:highlight w:val="none"/>
              </w:rPr>
            </w:pPr>
            <w:r>
              <w:rPr>
                <w:rFonts w:hint="default" w:ascii="Times New Roman" w:hAnsi="Times New Roman" w:eastAsia="仿宋_GB2312" w:cs="Times New Roman"/>
                <w:color w:val="auto"/>
                <w:kern w:val="0"/>
                <w:sz w:val="32"/>
                <w:szCs w:val="32"/>
                <w:highlight w:val="none"/>
                <w:lang w:eastAsia="zh-CN"/>
              </w:rPr>
              <w:t>0</w:t>
            </w:r>
            <w:r>
              <w:rPr>
                <w:rFonts w:hint="default" w:ascii="Times New Roman" w:hAnsi="Times New Roman" w:eastAsia="仿宋_GB2312" w:cs="Times New Roman"/>
                <w:color w:val="auto"/>
                <w:kern w:val="0"/>
                <w:sz w:val="32"/>
                <w:szCs w:val="32"/>
                <w:highlight w:val="none"/>
              </w:rPr>
              <w:t>.</w:t>
            </w:r>
            <w:r>
              <w:rPr>
                <w:rFonts w:hint="default" w:ascii="Times New Roman" w:hAnsi="Times New Roman" w:eastAsia="仿宋_GB2312" w:cs="Times New Roman"/>
                <w:color w:val="auto"/>
                <w:kern w:val="0"/>
                <w:sz w:val="32"/>
                <w:szCs w:val="32"/>
                <w:highlight w:val="none"/>
                <w:lang w:eastAsia="zh-CN"/>
              </w:rPr>
              <w:t>8</w:t>
            </w:r>
            <w:r>
              <w:rPr>
                <w:rFonts w:hint="default" w:ascii="Times New Roman" w:hAnsi="Times New Roman" w:eastAsia="仿宋_GB2312" w:cs="Times New Roman"/>
                <w:color w:val="auto"/>
                <w:kern w:val="0"/>
                <w:sz w:val="32"/>
                <w:szCs w:val="32"/>
                <w:highlight w:val="none"/>
              </w:rPr>
              <w:t>‰</w:t>
            </w:r>
          </w:p>
        </w:tc>
        <w:tc>
          <w:tcPr>
            <w:tcW w:w="2300" w:type="dxa"/>
            <w:tcBorders>
              <w:top w:val="single" w:color="auto" w:sz="4" w:space="0"/>
              <w:left w:val="nil"/>
              <w:bottom w:val="single" w:color="auto" w:sz="4" w:space="0"/>
              <w:right w:val="single" w:color="auto" w:sz="4" w:space="0"/>
            </w:tcBorders>
            <w:noWrap w:val="0"/>
            <w:vAlign w:val="center"/>
          </w:tcPr>
          <w:p w14:paraId="2F5339E0">
            <w:pPr>
              <w:keepNext w:val="0"/>
              <w:keepLines w:val="0"/>
              <w:pageBreakBefore w:val="0"/>
              <w:widowControl/>
              <w:kinsoku/>
              <w:wordWrap/>
              <w:overflowPunct/>
              <w:topLinePunct w:val="0"/>
              <w:autoSpaceDE/>
              <w:autoSpaceDN/>
              <w:bidi w:val="0"/>
              <w:adjustRightInd/>
              <w:spacing w:line="400" w:lineRule="exact"/>
              <w:ind w:left="0" w:leftChars="0"/>
              <w:jc w:val="center"/>
              <w:textAlignment w:val="auto"/>
              <w:rPr>
                <w:rFonts w:hint="default" w:ascii="Times New Roman" w:hAnsi="Times New Roman" w:eastAsia="仿宋_GB2312" w:cs="Times New Roman"/>
                <w:b/>
                <w:bCs/>
                <w:color w:val="auto"/>
                <w:kern w:val="0"/>
                <w:sz w:val="32"/>
                <w:szCs w:val="32"/>
                <w:highlight w:val="none"/>
                <w:lang w:eastAsia="zh-CN"/>
              </w:rPr>
            </w:pPr>
            <w:r>
              <w:rPr>
                <w:rFonts w:hint="default" w:ascii="Times New Roman" w:hAnsi="Times New Roman" w:eastAsia="仿宋_GB2312" w:cs="Times New Roman"/>
                <w:b/>
                <w:bCs/>
                <w:color w:val="auto"/>
                <w:kern w:val="0"/>
                <w:sz w:val="32"/>
                <w:szCs w:val="32"/>
                <w:highlight w:val="none"/>
                <w:lang w:val="en-US" w:eastAsia="zh-CN"/>
              </w:rPr>
              <w:t>4</w:t>
            </w:r>
            <w:r>
              <w:rPr>
                <w:rFonts w:hint="default" w:ascii="Times New Roman" w:hAnsi="Times New Roman" w:eastAsia="仿宋_GB2312" w:cs="Times New Roman"/>
                <w:b/>
                <w:bCs/>
                <w:color w:val="auto"/>
                <w:kern w:val="0"/>
                <w:sz w:val="32"/>
                <w:szCs w:val="32"/>
                <w:highlight w:val="none"/>
              </w:rPr>
              <w:t>%</w:t>
            </w:r>
          </w:p>
        </w:tc>
      </w:tr>
    </w:tbl>
    <w:p w14:paraId="6B856C47">
      <w:pPr>
        <w:keepNext w:val="0"/>
        <w:keepLines w:val="0"/>
        <w:pageBreakBefore w:val="0"/>
        <w:numPr>
          <w:ilvl w:val="0"/>
          <w:numId w:val="2"/>
        </w:numPr>
        <w:kinsoku/>
        <w:wordWrap/>
        <w:overflowPunct/>
        <w:topLinePunct w:val="0"/>
        <w:autoSpaceDE/>
        <w:autoSpaceDN/>
        <w:bidi w:val="0"/>
        <w:adjustRightInd/>
        <w:snapToGrid w:val="0"/>
        <w:spacing w:line="40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项目结算审</w:t>
      </w:r>
      <w:r>
        <w:rPr>
          <w:rFonts w:hint="default" w:ascii="Times New Roman" w:hAnsi="Times New Roman" w:eastAsia="仿宋_GB2312" w:cs="Times New Roman"/>
          <w:color w:val="auto"/>
          <w:sz w:val="32"/>
          <w:szCs w:val="32"/>
          <w:highlight w:val="none"/>
          <w:lang w:eastAsia="zh-CN"/>
        </w:rPr>
        <w:t>核</w:t>
      </w:r>
      <w:r>
        <w:rPr>
          <w:rFonts w:hint="default" w:ascii="Times New Roman" w:hAnsi="Times New Roman" w:eastAsia="仿宋_GB2312" w:cs="Times New Roman"/>
          <w:color w:val="auto"/>
          <w:sz w:val="32"/>
          <w:szCs w:val="32"/>
          <w:highlight w:val="none"/>
        </w:rPr>
        <w:t>服务费标准</w:t>
      </w:r>
    </w:p>
    <w:tbl>
      <w:tblPr>
        <w:tblStyle w:val="45"/>
        <w:tblW w:w="0" w:type="auto"/>
        <w:jc w:val="center"/>
        <w:tblLayout w:type="fixed"/>
        <w:tblCellMar>
          <w:top w:w="0" w:type="dxa"/>
          <w:left w:w="108" w:type="dxa"/>
          <w:bottom w:w="0" w:type="dxa"/>
          <w:right w:w="108" w:type="dxa"/>
        </w:tblCellMar>
      </w:tblPr>
      <w:tblGrid>
        <w:gridCol w:w="3705"/>
        <w:gridCol w:w="2280"/>
        <w:gridCol w:w="2340"/>
      </w:tblGrid>
      <w:tr w14:paraId="45585103">
        <w:tblPrEx>
          <w:tblCellMar>
            <w:top w:w="0" w:type="dxa"/>
            <w:left w:w="108" w:type="dxa"/>
            <w:bottom w:w="0" w:type="dxa"/>
            <w:right w:w="108" w:type="dxa"/>
          </w:tblCellMar>
        </w:tblPrEx>
        <w:trPr>
          <w:trHeight w:val="435" w:hRule="atLeast"/>
          <w:jc w:val="center"/>
        </w:trPr>
        <w:tc>
          <w:tcPr>
            <w:tcW w:w="3705" w:type="dxa"/>
            <w:tcBorders>
              <w:top w:val="single" w:color="auto" w:sz="4" w:space="0"/>
              <w:left w:val="single" w:color="auto" w:sz="4" w:space="0"/>
              <w:bottom w:val="single" w:color="auto" w:sz="4" w:space="0"/>
              <w:right w:val="single" w:color="auto" w:sz="4" w:space="0"/>
            </w:tcBorders>
            <w:noWrap w:val="0"/>
            <w:vAlign w:val="center"/>
          </w:tcPr>
          <w:p w14:paraId="20237C1E">
            <w:pPr>
              <w:keepNext w:val="0"/>
              <w:keepLines w:val="0"/>
              <w:pageBreakBefore w:val="0"/>
              <w:widowControl/>
              <w:kinsoku/>
              <w:wordWrap/>
              <w:overflowPunct/>
              <w:topLinePunct w:val="0"/>
              <w:autoSpaceDE/>
              <w:autoSpaceDN/>
              <w:bidi w:val="0"/>
              <w:adjustRightInd/>
              <w:spacing w:line="400" w:lineRule="exact"/>
              <w:ind w:left="0" w:leftChars="0"/>
              <w:textAlignment w:val="auto"/>
              <w:rPr>
                <w:rFonts w:hint="default" w:ascii="Times New Roman" w:hAnsi="Times New Roman" w:eastAsia="仿宋_GB2312" w:cs="Times New Roman"/>
                <w:color w:val="auto"/>
                <w:kern w:val="0"/>
                <w:sz w:val="32"/>
                <w:szCs w:val="32"/>
                <w:highlight w:val="none"/>
              </w:rPr>
            </w:pPr>
            <w:r>
              <w:rPr>
                <w:rFonts w:hint="default" w:ascii="Times New Roman" w:hAnsi="Times New Roman" w:eastAsia="仿宋_GB2312" w:cs="Times New Roman"/>
                <w:color w:val="auto"/>
                <w:kern w:val="0"/>
                <w:sz w:val="32"/>
                <w:szCs w:val="32"/>
                <w:highlight w:val="none"/>
              </w:rPr>
              <w:t>工程造价金额（万元）</w:t>
            </w:r>
          </w:p>
        </w:tc>
        <w:tc>
          <w:tcPr>
            <w:tcW w:w="2280" w:type="dxa"/>
            <w:tcBorders>
              <w:top w:val="single" w:color="auto" w:sz="4" w:space="0"/>
              <w:left w:val="nil"/>
              <w:bottom w:val="single" w:color="auto" w:sz="4" w:space="0"/>
              <w:right w:val="single" w:color="auto" w:sz="4" w:space="0"/>
            </w:tcBorders>
            <w:noWrap w:val="0"/>
            <w:vAlign w:val="center"/>
          </w:tcPr>
          <w:p w14:paraId="5561062D">
            <w:pPr>
              <w:keepNext w:val="0"/>
              <w:keepLines w:val="0"/>
              <w:pageBreakBefore w:val="0"/>
              <w:widowControl/>
              <w:kinsoku/>
              <w:wordWrap/>
              <w:overflowPunct/>
              <w:topLinePunct w:val="0"/>
              <w:autoSpaceDE/>
              <w:autoSpaceDN/>
              <w:bidi w:val="0"/>
              <w:adjustRightInd/>
              <w:spacing w:line="400" w:lineRule="exact"/>
              <w:textAlignment w:val="auto"/>
              <w:rPr>
                <w:rFonts w:hint="default" w:ascii="Times New Roman" w:hAnsi="Times New Roman" w:eastAsia="仿宋_GB2312" w:cs="Times New Roman"/>
                <w:color w:val="auto"/>
                <w:kern w:val="0"/>
                <w:sz w:val="32"/>
                <w:szCs w:val="32"/>
                <w:highlight w:val="none"/>
                <w:lang w:eastAsia="zh-CN"/>
              </w:rPr>
            </w:pPr>
            <w:r>
              <w:rPr>
                <w:rFonts w:hint="default" w:ascii="Times New Roman" w:hAnsi="Times New Roman" w:eastAsia="仿宋_GB2312" w:cs="Times New Roman"/>
                <w:color w:val="auto"/>
                <w:kern w:val="0"/>
                <w:sz w:val="32"/>
                <w:szCs w:val="32"/>
                <w:highlight w:val="none"/>
              </w:rPr>
              <w:t>基本费</w:t>
            </w:r>
            <w:r>
              <w:rPr>
                <w:rFonts w:hint="default" w:ascii="Times New Roman" w:hAnsi="Times New Roman" w:eastAsia="仿宋_GB2312" w:cs="Times New Roman"/>
                <w:color w:val="auto"/>
                <w:kern w:val="0"/>
                <w:sz w:val="32"/>
                <w:szCs w:val="32"/>
                <w:highlight w:val="none"/>
                <w:lang w:eastAsia="zh-CN"/>
              </w:rPr>
              <w:t>（</w:t>
            </w:r>
            <w:r>
              <w:rPr>
                <w:rFonts w:hint="default" w:ascii="Times New Roman" w:hAnsi="Times New Roman" w:eastAsia="仿宋_GB2312" w:cs="Times New Roman"/>
                <w:color w:val="auto"/>
                <w:kern w:val="0"/>
                <w:sz w:val="32"/>
                <w:szCs w:val="32"/>
                <w:highlight w:val="none"/>
              </w:rPr>
              <w:t>元</w:t>
            </w:r>
            <w:r>
              <w:rPr>
                <w:rFonts w:hint="default" w:ascii="Times New Roman" w:hAnsi="Times New Roman" w:eastAsia="仿宋_GB2312" w:cs="Times New Roman"/>
                <w:color w:val="auto"/>
                <w:kern w:val="0"/>
                <w:sz w:val="32"/>
                <w:szCs w:val="32"/>
                <w:highlight w:val="none"/>
                <w:lang w:eastAsia="zh-CN"/>
              </w:rPr>
              <w:t>）</w:t>
            </w:r>
          </w:p>
        </w:tc>
        <w:tc>
          <w:tcPr>
            <w:tcW w:w="2340" w:type="dxa"/>
            <w:tcBorders>
              <w:top w:val="single" w:color="auto" w:sz="4" w:space="0"/>
              <w:left w:val="nil"/>
              <w:bottom w:val="single" w:color="auto" w:sz="4" w:space="0"/>
              <w:right w:val="single" w:color="auto" w:sz="4" w:space="0"/>
            </w:tcBorders>
            <w:noWrap w:val="0"/>
            <w:vAlign w:val="center"/>
          </w:tcPr>
          <w:p w14:paraId="13E3BED9">
            <w:pPr>
              <w:keepNext w:val="0"/>
              <w:keepLines w:val="0"/>
              <w:pageBreakBefore w:val="0"/>
              <w:widowControl/>
              <w:kinsoku/>
              <w:wordWrap/>
              <w:overflowPunct/>
              <w:topLinePunct w:val="0"/>
              <w:autoSpaceDE/>
              <w:autoSpaceDN/>
              <w:bidi w:val="0"/>
              <w:adjustRightInd/>
              <w:spacing w:line="400" w:lineRule="exact"/>
              <w:ind w:left="0" w:leftChars="0" w:firstLine="320" w:firstLineChars="100"/>
              <w:textAlignment w:val="auto"/>
              <w:rPr>
                <w:rFonts w:hint="default" w:ascii="Times New Roman" w:hAnsi="Times New Roman" w:eastAsia="仿宋_GB2312" w:cs="Times New Roman"/>
                <w:color w:val="auto"/>
                <w:kern w:val="0"/>
                <w:sz w:val="32"/>
                <w:szCs w:val="32"/>
                <w:highlight w:val="none"/>
              </w:rPr>
            </w:pPr>
            <w:r>
              <w:rPr>
                <w:rFonts w:hint="default" w:ascii="Times New Roman" w:hAnsi="Times New Roman" w:eastAsia="仿宋_GB2312" w:cs="Times New Roman"/>
                <w:color w:val="auto"/>
                <w:kern w:val="0"/>
                <w:sz w:val="32"/>
                <w:szCs w:val="32"/>
                <w:highlight w:val="none"/>
              </w:rPr>
              <w:t>审核成果费</w:t>
            </w:r>
          </w:p>
        </w:tc>
      </w:tr>
      <w:tr w14:paraId="47BC0585">
        <w:tblPrEx>
          <w:tblCellMar>
            <w:top w:w="0" w:type="dxa"/>
            <w:left w:w="108" w:type="dxa"/>
            <w:bottom w:w="0" w:type="dxa"/>
            <w:right w:w="108" w:type="dxa"/>
          </w:tblCellMar>
        </w:tblPrEx>
        <w:trPr>
          <w:trHeight w:val="430" w:hRule="atLeast"/>
          <w:jc w:val="center"/>
        </w:trPr>
        <w:tc>
          <w:tcPr>
            <w:tcW w:w="3705" w:type="dxa"/>
            <w:tcBorders>
              <w:top w:val="nil"/>
              <w:left w:val="single" w:color="auto" w:sz="4" w:space="0"/>
              <w:bottom w:val="single" w:color="auto" w:sz="4" w:space="0"/>
              <w:right w:val="single" w:color="auto" w:sz="4" w:space="0"/>
            </w:tcBorders>
            <w:noWrap w:val="0"/>
            <w:vAlign w:val="center"/>
          </w:tcPr>
          <w:p w14:paraId="55AA603C">
            <w:pPr>
              <w:keepNext w:val="0"/>
              <w:keepLines w:val="0"/>
              <w:pageBreakBefore w:val="0"/>
              <w:widowControl/>
              <w:kinsoku/>
              <w:wordWrap/>
              <w:overflowPunct/>
              <w:topLinePunct w:val="0"/>
              <w:autoSpaceDE/>
              <w:autoSpaceDN/>
              <w:bidi w:val="0"/>
              <w:adjustRightInd/>
              <w:spacing w:line="400" w:lineRule="exact"/>
              <w:ind w:left="0" w:leftChars="0"/>
              <w:jc w:val="center"/>
              <w:textAlignment w:val="auto"/>
              <w:rPr>
                <w:rFonts w:hint="default" w:ascii="Times New Roman" w:hAnsi="Times New Roman" w:eastAsia="仿宋_GB2312" w:cs="Times New Roman"/>
                <w:color w:val="auto"/>
                <w:kern w:val="0"/>
                <w:sz w:val="32"/>
                <w:szCs w:val="32"/>
                <w:highlight w:val="none"/>
              </w:rPr>
            </w:pPr>
            <w:r>
              <w:rPr>
                <w:rFonts w:hint="default" w:ascii="Times New Roman" w:hAnsi="Times New Roman" w:eastAsia="仿宋_GB2312" w:cs="Times New Roman"/>
                <w:color w:val="auto"/>
                <w:kern w:val="0"/>
                <w:sz w:val="32"/>
                <w:szCs w:val="32"/>
                <w:highlight w:val="none"/>
                <w:lang w:eastAsia="zh-CN"/>
              </w:rPr>
              <w:t>500</w:t>
            </w:r>
            <w:r>
              <w:rPr>
                <w:rFonts w:hint="default" w:ascii="Times New Roman" w:hAnsi="Times New Roman" w:eastAsia="仿宋_GB2312" w:cs="Times New Roman"/>
                <w:color w:val="auto"/>
                <w:kern w:val="0"/>
                <w:sz w:val="32"/>
                <w:szCs w:val="32"/>
                <w:highlight w:val="none"/>
              </w:rPr>
              <w:t>以内</w:t>
            </w:r>
          </w:p>
        </w:tc>
        <w:tc>
          <w:tcPr>
            <w:tcW w:w="2280" w:type="dxa"/>
            <w:tcBorders>
              <w:top w:val="nil"/>
              <w:left w:val="nil"/>
              <w:bottom w:val="single" w:color="auto" w:sz="4" w:space="0"/>
              <w:right w:val="single" w:color="auto" w:sz="4" w:space="0"/>
            </w:tcBorders>
            <w:noWrap w:val="0"/>
            <w:vAlign w:val="center"/>
          </w:tcPr>
          <w:p w14:paraId="60E9908A">
            <w:pPr>
              <w:keepNext w:val="0"/>
              <w:keepLines w:val="0"/>
              <w:pageBreakBefore w:val="0"/>
              <w:widowControl/>
              <w:kinsoku/>
              <w:wordWrap/>
              <w:overflowPunct/>
              <w:topLinePunct w:val="0"/>
              <w:autoSpaceDE/>
              <w:autoSpaceDN/>
              <w:bidi w:val="0"/>
              <w:adjustRightInd/>
              <w:spacing w:line="400" w:lineRule="exact"/>
              <w:ind w:left="0" w:leftChars="0"/>
              <w:jc w:val="center"/>
              <w:textAlignment w:val="auto"/>
              <w:rPr>
                <w:rFonts w:hint="default" w:ascii="Times New Roman" w:hAnsi="Times New Roman" w:eastAsia="仿宋_GB2312" w:cs="Times New Roman"/>
                <w:color w:val="auto"/>
                <w:kern w:val="0"/>
                <w:sz w:val="32"/>
                <w:szCs w:val="32"/>
                <w:highlight w:val="none"/>
              </w:rPr>
            </w:pPr>
            <w:r>
              <w:rPr>
                <w:rFonts w:hint="default" w:ascii="Times New Roman" w:hAnsi="Times New Roman" w:eastAsia="仿宋_GB2312" w:cs="Times New Roman"/>
                <w:color w:val="auto"/>
                <w:kern w:val="0"/>
                <w:sz w:val="32"/>
                <w:szCs w:val="32"/>
                <w:highlight w:val="none"/>
                <w:lang w:eastAsia="zh-CN"/>
              </w:rPr>
              <w:t>5000</w:t>
            </w:r>
          </w:p>
        </w:tc>
        <w:tc>
          <w:tcPr>
            <w:tcW w:w="2340" w:type="dxa"/>
            <w:tcBorders>
              <w:top w:val="nil"/>
              <w:left w:val="nil"/>
              <w:bottom w:val="single" w:color="auto" w:sz="4" w:space="0"/>
              <w:right w:val="single" w:color="auto" w:sz="4" w:space="0"/>
            </w:tcBorders>
            <w:noWrap w:val="0"/>
            <w:vAlign w:val="center"/>
          </w:tcPr>
          <w:p w14:paraId="14A4D1E1">
            <w:pPr>
              <w:keepNext w:val="0"/>
              <w:keepLines w:val="0"/>
              <w:pageBreakBefore w:val="0"/>
              <w:widowControl/>
              <w:kinsoku/>
              <w:wordWrap/>
              <w:overflowPunct/>
              <w:topLinePunct w:val="0"/>
              <w:autoSpaceDE/>
              <w:autoSpaceDN/>
              <w:bidi w:val="0"/>
              <w:adjustRightInd/>
              <w:spacing w:line="400" w:lineRule="exact"/>
              <w:ind w:left="0" w:leftChars="0"/>
              <w:jc w:val="center"/>
              <w:textAlignment w:val="auto"/>
              <w:rPr>
                <w:rFonts w:hint="default" w:ascii="Times New Roman" w:hAnsi="Times New Roman" w:eastAsia="仿宋_GB2312" w:cs="Times New Roman"/>
                <w:b/>
                <w:bCs/>
                <w:color w:val="auto"/>
                <w:kern w:val="0"/>
                <w:sz w:val="32"/>
                <w:szCs w:val="32"/>
                <w:highlight w:val="none"/>
              </w:rPr>
            </w:pPr>
            <w:r>
              <w:rPr>
                <w:rFonts w:hint="default" w:ascii="Times New Roman" w:hAnsi="Times New Roman" w:eastAsia="仿宋_GB2312" w:cs="Times New Roman"/>
                <w:b/>
                <w:bCs/>
                <w:color w:val="auto"/>
                <w:kern w:val="0"/>
                <w:sz w:val="32"/>
                <w:szCs w:val="32"/>
                <w:highlight w:val="none"/>
                <w:lang w:val="en-US" w:eastAsia="zh-CN"/>
              </w:rPr>
              <w:t>4</w:t>
            </w:r>
            <w:r>
              <w:rPr>
                <w:rFonts w:hint="default" w:ascii="Times New Roman" w:hAnsi="Times New Roman" w:eastAsia="仿宋_GB2312" w:cs="Times New Roman"/>
                <w:b/>
                <w:bCs/>
                <w:color w:val="auto"/>
                <w:kern w:val="0"/>
                <w:sz w:val="32"/>
                <w:szCs w:val="32"/>
                <w:highlight w:val="none"/>
              </w:rPr>
              <w:t>%</w:t>
            </w:r>
          </w:p>
        </w:tc>
      </w:tr>
      <w:tr w14:paraId="0AB279DC">
        <w:tblPrEx>
          <w:tblCellMar>
            <w:top w:w="0" w:type="dxa"/>
            <w:left w:w="108" w:type="dxa"/>
            <w:bottom w:w="0" w:type="dxa"/>
            <w:right w:w="108" w:type="dxa"/>
          </w:tblCellMar>
        </w:tblPrEx>
        <w:trPr>
          <w:trHeight w:val="430" w:hRule="atLeast"/>
          <w:jc w:val="center"/>
        </w:trPr>
        <w:tc>
          <w:tcPr>
            <w:tcW w:w="3705" w:type="dxa"/>
            <w:tcBorders>
              <w:top w:val="nil"/>
              <w:left w:val="single" w:color="auto" w:sz="4" w:space="0"/>
              <w:bottom w:val="single" w:color="auto" w:sz="4" w:space="0"/>
              <w:right w:val="single" w:color="auto" w:sz="4" w:space="0"/>
            </w:tcBorders>
            <w:noWrap w:val="0"/>
            <w:vAlign w:val="center"/>
          </w:tcPr>
          <w:p w14:paraId="1D36C136">
            <w:pPr>
              <w:keepNext w:val="0"/>
              <w:keepLines w:val="0"/>
              <w:pageBreakBefore w:val="0"/>
              <w:widowControl/>
              <w:kinsoku/>
              <w:wordWrap/>
              <w:overflowPunct/>
              <w:topLinePunct w:val="0"/>
              <w:autoSpaceDE/>
              <w:autoSpaceDN/>
              <w:bidi w:val="0"/>
              <w:adjustRightInd/>
              <w:spacing w:line="400" w:lineRule="exact"/>
              <w:ind w:left="0" w:leftChars="0"/>
              <w:jc w:val="center"/>
              <w:textAlignment w:val="auto"/>
              <w:rPr>
                <w:rFonts w:hint="default" w:ascii="Times New Roman" w:hAnsi="Times New Roman" w:eastAsia="仿宋_GB2312" w:cs="Times New Roman"/>
                <w:color w:val="auto"/>
                <w:kern w:val="0"/>
                <w:sz w:val="32"/>
                <w:szCs w:val="32"/>
                <w:highlight w:val="none"/>
              </w:rPr>
            </w:pPr>
            <w:r>
              <w:rPr>
                <w:rFonts w:hint="default" w:ascii="Times New Roman" w:hAnsi="Times New Roman" w:eastAsia="仿宋_GB2312" w:cs="Times New Roman"/>
                <w:color w:val="auto"/>
                <w:kern w:val="0"/>
                <w:sz w:val="32"/>
                <w:szCs w:val="32"/>
                <w:highlight w:val="none"/>
                <w:lang w:eastAsia="zh-CN"/>
              </w:rPr>
              <w:t>500</w:t>
            </w:r>
            <w:r>
              <w:rPr>
                <w:rFonts w:hint="default" w:ascii="Times New Roman" w:hAnsi="Times New Roman" w:eastAsia="仿宋_GB2312" w:cs="Times New Roman"/>
                <w:color w:val="auto"/>
                <w:kern w:val="0"/>
                <w:sz w:val="32"/>
                <w:szCs w:val="32"/>
                <w:highlight w:val="none"/>
              </w:rPr>
              <w:t>-</w:t>
            </w:r>
            <w:r>
              <w:rPr>
                <w:rFonts w:hint="default" w:ascii="Times New Roman" w:hAnsi="Times New Roman" w:eastAsia="仿宋_GB2312" w:cs="Times New Roman"/>
                <w:color w:val="auto"/>
                <w:kern w:val="0"/>
                <w:sz w:val="32"/>
                <w:szCs w:val="32"/>
                <w:highlight w:val="none"/>
                <w:lang w:eastAsia="zh-CN"/>
              </w:rPr>
              <w:t>1000</w:t>
            </w:r>
            <w:r>
              <w:rPr>
                <w:rFonts w:hint="default" w:ascii="Times New Roman" w:hAnsi="Times New Roman" w:eastAsia="仿宋_GB2312" w:cs="Times New Roman"/>
                <w:color w:val="auto"/>
                <w:kern w:val="0"/>
                <w:sz w:val="32"/>
                <w:szCs w:val="32"/>
                <w:highlight w:val="none"/>
              </w:rPr>
              <w:t>以内（含）</w:t>
            </w:r>
          </w:p>
        </w:tc>
        <w:tc>
          <w:tcPr>
            <w:tcW w:w="2280" w:type="dxa"/>
            <w:tcBorders>
              <w:top w:val="nil"/>
              <w:left w:val="nil"/>
              <w:bottom w:val="single" w:color="auto" w:sz="4" w:space="0"/>
              <w:right w:val="single" w:color="auto" w:sz="4" w:space="0"/>
            </w:tcBorders>
            <w:noWrap w:val="0"/>
            <w:vAlign w:val="center"/>
          </w:tcPr>
          <w:p w14:paraId="04D96951">
            <w:pPr>
              <w:keepNext w:val="0"/>
              <w:keepLines w:val="0"/>
              <w:pageBreakBefore w:val="0"/>
              <w:widowControl/>
              <w:kinsoku/>
              <w:wordWrap/>
              <w:overflowPunct/>
              <w:topLinePunct w:val="0"/>
              <w:autoSpaceDE/>
              <w:autoSpaceDN/>
              <w:bidi w:val="0"/>
              <w:adjustRightInd/>
              <w:spacing w:line="400" w:lineRule="exact"/>
              <w:ind w:left="0" w:leftChars="0"/>
              <w:jc w:val="center"/>
              <w:textAlignment w:val="auto"/>
              <w:rPr>
                <w:rFonts w:hint="default" w:ascii="Times New Roman" w:hAnsi="Times New Roman" w:eastAsia="仿宋_GB2312" w:cs="Times New Roman"/>
                <w:color w:val="auto"/>
                <w:kern w:val="0"/>
                <w:sz w:val="32"/>
                <w:szCs w:val="32"/>
                <w:highlight w:val="none"/>
              </w:rPr>
            </w:pPr>
            <w:r>
              <w:rPr>
                <w:rFonts w:hint="default" w:ascii="Times New Roman" w:hAnsi="Times New Roman" w:eastAsia="仿宋_GB2312" w:cs="Times New Roman"/>
                <w:color w:val="auto"/>
                <w:kern w:val="0"/>
                <w:sz w:val="32"/>
                <w:szCs w:val="32"/>
                <w:highlight w:val="none"/>
                <w:lang w:eastAsia="zh-CN"/>
              </w:rPr>
              <w:t>8000</w:t>
            </w:r>
          </w:p>
        </w:tc>
        <w:tc>
          <w:tcPr>
            <w:tcW w:w="2340" w:type="dxa"/>
            <w:tcBorders>
              <w:top w:val="nil"/>
              <w:left w:val="nil"/>
              <w:bottom w:val="single" w:color="auto" w:sz="4" w:space="0"/>
              <w:right w:val="single" w:color="auto" w:sz="4" w:space="0"/>
            </w:tcBorders>
            <w:noWrap w:val="0"/>
            <w:vAlign w:val="center"/>
          </w:tcPr>
          <w:p w14:paraId="15EEA1C7">
            <w:pPr>
              <w:keepNext w:val="0"/>
              <w:keepLines w:val="0"/>
              <w:pageBreakBefore w:val="0"/>
              <w:widowControl/>
              <w:kinsoku/>
              <w:wordWrap/>
              <w:overflowPunct/>
              <w:topLinePunct w:val="0"/>
              <w:autoSpaceDE/>
              <w:autoSpaceDN/>
              <w:bidi w:val="0"/>
              <w:adjustRightInd/>
              <w:spacing w:line="400" w:lineRule="exact"/>
              <w:ind w:left="0" w:leftChars="0"/>
              <w:jc w:val="center"/>
              <w:textAlignment w:val="auto"/>
              <w:rPr>
                <w:rFonts w:hint="default" w:ascii="Times New Roman" w:hAnsi="Times New Roman" w:eastAsia="仿宋_GB2312" w:cs="Times New Roman"/>
                <w:b/>
                <w:bCs/>
                <w:color w:val="auto"/>
                <w:kern w:val="0"/>
                <w:sz w:val="32"/>
                <w:szCs w:val="32"/>
                <w:highlight w:val="none"/>
              </w:rPr>
            </w:pPr>
            <w:r>
              <w:rPr>
                <w:rFonts w:hint="default" w:ascii="Times New Roman" w:hAnsi="Times New Roman" w:eastAsia="仿宋_GB2312" w:cs="Times New Roman"/>
                <w:b/>
                <w:bCs/>
                <w:color w:val="auto"/>
                <w:kern w:val="0"/>
                <w:sz w:val="32"/>
                <w:szCs w:val="32"/>
                <w:highlight w:val="none"/>
                <w:lang w:val="en-US" w:eastAsia="zh-CN"/>
              </w:rPr>
              <w:t>4</w:t>
            </w:r>
            <w:r>
              <w:rPr>
                <w:rFonts w:hint="default" w:ascii="Times New Roman" w:hAnsi="Times New Roman" w:eastAsia="仿宋_GB2312" w:cs="Times New Roman"/>
                <w:b/>
                <w:bCs/>
                <w:color w:val="auto"/>
                <w:kern w:val="0"/>
                <w:sz w:val="32"/>
                <w:szCs w:val="32"/>
                <w:highlight w:val="none"/>
              </w:rPr>
              <w:t>%</w:t>
            </w:r>
          </w:p>
        </w:tc>
      </w:tr>
      <w:tr w14:paraId="664C2EE2">
        <w:tblPrEx>
          <w:tblCellMar>
            <w:top w:w="0" w:type="dxa"/>
            <w:left w:w="108" w:type="dxa"/>
            <w:bottom w:w="0" w:type="dxa"/>
            <w:right w:w="108" w:type="dxa"/>
          </w:tblCellMar>
        </w:tblPrEx>
        <w:trPr>
          <w:trHeight w:val="176" w:hRule="atLeast"/>
          <w:jc w:val="center"/>
        </w:trPr>
        <w:tc>
          <w:tcPr>
            <w:tcW w:w="3705" w:type="dxa"/>
            <w:tcBorders>
              <w:top w:val="single" w:color="auto" w:sz="4" w:space="0"/>
              <w:left w:val="single" w:color="auto" w:sz="4" w:space="0"/>
              <w:bottom w:val="single" w:color="auto" w:sz="4" w:space="0"/>
              <w:right w:val="single" w:color="auto" w:sz="4" w:space="0"/>
            </w:tcBorders>
            <w:noWrap w:val="0"/>
            <w:vAlign w:val="center"/>
          </w:tcPr>
          <w:p w14:paraId="2ED00D97">
            <w:pPr>
              <w:keepNext w:val="0"/>
              <w:keepLines w:val="0"/>
              <w:pageBreakBefore w:val="0"/>
              <w:widowControl/>
              <w:kinsoku/>
              <w:wordWrap/>
              <w:overflowPunct/>
              <w:topLinePunct w:val="0"/>
              <w:autoSpaceDE/>
              <w:autoSpaceDN/>
              <w:bidi w:val="0"/>
              <w:adjustRightInd/>
              <w:spacing w:line="400" w:lineRule="exact"/>
              <w:ind w:left="0" w:leftChars="0"/>
              <w:jc w:val="center"/>
              <w:textAlignment w:val="auto"/>
              <w:rPr>
                <w:rFonts w:hint="default" w:ascii="Times New Roman" w:hAnsi="Times New Roman" w:eastAsia="仿宋_GB2312" w:cs="Times New Roman"/>
                <w:color w:val="auto"/>
                <w:kern w:val="0"/>
                <w:sz w:val="32"/>
                <w:szCs w:val="32"/>
                <w:highlight w:val="none"/>
              </w:rPr>
            </w:pPr>
            <w:r>
              <w:rPr>
                <w:rFonts w:hint="default" w:ascii="Times New Roman" w:hAnsi="Times New Roman" w:eastAsia="仿宋_GB2312" w:cs="Times New Roman"/>
                <w:color w:val="auto"/>
                <w:kern w:val="0"/>
                <w:sz w:val="32"/>
                <w:szCs w:val="32"/>
                <w:highlight w:val="none"/>
                <w:lang w:eastAsia="zh-CN"/>
              </w:rPr>
              <w:t>1000</w:t>
            </w:r>
            <w:r>
              <w:rPr>
                <w:rFonts w:hint="default" w:ascii="Times New Roman" w:hAnsi="Times New Roman" w:eastAsia="仿宋_GB2312" w:cs="Times New Roman"/>
                <w:color w:val="auto"/>
                <w:kern w:val="0"/>
                <w:sz w:val="32"/>
                <w:szCs w:val="32"/>
                <w:highlight w:val="none"/>
              </w:rPr>
              <w:t>-</w:t>
            </w:r>
            <w:r>
              <w:rPr>
                <w:rFonts w:hint="default" w:ascii="Times New Roman" w:hAnsi="Times New Roman" w:eastAsia="仿宋_GB2312" w:cs="Times New Roman"/>
                <w:color w:val="auto"/>
                <w:kern w:val="0"/>
                <w:sz w:val="32"/>
                <w:szCs w:val="32"/>
                <w:highlight w:val="none"/>
                <w:lang w:eastAsia="zh-CN"/>
              </w:rPr>
              <w:t>10000</w:t>
            </w:r>
            <w:r>
              <w:rPr>
                <w:rFonts w:hint="default" w:ascii="Times New Roman" w:hAnsi="Times New Roman" w:eastAsia="仿宋_GB2312" w:cs="Times New Roman"/>
                <w:color w:val="auto"/>
                <w:kern w:val="0"/>
                <w:sz w:val="32"/>
                <w:szCs w:val="32"/>
                <w:highlight w:val="none"/>
              </w:rPr>
              <w:t>以内（含）</w:t>
            </w:r>
          </w:p>
        </w:tc>
        <w:tc>
          <w:tcPr>
            <w:tcW w:w="2280" w:type="dxa"/>
            <w:tcBorders>
              <w:top w:val="single" w:color="auto" w:sz="4" w:space="0"/>
              <w:left w:val="single" w:color="auto" w:sz="4" w:space="0"/>
              <w:bottom w:val="single" w:color="auto" w:sz="4" w:space="0"/>
              <w:right w:val="single" w:color="auto" w:sz="4" w:space="0"/>
            </w:tcBorders>
            <w:noWrap w:val="0"/>
            <w:vAlign w:val="center"/>
          </w:tcPr>
          <w:p w14:paraId="2EDB0A6F">
            <w:pPr>
              <w:keepNext w:val="0"/>
              <w:keepLines w:val="0"/>
              <w:pageBreakBefore w:val="0"/>
              <w:widowControl/>
              <w:kinsoku/>
              <w:wordWrap/>
              <w:overflowPunct/>
              <w:topLinePunct w:val="0"/>
              <w:autoSpaceDE/>
              <w:autoSpaceDN/>
              <w:bidi w:val="0"/>
              <w:adjustRightInd/>
              <w:spacing w:line="400" w:lineRule="exact"/>
              <w:ind w:left="0" w:leftChars="0"/>
              <w:jc w:val="center"/>
              <w:textAlignment w:val="auto"/>
              <w:rPr>
                <w:rFonts w:hint="default" w:ascii="Times New Roman" w:hAnsi="Times New Roman" w:eastAsia="仿宋_GB2312" w:cs="Times New Roman"/>
                <w:color w:val="auto"/>
                <w:kern w:val="0"/>
                <w:sz w:val="32"/>
                <w:szCs w:val="32"/>
                <w:highlight w:val="none"/>
              </w:rPr>
            </w:pPr>
            <w:r>
              <w:rPr>
                <w:rFonts w:hint="default" w:ascii="Times New Roman" w:hAnsi="Times New Roman" w:eastAsia="仿宋_GB2312" w:cs="Times New Roman"/>
                <w:color w:val="auto"/>
                <w:kern w:val="0"/>
                <w:sz w:val="32"/>
                <w:szCs w:val="32"/>
                <w:highlight w:val="none"/>
                <w:lang w:eastAsia="zh-CN"/>
              </w:rPr>
              <w:t>10000</w:t>
            </w:r>
          </w:p>
        </w:tc>
        <w:tc>
          <w:tcPr>
            <w:tcW w:w="2340" w:type="dxa"/>
            <w:tcBorders>
              <w:top w:val="single" w:color="auto" w:sz="4" w:space="0"/>
              <w:left w:val="single" w:color="auto" w:sz="4" w:space="0"/>
              <w:bottom w:val="single" w:color="auto" w:sz="4" w:space="0"/>
              <w:right w:val="single" w:color="auto" w:sz="4" w:space="0"/>
            </w:tcBorders>
            <w:noWrap w:val="0"/>
            <w:vAlign w:val="center"/>
          </w:tcPr>
          <w:p w14:paraId="2A100C96">
            <w:pPr>
              <w:keepNext w:val="0"/>
              <w:keepLines w:val="0"/>
              <w:pageBreakBefore w:val="0"/>
              <w:widowControl/>
              <w:kinsoku/>
              <w:wordWrap/>
              <w:overflowPunct/>
              <w:topLinePunct w:val="0"/>
              <w:autoSpaceDE/>
              <w:autoSpaceDN/>
              <w:bidi w:val="0"/>
              <w:adjustRightInd/>
              <w:spacing w:line="400" w:lineRule="exact"/>
              <w:ind w:left="0" w:leftChars="0"/>
              <w:jc w:val="center"/>
              <w:textAlignment w:val="auto"/>
              <w:rPr>
                <w:rFonts w:hint="default" w:ascii="Times New Roman" w:hAnsi="Times New Roman" w:eastAsia="仿宋_GB2312" w:cs="Times New Roman"/>
                <w:b/>
                <w:bCs/>
                <w:color w:val="auto"/>
                <w:kern w:val="0"/>
                <w:sz w:val="32"/>
                <w:szCs w:val="32"/>
                <w:highlight w:val="none"/>
              </w:rPr>
            </w:pPr>
            <w:r>
              <w:rPr>
                <w:rFonts w:hint="default" w:ascii="Times New Roman" w:hAnsi="Times New Roman" w:eastAsia="仿宋_GB2312" w:cs="Times New Roman"/>
                <w:b/>
                <w:bCs/>
                <w:color w:val="auto"/>
                <w:kern w:val="0"/>
                <w:sz w:val="32"/>
                <w:szCs w:val="32"/>
                <w:highlight w:val="none"/>
                <w:lang w:val="en-US" w:eastAsia="zh-CN"/>
              </w:rPr>
              <w:t>4</w:t>
            </w:r>
            <w:r>
              <w:rPr>
                <w:rFonts w:hint="default" w:ascii="Times New Roman" w:hAnsi="Times New Roman" w:eastAsia="仿宋_GB2312" w:cs="Times New Roman"/>
                <w:b/>
                <w:bCs/>
                <w:color w:val="auto"/>
                <w:kern w:val="0"/>
                <w:sz w:val="32"/>
                <w:szCs w:val="32"/>
                <w:highlight w:val="none"/>
              </w:rPr>
              <w:t>%</w:t>
            </w:r>
          </w:p>
        </w:tc>
      </w:tr>
      <w:tr w14:paraId="10F8DC70">
        <w:tblPrEx>
          <w:tblCellMar>
            <w:top w:w="0" w:type="dxa"/>
            <w:left w:w="108" w:type="dxa"/>
            <w:bottom w:w="0" w:type="dxa"/>
            <w:right w:w="108" w:type="dxa"/>
          </w:tblCellMar>
        </w:tblPrEx>
        <w:trPr>
          <w:trHeight w:val="430" w:hRule="atLeast"/>
          <w:jc w:val="center"/>
        </w:trPr>
        <w:tc>
          <w:tcPr>
            <w:tcW w:w="3705" w:type="dxa"/>
            <w:tcBorders>
              <w:top w:val="single" w:color="auto" w:sz="4" w:space="0"/>
              <w:left w:val="single" w:color="auto" w:sz="4" w:space="0"/>
              <w:bottom w:val="single" w:color="auto" w:sz="4" w:space="0"/>
              <w:right w:val="single" w:color="auto" w:sz="4" w:space="0"/>
            </w:tcBorders>
            <w:noWrap w:val="0"/>
            <w:vAlign w:val="center"/>
          </w:tcPr>
          <w:p w14:paraId="677B31EB">
            <w:pPr>
              <w:keepNext w:val="0"/>
              <w:keepLines w:val="0"/>
              <w:pageBreakBefore w:val="0"/>
              <w:widowControl/>
              <w:kinsoku/>
              <w:wordWrap/>
              <w:overflowPunct/>
              <w:topLinePunct w:val="0"/>
              <w:autoSpaceDE/>
              <w:autoSpaceDN/>
              <w:bidi w:val="0"/>
              <w:adjustRightInd/>
              <w:spacing w:line="400" w:lineRule="exact"/>
              <w:ind w:left="0" w:leftChars="0"/>
              <w:jc w:val="center"/>
              <w:textAlignment w:val="auto"/>
              <w:rPr>
                <w:rFonts w:hint="default" w:ascii="Times New Roman" w:hAnsi="Times New Roman" w:eastAsia="仿宋_GB2312" w:cs="Times New Roman"/>
                <w:color w:val="auto"/>
                <w:kern w:val="0"/>
                <w:sz w:val="32"/>
                <w:szCs w:val="32"/>
                <w:highlight w:val="none"/>
              </w:rPr>
            </w:pPr>
            <w:r>
              <w:rPr>
                <w:rFonts w:hint="default" w:ascii="Times New Roman" w:hAnsi="Times New Roman" w:eastAsia="仿宋_GB2312" w:cs="Times New Roman"/>
                <w:color w:val="auto"/>
                <w:kern w:val="0"/>
                <w:sz w:val="32"/>
                <w:szCs w:val="32"/>
                <w:highlight w:val="none"/>
                <w:lang w:eastAsia="zh-CN"/>
              </w:rPr>
              <w:t>10000</w:t>
            </w:r>
            <w:r>
              <w:rPr>
                <w:rFonts w:hint="default" w:ascii="Times New Roman" w:hAnsi="Times New Roman" w:eastAsia="仿宋_GB2312" w:cs="Times New Roman"/>
                <w:color w:val="auto"/>
                <w:kern w:val="0"/>
                <w:sz w:val="32"/>
                <w:szCs w:val="32"/>
                <w:highlight w:val="none"/>
              </w:rPr>
              <w:t>以上</w:t>
            </w:r>
          </w:p>
        </w:tc>
        <w:tc>
          <w:tcPr>
            <w:tcW w:w="2280" w:type="dxa"/>
            <w:tcBorders>
              <w:top w:val="single" w:color="auto" w:sz="4" w:space="0"/>
              <w:left w:val="single" w:color="auto" w:sz="4" w:space="0"/>
              <w:bottom w:val="single" w:color="auto" w:sz="4" w:space="0"/>
              <w:right w:val="single" w:color="auto" w:sz="4" w:space="0"/>
            </w:tcBorders>
            <w:noWrap w:val="0"/>
            <w:vAlign w:val="center"/>
          </w:tcPr>
          <w:p w14:paraId="5E77C512">
            <w:pPr>
              <w:keepNext w:val="0"/>
              <w:keepLines w:val="0"/>
              <w:pageBreakBefore w:val="0"/>
              <w:widowControl/>
              <w:kinsoku/>
              <w:wordWrap/>
              <w:overflowPunct/>
              <w:topLinePunct w:val="0"/>
              <w:autoSpaceDE/>
              <w:autoSpaceDN/>
              <w:bidi w:val="0"/>
              <w:adjustRightInd/>
              <w:spacing w:line="400" w:lineRule="exact"/>
              <w:ind w:left="0" w:leftChars="0"/>
              <w:jc w:val="center"/>
              <w:textAlignment w:val="auto"/>
              <w:rPr>
                <w:rFonts w:hint="default" w:ascii="Times New Roman" w:hAnsi="Times New Roman" w:eastAsia="仿宋_GB2312" w:cs="Times New Roman"/>
                <w:color w:val="auto"/>
                <w:kern w:val="0"/>
                <w:sz w:val="32"/>
                <w:szCs w:val="32"/>
                <w:highlight w:val="none"/>
              </w:rPr>
            </w:pPr>
            <w:r>
              <w:rPr>
                <w:rFonts w:hint="default" w:ascii="Times New Roman" w:hAnsi="Times New Roman" w:eastAsia="仿宋_GB2312" w:cs="Times New Roman"/>
                <w:color w:val="auto"/>
                <w:kern w:val="0"/>
                <w:sz w:val="32"/>
                <w:szCs w:val="32"/>
                <w:highlight w:val="none"/>
                <w:lang w:eastAsia="zh-CN"/>
              </w:rPr>
              <w:t>20000</w:t>
            </w:r>
          </w:p>
        </w:tc>
        <w:tc>
          <w:tcPr>
            <w:tcW w:w="2340" w:type="dxa"/>
            <w:tcBorders>
              <w:top w:val="single" w:color="auto" w:sz="4" w:space="0"/>
              <w:left w:val="single" w:color="auto" w:sz="4" w:space="0"/>
              <w:bottom w:val="single" w:color="auto" w:sz="4" w:space="0"/>
              <w:right w:val="single" w:color="auto" w:sz="4" w:space="0"/>
            </w:tcBorders>
            <w:noWrap w:val="0"/>
            <w:vAlign w:val="center"/>
          </w:tcPr>
          <w:p w14:paraId="2B138767">
            <w:pPr>
              <w:keepNext w:val="0"/>
              <w:keepLines w:val="0"/>
              <w:pageBreakBefore w:val="0"/>
              <w:widowControl/>
              <w:kinsoku/>
              <w:wordWrap/>
              <w:overflowPunct/>
              <w:topLinePunct w:val="0"/>
              <w:autoSpaceDE/>
              <w:autoSpaceDN/>
              <w:bidi w:val="0"/>
              <w:adjustRightInd/>
              <w:spacing w:line="400" w:lineRule="exact"/>
              <w:ind w:left="0" w:leftChars="0"/>
              <w:jc w:val="center"/>
              <w:textAlignment w:val="auto"/>
              <w:rPr>
                <w:rFonts w:hint="default" w:ascii="Times New Roman" w:hAnsi="Times New Roman" w:eastAsia="仿宋_GB2312" w:cs="Times New Roman"/>
                <w:b/>
                <w:bCs/>
                <w:color w:val="auto"/>
                <w:kern w:val="0"/>
                <w:sz w:val="32"/>
                <w:szCs w:val="32"/>
                <w:highlight w:val="none"/>
              </w:rPr>
            </w:pPr>
            <w:r>
              <w:rPr>
                <w:rFonts w:hint="default" w:ascii="Times New Roman" w:hAnsi="Times New Roman" w:eastAsia="仿宋_GB2312" w:cs="Times New Roman"/>
                <w:b/>
                <w:bCs/>
                <w:color w:val="auto"/>
                <w:kern w:val="0"/>
                <w:sz w:val="32"/>
                <w:szCs w:val="32"/>
                <w:highlight w:val="none"/>
                <w:lang w:val="en-US" w:eastAsia="zh-CN"/>
              </w:rPr>
              <w:t>4</w:t>
            </w:r>
            <w:r>
              <w:rPr>
                <w:rFonts w:hint="default" w:ascii="Times New Roman" w:hAnsi="Times New Roman" w:eastAsia="仿宋_GB2312" w:cs="Times New Roman"/>
                <w:b/>
                <w:bCs/>
                <w:color w:val="auto"/>
                <w:kern w:val="0"/>
                <w:sz w:val="32"/>
                <w:szCs w:val="32"/>
                <w:highlight w:val="none"/>
              </w:rPr>
              <w:t>%</w:t>
            </w:r>
          </w:p>
        </w:tc>
      </w:tr>
    </w:tbl>
    <w:p w14:paraId="5244AE8B">
      <w:pPr>
        <w:keepNext w:val="0"/>
        <w:keepLines w:val="0"/>
        <w:pageBreakBefore w:val="0"/>
        <w:kinsoku/>
        <w:wordWrap/>
        <w:overflowPunct/>
        <w:topLinePunct w:val="0"/>
        <w:autoSpaceDE/>
        <w:autoSpaceDN/>
        <w:bidi w:val="0"/>
        <w:adjustRightInd/>
        <w:spacing w:line="40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注：</w:t>
      </w:r>
      <w:r>
        <w:rPr>
          <w:rFonts w:hint="default" w:ascii="Times New Roman" w:hAnsi="Times New Roman" w:eastAsia="仿宋_GB2312" w:cs="Times New Roman"/>
          <w:color w:val="auto"/>
          <w:sz w:val="32"/>
          <w:szCs w:val="32"/>
          <w:highlight w:val="none"/>
          <w:lang w:val="en-US" w:eastAsia="zh-CN"/>
        </w:rPr>
        <w:t xml:space="preserve">1. </w:t>
      </w:r>
      <w:r>
        <w:rPr>
          <w:rFonts w:hint="default" w:ascii="Times New Roman" w:hAnsi="Times New Roman" w:eastAsia="仿宋_GB2312" w:cs="Times New Roman"/>
          <w:color w:val="auto"/>
          <w:sz w:val="32"/>
          <w:szCs w:val="32"/>
          <w:highlight w:val="none"/>
          <w:lang w:eastAsia="zh-CN"/>
        </w:rPr>
        <w:t>服务</w:t>
      </w:r>
      <w:r>
        <w:rPr>
          <w:rFonts w:hint="default" w:ascii="Times New Roman" w:hAnsi="Times New Roman" w:eastAsia="仿宋_GB2312" w:cs="Times New Roman"/>
          <w:color w:val="auto"/>
          <w:sz w:val="32"/>
          <w:szCs w:val="32"/>
          <w:highlight w:val="none"/>
        </w:rPr>
        <w:t>费计算方式为：基本费+审核成果费。其中，跟踪审计服务基本费计算基数为审定金额；审核成果费计算基数为</w:t>
      </w:r>
      <w:r>
        <w:rPr>
          <w:rFonts w:hint="default" w:ascii="Times New Roman" w:hAnsi="Times New Roman" w:eastAsia="仿宋_GB2312" w:cs="Times New Roman"/>
          <w:color w:val="auto"/>
          <w:sz w:val="32"/>
          <w:szCs w:val="32"/>
          <w:highlight w:val="none"/>
          <w:lang w:eastAsia="zh-CN"/>
        </w:rPr>
        <w:t>独立</w:t>
      </w:r>
      <w:r>
        <w:rPr>
          <w:rFonts w:hint="default" w:ascii="Times New Roman" w:hAnsi="Times New Roman" w:eastAsia="仿宋_GB2312" w:cs="Times New Roman"/>
          <w:color w:val="auto"/>
          <w:sz w:val="32"/>
          <w:szCs w:val="32"/>
          <w:highlight w:val="none"/>
        </w:rPr>
        <w:t>核减金额。</w:t>
      </w:r>
    </w:p>
    <w:p w14:paraId="4E0298C5">
      <w:pPr>
        <w:keepNext w:val="0"/>
        <w:keepLines w:val="0"/>
        <w:pageBreakBefore w:val="0"/>
        <w:numPr>
          <w:ilvl w:val="0"/>
          <w:numId w:val="3"/>
        </w:numPr>
        <w:kinsoku/>
        <w:wordWrap/>
        <w:overflowPunct/>
        <w:topLinePunct w:val="0"/>
        <w:autoSpaceDE/>
        <w:autoSpaceDN/>
        <w:bidi w:val="0"/>
        <w:adjustRightInd/>
        <w:spacing w:line="400" w:lineRule="exact"/>
        <w:ind w:left="0" w:leftChars="0" w:firstLine="1280" w:firstLineChars="4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工程造价审减率超过</w:t>
      </w:r>
      <w:r>
        <w:rPr>
          <w:rFonts w:hint="default" w:ascii="Times New Roman" w:hAnsi="Times New Roman" w:eastAsia="仿宋_GB2312" w:cs="Times New Roman"/>
          <w:b/>
          <w:bCs/>
          <w:color w:val="auto"/>
          <w:sz w:val="32"/>
          <w:szCs w:val="32"/>
          <w:highlight w:val="none"/>
          <w:lang w:val="en-US" w:eastAsia="zh-CN"/>
        </w:rPr>
        <w:t>3</w:t>
      </w:r>
      <w:r>
        <w:rPr>
          <w:rFonts w:hint="default" w:ascii="Times New Roman" w:hAnsi="Times New Roman" w:eastAsia="仿宋_GB2312" w:cs="Times New Roman"/>
          <w:b/>
          <w:bCs/>
          <w:color w:val="auto"/>
          <w:sz w:val="32"/>
          <w:szCs w:val="32"/>
          <w:highlight w:val="none"/>
        </w:rPr>
        <w:t>%</w:t>
      </w:r>
      <w:r>
        <w:rPr>
          <w:rFonts w:hint="default" w:ascii="Times New Roman" w:hAnsi="Times New Roman" w:eastAsia="仿宋_GB2312" w:cs="Times New Roman"/>
          <w:color w:val="auto"/>
          <w:sz w:val="32"/>
          <w:szCs w:val="32"/>
          <w:highlight w:val="none"/>
          <w:lang w:eastAsia="zh-CN"/>
        </w:rPr>
        <w:t>时</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eastAsia="zh-CN"/>
        </w:rPr>
        <w:t>将对施工单位进行处罚，处罚金额为</w:t>
      </w:r>
      <w:r>
        <w:rPr>
          <w:rFonts w:hint="default" w:ascii="Times New Roman" w:hAnsi="Times New Roman" w:eastAsia="仿宋_GB2312" w:cs="Times New Roman"/>
          <w:color w:val="auto"/>
          <w:sz w:val="32"/>
          <w:szCs w:val="32"/>
          <w:highlight w:val="none"/>
        </w:rPr>
        <w:t>审减率</w:t>
      </w:r>
      <w:r>
        <w:rPr>
          <w:rFonts w:hint="default" w:ascii="Times New Roman" w:hAnsi="Times New Roman" w:eastAsia="仿宋_GB2312" w:cs="Times New Roman"/>
          <w:color w:val="auto"/>
          <w:sz w:val="32"/>
          <w:szCs w:val="32"/>
          <w:highlight w:val="none"/>
          <w:lang w:eastAsia="zh-CN"/>
        </w:rPr>
        <w:t>超出</w:t>
      </w:r>
      <w:r>
        <w:rPr>
          <w:rFonts w:hint="default" w:ascii="Times New Roman" w:hAnsi="Times New Roman" w:eastAsia="仿宋_GB2312" w:cs="Times New Roman"/>
          <w:b/>
          <w:bCs/>
          <w:color w:val="auto"/>
          <w:sz w:val="32"/>
          <w:szCs w:val="32"/>
          <w:highlight w:val="none"/>
          <w:lang w:val="en-US" w:eastAsia="zh-CN"/>
        </w:rPr>
        <w:t>3%</w:t>
      </w:r>
      <w:r>
        <w:rPr>
          <w:rFonts w:hint="default" w:ascii="Times New Roman" w:hAnsi="Times New Roman" w:eastAsia="仿宋_GB2312" w:cs="Times New Roman"/>
          <w:color w:val="auto"/>
          <w:sz w:val="32"/>
          <w:szCs w:val="32"/>
          <w:highlight w:val="none"/>
          <w:lang w:val="en-US" w:eastAsia="zh-CN"/>
        </w:rPr>
        <w:t>以上的报送金额的</w:t>
      </w:r>
      <w:r>
        <w:rPr>
          <w:rFonts w:hint="default" w:ascii="Times New Roman" w:hAnsi="Times New Roman" w:eastAsia="仿宋_GB2312" w:cs="Times New Roman"/>
          <w:b/>
          <w:bCs/>
          <w:color w:val="auto"/>
          <w:sz w:val="32"/>
          <w:szCs w:val="32"/>
          <w:highlight w:val="none"/>
          <w:lang w:val="en-US" w:eastAsia="zh-CN"/>
        </w:rPr>
        <w:t>6%</w:t>
      </w:r>
      <w:r>
        <w:rPr>
          <w:rFonts w:hint="default" w:ascii="Times New Roman" w:hAnsi="Times New Roman" w:eastAsia="仿宋_GB2312" w:cs="Times New Roman"/>
          <w:color w:val="auto"/>
          <w:sz w:val="32"/>
          <w:szCs w:val="32"/>
          <w:highlight w:val="none"/>
          <w:lang w:val="en-US" w:eastAsia="zh-CN"/>
        </w:rPr>
        <w:t>,</w:t>
      </w:r>
      <w:r>
        <w:rPr>
          <w:rFonts w:hint="default" w:ascii="Times New Roman" w:hAnsi="Times New Roman" w:eastAsia="仿宋_GB2312" w:cs="Times New Roman"/>
          <w:b w:val="0"/>
          <w:bCs w:val="0"/>
          <w:color w:val="auto"/>
          <w:sz w:val="32"/>
          <w:szCs w:val="32"/>
          <w:highlight w:val="none"/>
          <w:lang w:val="en-US" w:eastAsia="zh-CN"/>
        </w:rPr>
        <w:t>由综合计划科在定案时明确处罚金额报工程监管科落实处罚</w:t>
      </w:r>
      <w:r>
        <w:rPr>
          <w:rFonts w:hint="default" w:ascii="Times New Roman" w:hAnsi="Times New Roman" w:eastAsia="仿宋_GB2312" w:cs="Times New Roman"/>
          <w:b w:val="0"/>
          <w:bCs w:val="0"/>
          <w:color w:val="auto"/>
          <w:sz w:val="32"/>
          <w:szCs w:val="32"/>
          <w:highlight w:val="none"/>
        </w:rPr>
        <w:t>。</w:t>
      </w:r>
    </w:p>
    <w:p w14:paraId="208AFE05">
      <w:pPr>
        <w:keepNext w:val="0"/>
        <w:keepLines w:val="0"/>
        <w:pageBreakBefore w:val="0"/>
        <w:kinsoku/>
        <w:wordWrap/>
        <w:overflowPunct/>
        <w:topLinePunct w:val="0"/>
        <w:autoSpaceDE/>
        <w:autoSpaceDN/>
        <w:bidi w:val="0"/>
        <w:adjustRightInd/>
        <w:spacing w:line="400" w:lineRule="exact"/>
        <w:ind w:left="0" w:leftChars="0" w:firstLine="643" w:firstLineChars="200"/>
        <w:jc w:val="left"/>
        <w:textAlignment w:val="auto"/>
        <w:rPr>
          <w:rFonts w:hint="default" w:ascii="Times New Roman" w:hAnsi="Times New Roman" w:cs="Times New Roman"/>
          <w:color w:val="auto"/>
          <w:sz w:val="32"/>
          <w:szCs w:val="32"/>
          <w:highlight w:val="none"/>
          <w:lang w:val="en-US" w:eastAsia="zh-CN"/>
        </w:rPr>
      </w:pPr>
      <w:r>
        <w:rPr>
          <w:rFonts w:hint="default" w:ascii="Times New Roman" w:hAnsi="Times New Roman" w:eastAsia="仿宋_GB2312" w:cs="Times New Roman"/>
          <w:b/>
          <w:bCs/>
          <w:color w:val="auto"/>
          <w:sz w:val="32"/>
          <w:szCs w:val="32"/>
          <w:highlight w:val="none"/>
        </w:rPr>
        <w:t>第十</w:t>
      </w:r>
      <w:r>
        <w:rPr>
          <w:rFonts w:hint="eastAsia" w:eastAsia="仿宋_GB2312" w:cs="Times New Roman"/>
          <w:b/>
          <w:bCs/>
          <w:color w:val="auto"/>
          <w:sz w:val="32"/>
          <w:szCs w:val="32"/>
          <w:highlight w:val="none"/>
          <w:lang w:val="en-US" w:eastAsia="zh-CN"/>
        </w:rPr>
        <w:t>一</w:t>
      </w:r>
      <w:r>
        <w:rPr>
          <w:rFonts w:hint="default" w:ascii="Times New Roman" w:hAnsi="Times New Roman" w:eastAsia="仿宋_GB2312" w:cs="Times New Roman"/>
          <w:b/>
          <w:bCs/>
          <w:color w:val="auto"/>
          <w:sz w:val="32"/>
          <w:szCs w:val="32"/>
          <w:highlight w:val="none"/>
        </w:rPr>
        <w:t>条</w:t>
      </w:r>
      <w:r>
        <w:rPr>
          <w:rFonts w:hint="default" w:ascii="Times New Roman" w:hAnsi="Times New Roman" w:eastAsia="仿宋_GB2312" w:cs="Times New Roman"/>
          <w:color w:val="auto"/>
          <w:sz w:val="32"/>
          <w:szCs w:val="32"/>
          <w:highlight w:val="none"/>
        </w:rPr>
        <w:t xml:space="preserve"> </w:t>
      </w:r>
      <w:r>
        <w:rPr>
          <w:rFonts w:hint="default" w:ascii="Times New Roman" w:hAnsi="Times New Roman" w:eastAsia="仿宋_GB2312" w:cs="Times New Roman"/>
          <w:color w:val="auto"/>
          <w:sz w:val="32"/>
          <w:szCs w:val="32"/>
          <w:highlight w:val="none"/>
          <w:lang w:val="en-US" w:eastAsia="zh-CN"/>
        </w:rPr>
        <w:t xml:space="preserve"> </w:t>
      </w:r>
      <w:r>
        <w:rPr>
          <w:rFonts w:hint="default" w:ascii="Times New Roman" w:hAnsi="Times New Roman" w:eastAsia="仿宋_GB2312" w:cs="Times New Roman"/>
          <w:color w:val="auto"/>
          <w:sz w:val="32"/>
          <w:szCs w:val="32"/>
          <w:highlight w:val="none"/>
        </w:rPr>
        <w:t>对复杂项目</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z w:val="32"/>
          <w:szCs w:val="32"/>
          <w:highlight w:val="none"/>
        </w:rPr>
        <w:t>造价成果有争议或存疑项目可委托第三方复审</w:t>
      </w:r>
      <w:r>
        <w:rPr>
          <w:rFonts w:hint="default" w:ascii="Times New Roman" w:hAnsi="Times New Roman" w:eastAsia="仿宋_GB2312" w:cs="Times New Roman"/>
          <w:color w:val="auto"/>
          <w:sz w:val="32"/>
          <w:szCs w:val="32"/>
          <w:highlight w:val="none"/>
          <w:lang w:eastAsia="zh-CN"/>
        </w:rPr>
        <w:t>（清单编制复审、结算复审），服务</w:t>
      </w:r>
      <w:r>
        <w:rPr>
          <w:rFonts w:hint="default" w:ascii="Times New Roman" w:hAnsi="Times New Roman" w:eastAsia="仿宋_GB2312" w:cs="Times New Roman"/>
          <w:color w:val="auto"/>
          <w:sz w:val="32"/>
          <w:szCs w:val="32"/>
          <w:highlight w:val="none"/>
        </w:rPr>
        <w:t>费用</w:t>
      </w:r>
      <w:r>
        <w:rPr>
          <w:rFonts w:hint="default" w:ascii="Times New Roman" w:hAnsi="Times New Roman" w:eastAsia="仿宋_GB2312" w:cs="Times New Roman"/>
          <w:color w:val="auto"/>
          <w:sz w:val="32"/>
          <w:szCs w:val="32"/>
          <w:highlight w:val="none"/>
          <w:lang w:eastAsia="zh-CN"/>
        </w:rPr>
        <w:t>同</w:t>
      </w:r>
      <w:r>
        <w:rPr>
          <w:rFonts w:hint="default" w:ascii="Times New Roman" w:hAnsi="Times New Roman" w:eastAsia="仿宋_GB2312" w:cs="Times New Roman"/>
          <w:color w:val="auto"/>
          <w:sz w:val="32"/>
          <w:szCs w:val="32"/>
          <w:highlight w:val="none"/>
        </w:rPr>
        <w:t>结算审</w:t>
      </w:r>
      <w:r>
        <w:rPr>
          <w:rFonts w:hint="default" w:ascii="Times New Roman" w:hAnsi="Times New Roman" w:eastAsia="仿宋_GB2312" w:cs="Times New Roman"/>
          <w:color w:val="auto"/>
          <w:sz w:val="32"/>
          <w:szCs w:val="32"/>
          <w:highlight w:val="none"/>
          <w:lang w:eastAsia="zh-CN"/>
        </w:rPr>
        <w:t>核</w:t>
      </w:r>
      <w:r>
        <w:rPr>
          <w:rFonts w:hint="default" w:ascii="Times New Roman" w:hAnsi="Times New Roman" w:eastAsia="仿宋_GB2312" w:cs="Times New Roman"/>
          <w:color w:val="auto"/>
          <w:sz w:val="32"/>
          <w:szCs w:val="32"/>
          <w:highlight w:val="none"/>
        </w:rPr>
        <w:t>服务费。</w:t>
      </w:r>
      <w:r>
        <w:rPr>
          <w:rFonts w:hint="default" w:ascii="Times New Roman" w:hAnsi="Times New Roman" w:eastAsia="黑体" w:cs="Times New Roman"/>
          <w:color w:val="auto"/>
          <w:sz w:val="32"/>
          <w:szCs w:val="32"/>
          <w:highlight w:val="none"/>
          <w:lang w:val="en-US" w:eastAsia="zh-CN"/>
        </w:rPr>
        <w:t xml:space="preserve">  </w:t>
      </w:r>
    </w:p>
    <w:p w14:paraId="11A04143">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9"/>
        <w:rPr>
          <w:rFonts w:hint="default" w:ascii="Times New Roman" w:hAnsi="Times New Roman" w:eastAsia="黑体" w:cs="Times New Roman"/>
          <w:color w:val="auto"/>
          <w:sz w:val="32"/>
          <w:szCs w:val="32"/>
          <w:highlight w:val="none"/>
        </w:rPr>
      </w:pPr>
      <w:r>
        <w:rPr>
          <w:rFonts w:hint="default" w:ascii="Times New Roman" w:hAnsi="Times New Roman" w:eastAsia="黑体" w:cs="Times New Roman"/>
          <w:color w:val="auto"/>
          <w:sz w:val="32"/>
          <w:szCs w:val="32"/>
          <w:highlight w:val="none"/>
        </w:rPr>
        <w:t>第五章 服务要求</w:t>
      </w:r>
    </w:p>
    <w:p w14:paraId="380A7A44">
      <w:pPr>
        <w:keepNext w:val="0"/>
        <w:keepLines w:val="0"/>
        <w:pageBreakBefore w:val="0"/>
        <w:kinsoku/>
        <w:wordWrap/>
        <w:overflowPunct/>
        <w:topLinePunct w:val="0"/>
        <w:autoSpaceDE/>
        <w:autoSpaceDN/>
        <w:bidi w:val="0"/>
        <w:adjustRightInd/>
        <w:spacing w:line="400" w:lineRule="exact"/>
        <w:ind w:left="0" w:leftChars="0" w:firstLine="643" w:firstLineChars="200"/>
        <w:jc w:val="left"/>
        <w:textAlignment w:val="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b/>
          <w:bCs/>
          <w:color w:val="auto"/>
          <w:sz w:val="32"/>
          <w:szCs w:val="32"/>
          <w:highlight w:val="none"/>
        </w:rPr>
        <w:t>第十</w:t>
      </w:r>
      <w:r>
        <w:rPr>
          <w:rFonts w:hint="eastAsia" w:eastAsia="仿宋_GB2312" w:cs="Times New Roman"/>
          <w:b/>
          <w:bCs/>
          <w:color w:val="auto"/>
          <w:sz w:val="32"/>
          <w:szCs w:val="32"/>
          <w:highlight w:val="none"/>
          <w:lang w:val="en-US" w:eastAsia="zh-CN"/>
        </w:rPr>
        <w:t>二</w:t>
      </w:r>
      <w:r>
        <w:rPr>
          <w:rFonts w:hint="default" w:ascii="Times New Roman" w:hAnsi="Times New Roman" w:eastAsia="仿宋_GB2312" w:cs="Times New Roman"/>
          <w:b/>
          <w:bCs/>
          <w:color w:val="auto"/>
          <w:sz w:val="32"/>
          <w:szCs w:val="32"/>
          <w:highlight w:val="none"/>
        </w:rPr>
        <w:t>条</w:t>
      </w:r>
      <w:r>
        <w:rPr>
          <w:rFonts w:hint="default" w:ascii="Times New Roman" w:hAnsi="Times New Roman" w:eastAsia="仿宋_GB2312" w:cs="Times New Roman"/>
          <w:color w:val="auto"/>
          <w:sz w:val="32"/>
          <w:szCs w:val="32"/>
          <w:highlight w:val="none"/>
        </w:rPr>
        <w:t xml:space="preserve"> </w:t>
      </w:r>
      <w:r>
        <w:rPr>
          <w:rFonts w:hint="default" w:ascii="Times New Roman" w:hAnsi="Times New Roman" w:eastAsia="仿宋_GB2312" w:cs="Times New Roman"/>
          <w:color w:val="auto"/>
          <w:sz w:val="32"/>
          <w:szCs w:val="32"/>
          <w:highlight w:val="none"/>
          <w:lang w:val="en-US" w:eastAsia="zh-CN"/>
        </w:rPr>
        <w:t xml:space="preserve"> 造价企业需安排具备相应资格条件和类似业绩且经验丰富的造价人员编制清单及最高投标限价，严格执行三级复核制度，对工程造价咨询成果负经济、法律责任，编制人员必须进行现场踏勘，发现与设计不符的需经设计部门核实确认，变化较大的需重新设计。</w:t>
      </w:r>
    </w:p>
    <w:p w14:paraId="793F7404">
      <w:pPr>
        <w:keepNext w:val="0"/>
        <w:keepLines w:val="0"/>
        <w:pageBreakBefore w:val="0"/>
        <w:kinsoku/>
        <w:wordWrap/>
        <w:overflowPunct/>
        <w:topLinePunct w:val="0"/>
        <w:autoSpaceDE/>
        <w:autoSpaceDN/>
        <w:bidi w:val="0"/>
        <w:adjustRightInd/>
        <w:spacing w:line="400" w:lineRule="exact"/>
        <w:ind w:left="0" w:leftChars="0" w:firstLine="643"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b/>
          <w:bCs/>
          <w:color w:val="auto"/>
          <w:sz w:val="32"/>
          <w:szCs w:val="32"/>
          <w:highlight w:val="none"/>
          <w:lang w:val="en-US" w:eastAsia="zh-CN"/>
        </w:rPr>
        <w:t>第十</w:t>
      </w:r>
      <w:r>
        <w:rPr>
          <w:rFonts w:hint="eastAsia" w:eastAsia="仿宋_GB2312" w:cs="Times New Roman"/>
          <w:b/>
          <w:bCs/>
          <w:color w:val="auto"/>
          <w:sz w:val="32"/>
          <w:szCs w:val="32"/>
          <w:highlight w:val="none"/>
          <w:lang w:val="en-US" w:eastAsia="zh-CN"/>
        </w:rPr>
        <w:t>三</w:t>
      </w:r>
      <w:r>
        <w:rPr>
          <w:rFonts w:hint="default" w:ascii="Times New Roman" w:hAnsi="Times New Roman" w:eastAsia="仿宋_GB2312" w:cs="Times New Roman"/>
          <w:b/>
          <w:bCs/>
          <w:color w:val="auto"/>
          <w:sz w:val="32"/>
          <w:szCs w:val="32"/>
          <w:highlight w:val="none"/>
          <w:lang w:val="en-US" w:eastAsia="zh-CN"/>
        </w:rPr>
        <w:t>条</w:t>
      </w:r>
      <w:r>
        <w:rPr>
          <w:rFonts w:hint="default" w:ascii="Times New Roman" w:hAnsi="Times New Roman" w:eastAsia="仿宋_GB2312" w:cs="Times New Roman"/>
          <w:color w:val="auto"/>
          <w:sz w:val="32"/>
          <w:szCs w:val="32"/>
          <w:highlight w:val="none"/>
          <w:lang w:val="en-US" w:eastAsia="zh-CN"/>
        </w:rPr>
        <w:t xml:space="preserve">  跟踪审计</w:t>
      </w:r>
      <w:r>
        <w:rPr>
          <w:rFonts w:hint="default" w:ascii="Times New Roman" w:hAnsi="Times New Roman" w:eastAsia="仿宋_GB2312" w:cs="Times New Roman"/>
          <w:color w:val="auto"/>
          <w:sz w:val="32"/>
          <w:szCs w:val="32"/>
          <w:highlight w:val="none"/>
        </w:rPr>
        <w:t>项目开工前，造价企业需将项目任命文报综合计划科</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z w:val="32"/>
          <w:szCs w:val="32"/>
          <w:highlight w:val="none"/>
        </w:rPr>
        <w:t>综合计划科</w:t>
      </w:r>
      <w:r>
        <w:rPr>
          <w:rFonts w:hint="default" w:ascii="Times New Roman" w:hAnsi="Times New Roman" w:eastAsia="仿宋_GB2312" w:cs="Times New Roman"/>
          <w:color w:val="auto"/>
          <w:sz w:val="32"/>
          <w:szCs w:val="32"/>
          <w:highlight w:val="none"/>
          <w:lang w:eastAsia="zh-CN"/>
        </w:rPr>
        <w:t>抄送</w:t>
      </w:r>
      <w:r>
        <w:rPr>
          <w:rFonts w:hint="default" w:ascii="Times New Roman" w:hAnsi="Times New Roman" w:eastAsia="仿宋_GB2312" w:cs="Times New Roman"/>
          <w:color w:val="auto"/>
          <w:sz w:val="32"/>
          <w:szCs w:val="32"/>
          <w:highlight w:val="none"/>
        </w:rPr>
        <w:t>工程建设科，同一个造价人员在我处同时承揽</w:t>
      </w:r>
      <w:r>
        <w:rPr>
          <w:rFonts w:hint="default" w:ascii="Times New Roman" w:hAnsi="Times New Roman" w:eastAsia="仿宋_GB2312" w:cs="Times New Roman"/>
          <w:color w:val="auto"/>
          <w:sz w:val="32"/>
          <w:szCs w:val="32"/>
          <w:highlight w:val="none"/>
          <w:lang w:eastAsia="zh-CN"/>
        </w:rPr>
        <w:t>跟踪审计业</w:t>
      </w:r>
      <w:r>
        <w:rPr>
          <w:rFonts w:hint="default" w:ascii="Times New Roman" w:hAnsi="Times New Roman" w:eastAsia="仿宋_GB2312" w:cs="Times New Roman"/>
          <w:color w:val="auto"/>
          <w:sz w:val="32"/>
          <w:szCs w:val="32"/>
          <w:highlight w:val="none"/>
        </w:rPr>
        <w:t>务不得超过</w:t>
      </w:r>
      <w:r>
        <w:rPr>
          <w:rFonts w:hint="default" w:ascii="Times New Roman" w:hAnsi="Times New Roman" w:eastAsia="仿宋_GB2312" w:cs="Times New Roman"/>
          <w:color w:val="auto"/>
          <w:sz w:val="32"/>
          <w:szCs w:val="32"/>
          <w:highlight w:val="none"/>
          <w:lang w:eastAsia="zh-CN"/>
        </w:rPr>
        <w:t>三</w:t>
      </w:r>
      <w:r>
        <w:rPr>
          <w:rFonts w:hint="default" w:ascii="Times New Roman" w:hAnsi="Times New Roman" w:eastAsia="仿宋_GB2312" w:cs="Times New Roman"/>
          <w:color w:val="auto"/>
          <w:sz w:val="32"/>
          <w:szCs w:val="32"/>
          <w:highlight w:val="none"/>
        </w:rPr>
        <w:t>个项目</w:t>
      </w:r>
      <w:r>
        <w:rPr>
          <w:rFonts w:hint="default" w:ascii="Times New Roman" w:hAnsi="Times New Roman" w:eastAsia="仿宋_GB2312" w:cs="Times New Roman"/>
          <w:color w:val="auto"/>
          <w:sz w:val="32"/>
          <w:szCs w:val="32"/>
          <w:highlight w:val="none"/>
          <w:lang w:eastAsia="zh-CN"/>
        </w:rPr>
        <w:t>，且不得在两个以上市本级以外的地区同时承揽业务</w:t>
      </w:r>
      <w:r>
        <w:rPr>
          <w:rFonts w:hint="default" w:ascii="Times New Roman" w:hAnsi="Times New Roman" w:eastAsia="仿宋_GB2312" w:cs="Times New Roman"/>
          <w:color w:val="auto"/>
          <w:sz w:val="32"/>
          <w:szCs w:val="32"/>
          <w:highlight w:val="none"/>
        </w:rPr>
        <w:t>。</w:t>
      </w:r>
    </w:p>
    <w:p w14:paraId="511B901A">
      <w:pPr>
        <w:keepNext w:val="0"/>
        <w:keepLines w:val="0"/>
        <w:pageBreakBefore w:val="0"/>
        <w:kinsoku/>
        <w:wordWrap/>
        <w:overflowPunct/>
        <w:topLinePunct w:val="0"/>
        <w:autoSpaceDE/>
        <w:autoSpaceDN/>
        <w:bidi w:val="0"/>
        <w:adjustRightInd/>
        <w:spacing w:line="400" w:lineRule="exact"/>
        <w:ind w:left="0" w:leftChars="0" w:firstLine="643" w:firstLineChars="200"/>
        <w:jc w:val="left"/>
        <w:textAlignment w:val="auto"/>
        <w:rPr>
          <w:rFonts w:hint="default" w:ascii="Times New Roman" w:hAnsi="Times New Roman" w:eastAsia="仿宋_GB2312" w:cs="Times New Roman"/>
          <w:color w:val="auto"/>
          <w:sz w:val="32"/>
          <w:szCs w:val="32"/>
          <w:highlight w:val="none"/>
          <w:lang w:eastAsia="zh-CN"/>
        </w:rPr>
      </w:pPr>
      <w:r>
        <w:rPr>
          <w:rFonts w:hint="default" w:ascii="Times New Roman" w:hAnsi="Times New Roman" w:eastAsia="仿宋_GB2312" w:cs="Times New Roman"/>
          <w:b/>
          <w:bCs/>
          <w:color w:val="auto"/>
          <w:sz w:val="32"/>
          <w:szCs w:val="32"/>
          <w:highlight w:val="none"/>
        </w:rPr>
        <w:t>第十</w:t>
      </w:r>
      <w:r>
        <w:rPr>
          <w:rFonts w:hint="eastAsia" w:eastAsia="仿宋_GB2312" w:cs="Times New Roman"/>
          <w:b/>
          <w:bCs/>
          <w:color w:val="auto"/>
          <w:sz w:val="32"/>
          <w:szCs w:val="32"/>
          <w:highlight w:val="none"/>
          <w:lang w:val="en-US" w:eastAsia="zh-CN"/>
        </w:rPr>
        <w:t>四</w:t>
      </w:r>
      <w:r>
        <w:rPr>
          <w:rFonts w:hint="default" w:ascii="Times New Roman" w:hAnsi="Times New Roman" w:eastAsia="仿宋_GB2312" w:cs="Times New Roman"/>
          <w:b/>
          <w:bCs/>
          <w:color w:val="auto"/>
          <w:sz w:val="32"/>
          <w:szCs w:val="32"/>
          <w:highlight w:val="none"/>
        </w:rPr>
        <w:t>条</w:t>
      </w:r>
      <w:r>
        <w:rPr>
          <w:rFonts w:hint="default" w:ascii="Times New Roman" w:hAnsi="Times New Roman" w:eastAsia="仿宋_GB2312" w:cs="Times New Roman"/>
          <w:color w:val="auto"/>
          <w:sz w:val="32"/>
          <w:szCs w:val="32"/>
          <w:highlight w:val="none"/>
        </w:rPr>
        <w:t xml:space="preserve"> </w:t>
      </w:r>
      <w:r>
        <w:rPr>
          <w:rFonts w:hint="default" w:ascii="Times New Roman" w:hAnsi="Times New Roman" w:eastAsia="仿宋_GB2312" w:cs="Times New Roman"/>
          <w:color w:val="auto"/>
          <w:sz w:val="32"/>
          <w:szCs w:val="32"/>
          <w:highlight w:val="none"/>
          <w:lang w:val="en-US" w:eastAsia="zh-CN"/>
        </w:rPr>
        <w:t xml:space="preserve"> </w:t>
      </w:r>
      <w:r>
        <w:rPr>
          <w:rFonts w:hint="default" w:ascii="Times New Roman" w:hAnsi="Times New Roman" w:eastAsia="仿宋_GB2312" w:cs="Times New Roman"/>
          <w:color w:val="auto"/>
          <w:sz w:val="32"/>
          <w:szCs w:val="32"/>
          <w:highlight w:val="none"/>
          <w:lang w:eastAsia="zh-CN"/>
        </w:rPr>
        <w:t>造价企业</w:t>
      </w:r>
      <w:r>
        <w:rPr>
          <w:rFonts w:hint="default" w:ascii="Times New Roman" w:hAnsi="Times New Roman" w:eastAsia="仿宋_GB2312" w:cs="Times New Roman"/>
          <w:color w:val="auto"/>
          <w:sz w:val="32"/>
          <w:szCs w:val="32"/>
          <w:highlight w:val="none"/>
        </w:rPr>
        <w:t>项目组</w:t>
      </w:r>
      <w:r>
        <w:rPr>
          <w:rFonts w:hint="default" w:ascii="Times New Roman" w:hAnsi="Times New Roman" w:eastAsia="仿宋_GB2312" w:cs="Times New Roman"/>
          <w:color w:val="auto"/>
          <w:sz w:val="32"/>
          <w:szCs w:val="32"/>
          <w:highlight w:val="none"/>
          <w:lang w:eastAsia="zh-CN"/>
        </w:rPr>
        <w:t>人员变更，</w:t>
      </w:r>
      <w:r>
        <w:rPr>
          <w:rFonts w:hint="default" w:ascii="Times New Roman" w:hAnsi="Times New Roman" w:eastAsia="仿宋_GB2312" w:cs="Times New Roman"/>
          <w:color w:val="auto"/>
          <w:sz w:val="32"/>
          <w:szCs w:val="32"/>
          <w:highlight w:val="none"/>
        </w:rPr>
        <w:t>变更后人员</w:t>
      </w:r>
      <w:r>
        <w:rPr>
          <w:rFonts w:hint="default" w:ascii="Times New Roman" w:hAnsi="Times New Roman" w:eastAsia="仿宋_GB2312" w:cs="Times New Roman"/>
          <w:color w:val="auto"/>
          <w:sz w:val="32"/>
          <w:szCs w:val="32"/>
          <w:highlight w:val="none"/>
          <w:lang w:eastAsia="zh-CN"/>
        </w:rPr>
        <w:t>必</w:t>
      </w:r>
      <w:r>
        <w:rPr>
          <w:rFonts w:hint="default" w:ascii="Times New Roman" w:hAnsi="Times New Roman" w:eastAsia="仿宋_GB2312" w:cs="Times New Roman"/>
          <w:color w:val="auto"/>
          <w:sz w:val="32"/>
          <w:szCs w:val="32"/>
          <w:highlight w:val="none"/>
        </w:rPr>
        <w:t>须</w:t>
      </w:r>
      <w:r>
        <w:rPr>
          <w:rFonts w:hint="default" w:ascii="Times New Roman" w:hAnsi="Times New Roman" w:eastAsia="仿宋_GB2312" w:cs="Times New Roman"/>
          <w:color w:val="auto"/>
          <w:sz w:val="32"/>
          <w:szCs w:val="32"/>
          <w:highlight w:val="none"/>
          <w:lang w:eastAsia="zh-CN"/>
        </w:rPr>
        <w:t>满足</w:t>
      </w:r>
      <w:r>
        <w:rPr>
          <w:rFonts w:hint="default" w:ascii="Times New Roman" w:hAnsi="Times New Roman" w:eastAsia="仿宋_GB2312" w:cs="Times New Roman"/>
          <w:color w:val="auto"/>
          <w:sz w:val="32"/>
          <w:szCs w:val="32"/>
          <w:highlight w:val="none"/>
        </w:rPr>
        <w:t>本项目</w:t>
      </w:r>
      <w:r>
        <w:rPr>
          <w:rFonts w:hint="default" w:ascii="Times New Roman" w:hAnsi="Times New Roman" w:eastAsia="仿宋_GB2312" w:cs="Times New Roman"/>
          <w:color w:val="auto"/>
          <w:sz w:val="32"/>
          <w:szCs w:val="32"/>
          <w:highlight w:val="none"/>
          <w:lang w:eastAsia="zh-CN"/>
        </w:rPr>
        <w:t>招标</w:t>
      </w:r>
      <w:r>
        <w:rPr>
          <w:rFonts w:hint="default" w:ascii="Times New Roman" w:hAnsi="Times New Roman" w:eastAsia="仿宋_GB2312" w:cs="Times New Roman"/>
          <w:color w:val="auto"/>
          <w:sz w:val="32"/>
          <w:szCs w:val="32"/>
          <w:highlight w:val="none"/>
        </w:rPr>
        <w:t>要求</w:t>
      </w:r>
      <w:r>
        <w:rPr>
          <w:rFonts w:hint="default" w:ascii="Times New Roman" w:hAnsi="Times New Roman" w:eastAsia="仿宋_GB2312" w:cs="Times New Roman"/>
          <w:color w:val="auto"/>
          <w:sz w:val="32"/>
          <w:szCs w:val="32"/>
          <w:highlight w:val="none"/>
          <w:lang w:eastAsia="zh-CN"/>
        </w:rPr>
        <w:t>。由造价企业向综合计划科提出申请并提供相应证明，工程建设</w:t>
      </w:r>
      <w:r>
        <w:rPr>
          <w:rFonts w:hint="default" w:ascii="Times New Roman" w:hAnsi="Times New Roman" w:eastAsia="仿宋_GB2312" w:cs="Times New Roman"/>
          <w:color w:val="auto"/>
          <w:sz w:val="32"/>
          <w:szCs w:val="32"/>
          <w:highlight w:val="none"/>
        </w:rPr>
        <w:t>科</w:t>
      </w:r>
      <w:r>
        <w:rPr>
          <w:rFonts w:hint="default" w:ascii="Times New Roman" w:hAnsi="Times New Roman" w:eastAsia="仿宋_GB2312" w:cs="Times New Roman"/>
          <w:color w:val="auto"/>
          <w:sz w:val="32"/>
          <w:szCs w:val="32"/>
          <w:highlight w:val="none"/>
          <w:lang w:eastAsia="zh-CN"/>
        </w:rPr>
        <w:t>和综合计划科会商提出意见，报综合计划科分管领导批准</w:t>
      </w:r>
      <w:r>
        <w:rPr>
          <w:rFonts w:hint="default" w:ascii="Times New Roman" w:hAnsi="Times New Roman" w:eastAsia="仿宋_GB2312" w:cs="Times New Roman"/>
          <w:color w:val="auto"/>
          <w:sz w:val="32"/>
          <w:szCs w:val="32"/>
          <w:highlight w:val="none"/>
        </w:rPr>
        <w:t>后予以备案</w:t>
      </w:r>
      <w:r>
        <w:rPr>
          <w:rFonts w:hint="default" w:ascii="Times New Roman" w:hAnsi="Times New Roman" w:eastAsia="仿宋_GB2312" w:cs="Times New Roman"/>
          <w:color w:val="auto"/>
          <w:sz w:val="32"/>
          <w:szCs w:val="32"/>
          <w:highlight w:val="none"/>
          <w:lang w:eastAsia="zh-CN"/>
        </w:rPr>
        <w:t>。</w:t>
      </w:r>
    </w:p>
    <w:p w14:paraId="704AD50D">
      <w:pPr>
        <w:keepNext w:val="0"/>
        <w:keepLines w:val="0"/>
        <w:pageBreakBefore w:val="0"/>
        <w:kinsoku/>
        <w:wordWrap/>
        <w:overflowPunct/>
        <w:topLinePunct w:val="0"/>
        <w:autoSpaceDE/>
        <w:autoSpaceDN/>
        <w:bidi w:val="0"/>
        <w:adjustRightInd/>
        <w:spacing w:line="40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lang w:eastAsia="zh-CN"/>
        </w:rPr>
      </w:pPr>
      <w:r>
        <w:rPr>
          <w:rFonts w:hint="default" w:ascii="Times New Roman" w:hAnsi="Times New Roman" w:eastAsia="仿宋_GB2312" w:cs="Times New Roman"/>
          <w:color w:val="auto"/>
          <w:sz w:val="32"/>
          <w:szCs w:val="32"/>
          <w:highlight w:val="none"/>
          <w:lang w:eastAsia="zh-CN"/>
        </w:rPr>
        <w:t>项目组负责人因以下原因变更不予处罚：①</w:t>
      </w:r>
      <w:r>
        <w:rPr>
          <w:rFonts w:hint="default" w:ascii="Times New Roman" w:hAnsi="Times New Roman" w:eastAsia="仿宋_GB2312" w:cs="Times New Roman"/>
          <w:color w:val="auto"/>
          <w:sz w:val="32"/>
          <w:szCs w:val="32"/>
          <w:highlight w:val="none"/>
        </w:rPr>
        <w:t>亡故</w:t>
      </w:r>
      <w:r>
        <w:rPr>
          <w:rFonts w:hint="default" w:ascii="Times New Roman" w:hAnsi="Times New Roman" w:eastAsia="仿宋_GB2312" w:cs="Times New Roman"/>
          <w:color w:val="auto"/>
          <w:sz w:val="32"/>
          <w:szCs w:val="32"/>
          <w:highlight w:val="none"/>
          <w:lang w:eastAsia="zh-CN"/>
        </w:rPr>
        <w:t>；②</w:t>
      </w:r>
      <w:r>
        <w:rPr>
          <w:rFonts w:hint="default" w:ascii="Times New Roman" w:hAnsi="Times New Roman" w:eastAsia="仿宋_GB2312" w:cs="Times New Roman"/>
          <w:color w:val="auto"/>
          <w:sz w:val="32"/>
          <w:szCs w:val="32"/>
          <w:highlight w:val="none"/>
        </w:rPr>
        <w:t>重病</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z w:val="32"/>
          <w:szCs w:val="32"/>
          <w:highlight w:val="none"/>
        </w:rPr>
        <w:t>或重伤</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z w:val="32"/>
          <w:szCs w:val="32"/>
          <w:highlight w:val="none"/>
        </w:rPr>
        <w:t>三个月以上，不能履行职责</w:t>
      </w:r>
      <w:r>
        <w:rPr>
          <w:rFonts w:hint="default" w:ascii="Times New Roman" w:hAnsi="Times New Roman" w:eastAsia="仿宋_GB2312" w:cs="Times New Roman"/>
          <w:color w:val="auto"/>
          <w:sz w:val="32"/>
          <w:szCs w:val="32"/>
          <w:highlight w:val="none"/>
          <w:lang w:eastAsia="zh-CN"/>
        </w:rPr>
        <w:t>；③</w:t>
      </w:r>
      <w:r>
        <w:rPr>
          <w:rFonts w:hint="default" w:ascii="Times New Roman" w:hAnsi="Times New Roman" w:eastAsia="仿宋_GB2312" w:cs="Times New Roman"/>
          <w:color w:val="auto"/>
          <w:sz w:val="32"/>
          <w:szCs w:val="32"/>
          <w:highlight w:val="none"/>
        </w:rPr>
        <w:t>受到刑事或行政处罚，不能胜任；</w:t>
      </w:r>
      <w:r>
        <w:rPr>
          <w:rFonts w:hint="default" w:ascii="Times New Roman" w:hAnsi="Times New Roman" w:eastAsia="仿宋_GB2312" w:cs="Times New Roman"/>
          <w:color w:val="auto"/>
          <w:sz w:val="32"/>
          <w:szCs w:val="32"/>
          <w:highlight w:val="none"/>
          <w:lang w:eastAsia="zh-CN"/>
        </w:rPr>
        <w:t>④</w:t>
      </w:r>
      <w:r>
        <w:rPr>
          <w:rFonts w:hint="default" w:ascii="Times New Roman" w:hAnsi="Times New Roman" w:eastAsia="仿宋_GB2312" w:cs="Times New Roman"/>
          <w:color w:val="auto"/>
          <w:sz w:val="32"/>
          <w:szCs w:val="32"/>
          <w:highlight w:val="none"/>
        </w:rPr>
        <w:t>犯罪被羁押或判刑；</w:t>
      </w:r>
      <w:r>
        <w:rPr>
          <w:rFonts w:hint="default" w:ascii="Times New Roman" w:hAnsi="Times New Roman" w:eastAsia="仿宋_GB2312" w:cs="Times New Roman"/>
          <w:color w:val="auto"/>
          <w:sz w:val="32"/>
          <w:szCs w:val="32"/>
          <w:highlight w:val="none"/>
          <w:lang w:eastAsia="zh-CN"/>
        </w:rPr>
        <w:t>⑤</w:t>
      </w:r>
      <w:r>
        <w:rPr>
          <w:rFonts w:hint="default" w:ascii="Times New Roman" w:hAnsi="Times New Roman" w:eastAsia="仿宋_GB2312" w:cs="Times New Roman"/>
          <w:color w:val="auto"/>
          <w:sz w:val="32"/>
          <w:szCs w:val="32"/>
          <w:highlight w:val="none"/>
        </w:rPr>
        <w:t>被责令停止职业资格</w:t>
      </w:r>
      <w:r>
        <w:rPr>
          <w:rFonts w:hint="default" w:ascii="Times New Roman" w:hAnsi="Times New Roman" w:eastAsia="仿宋_GB2312" w:cs="Times New Roman"/>
          <w:color w:val="auto"/>
          <w:sz w:val="32"/>
          <w:szCs w:val="32"/>
          <w:highlight w:val="none"/>
          <w:lang w:eastAsia="zh-CN"/>
        </w:rPr>
        <w:t>。其他原因</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eastAsia="zh-CN"/>
        </w:rPr>
        <w:t>造价企业</w:t>
      </w:r>
      <w:r>
        <w:rPr>
          <w:rFonts w:hint="default" w:ascii="Times New Roman" w:hAnsi="Times New Roman" w:eastAsia="仿宋_GB2312" w:cs="Times New Roman"/>
          <w:color w:val="auto"/>
          <w:sz w:val="32"/>
          <w:szCs w:val="32"/>
          <w:highlight w:val="none"/>
        </w:rPr>
        <w:t>须缴纳</w:t>
      </w:r>
      <w:r>
        <w:rPr>
          <w:rFonts w:hint="default" w:ascii="Times New Roman" w:hAnsi="Times New Roman" w:eastAsia="仿宋_GB2312" w:cs="Times New Roman"/>
          <w:color w:val="auto"/>
          <w:sz w:val="32"/>
          <w:szCs w:val="32"/>
          <w:highlight w:val="none"/>
          <w:lang w:eastAsia="zh-CN"/>
        </w:rPr>
        <w:t>2</w:t>
      </w:r>
      <w:r>
        <w:rPr>
          <w:rFonts w:hint="default" w:ascii="Times New Roman" w:hAnsi="Times New Roman" w:eastAsia="仿宋_GB2312" w:cs="Times New Roman"/>
          <w:color w:val="auto"/>
          <w:sz w:val="32"/>
          <w:szCs w:val="32"/>
          <w:highlight w:val="none"/>
        </w:rPr>
        <w:t>万元违约金</w:t>
      </w:r>
      <w:r>
        <w:rPr>
          <w:rFonts w:hint="default" w:ascii="Times New Roman" w:hAnsi="Times New Roman" w:eastAsia="仿宋_GB2312" w:cs="Times New Roman"/>
          <w:color w:val="auto"/>
          <w:sz w:val="32"/>
          <w:szCs w:val="32"/>
          <w:highlight w:val="none"/>
          <w:lang w:eastAsia="zh-CN"/>
        </w:rPr>
        <w:t>。</w:t>
      </w:r>
    </w:p>
    <w:p w14:paraId="2E7BA5E8">
      <w:pPr>
        <w:keepNext w:val="0"/>
        <w:keepLines w:val="0"/>
        <w:pageBreakBefore w:val="0"/>
        <w:kinsoku/>
        <w:wordWrap/>
        <w:overflowPunct/>
        <w:topLinePunct w:val="0"/>
        <w:autoSpaceDE/>
        <w:autoSpaceDN/>
        <w:bidi w:val="0"/>
        <w:adjustRightInd/>
        <w:spacing w:line="400" w:lineRule="exact"/>
        <w:ind w:left="0" w:leftChars="0" w:firstLine="643"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b/>
          <w:bCs/>
          <w:color w:val="auto"/>
          <w:sz w:val="32"/>
          <w:szCs w:val="32"/>
          <w:highlight w:val="none"/>
        </w:rPr>
        <w:t>第十</w:t>
      </w:r>
      <w:r>
        <w:rPr>
          <w:rFonts w:hint="eastAsia" w:eastAsia="仿宋_GB2312" w:cs="Times New Roman"/>
          <w:b/>
          <w:bCs/>
          <w:color w:val="auto"/>
          <w:sz w:val="32"/>
          <w:szCs w:val="32"/>
          <w:highlight w:val="none"/>
          <w:lang w:val="en-US" w:eastAsia="zh-CN"/>
        </w:rPr>
        <w:t>五</w:t>
      </w:r>
      <w:r>
        <w:rPr>
          <w:rFonts w:hint="default" w:ascii="Times New Roman" w:hAnsi="Times New Roman" w:eastAsia="仿宋_GB2312" w:cs="Times New Roman"/>
          <w:b/>
          <w:bCs/>
          <w:color w:val="auto"/>
          <w:sz w:val="32"/>
          <w:szCs w:val="32"/>
          <w:highlight w:val="none"/>
        </w:rPr>
        <w:t>条</w:t>
      </w:r>
      <w:r>
        <w:rPr>
          <w:rFonts w:hint="default" w:ascii="Times New Roman" w:hAnsi="Times New Roman" w:eastAsia="仿宋_GB2312" w:cs="Times New Roman"/>
          <w:color w:val="auto"/>
          <w:sz w:val="32"/>
          <w:szCs w:val="32"/>
          <w:highlight w:val="none"/>
        </w:rPr>
        <w:t xml:space="preserve"> </w:t>
      </w:r>
      <w:r>
        <w:rPr>
          <w:rFonts w:hint="default" w:ascii="Times New Roman" w:hAnsi="Times New Roman" w:eastAsia="仿宋_GB2312" w:cs="Times New Roman"/>
          <w:color w:val="auto"/>
          <w:sz w:val="32"/>
          <w:szCs w:val="32"/>
          <w:highlight w:val="none"/>
          <w:lang w:val="en-US" w:eastAsia="zh-CN"/>
        </w:rPr>
        <w:t xml:space="preserve"> </w:t>
      </w:r>
      <w:r>
        <w:rPr>
          <w:rFonts w:hint="default" w:ascii="Times New Roman" w:hAnsi="Times New Roman" w:eastAsia="仿宋_GB2312" w:cs="Times New Roman"/>
          <w:color w:val="auto"/>
          <w:kern w:val="0"/>
          <w:sz w:val="32"/>
          <w:szCs w:val="32"/>
          <w:highlight w:val="none"/>
          <w:lang w:eastAsia="zh-CN"/>
        </w:rPr>
        <w:t>跟踪审计单位</w:t>
      </w:r>
      <w:r>
        <w:rPr>
          <w:rFonts w:hint="default" w:ascii="Times New Roman" w:hAnsi="Times New Roman" w:eastAsia="仿宋_GB2312" w:cs="Times New Roman"/>
          <w:color w:val="auto"/>
          <w:sz w:val="32"/>
          <w:szCs w:val="32"/>
          <w:highlight w:val="none"/>
          <w:lang w:eastAsia="zh-CN"/>
        </w:rPr>
        <w:t>审计</w:t>
      </w:r>
      <w:r>
        <w:rPr>
          <w:rFonts w:hint="default" w:ascii="Times New Roman" w:hAnsi="Times New Roman" w:eastAsia="仿宋_GB2312" w:cs="Times New Roman"/>
          <w:color w:val="auto"/>
          <w:sz w:val="32"/>
          <w:szCs w:val="32"/>
          <w:highlight w:val="none"/>
        </w:rPr>
        <w:t>组每月</w:t>
      </w:r>
      <w:r>
        <w:rPr>
          <w:rFonts w:hint="default" w:ascii="Times New Roman" w:hAnsi="Times New Roman" w:eastAsia="仿宋_GB2312" w:cs="Times New Roman"/>
          <w:color w:val="auto"/>
          <w:sz w:val="32"/>
          <w:szCs w:val="32"/>
          <w:highlight w:val="none"/>
          <w:lang w:eastAsia="zh-CN"/>
        </w:rPr>
        <w:t>5</w:t>
      </w:r>
      <w:r>
        <w:rPr>
          <w:rFonts w:hint="default" w:ascii="Times New Roman" w:hAnsi="Times New Roman" w:eastAsia="仿宋_GB2312" w:cs="Times New Roman"/>
          <w:color w:val="auto"/>
          <w:sz w:val="32"/>
          <w:szCs w:val="32"/>
          <w:highlight w:val="none"/>
        </w:rPr>
        <w:t>日前</w:t>
      </w:r>
      <w:r>
        <w:rPr>
          <w:rFonts w:hint="default" w:ascii="Times New Roman" w:hAnsi="Times New Roman" w:eastAsia="仿宋_GB2312" w:cs="Times New Roman"/>
          <w:color w:val="auto"/>
          <w:sz w:val="32"/>
          <w:szCs w:val="32"/>
          <w:highlight w:val="none"/>
          <w:lang w:eastAsia="zh-CN"/>
        </w:rPr>
        <w:t>向</w:t>
      </w:r>
      <w:r>
        <w:rPr>
          <w:rFonts w:hint="default" w:ascii="Times New Roman" w:hAnsi="Times New Roman" w:eastAsia="仿宋_GB2312" w:cs="Times New Roman"/>
          <w:color w:val="auto"/>
          <w:sz w:val="32"/>
          <w:szCs w:val="32"/>
          <w:highlight w:val="none"/>
        </w:rPr>
        <w:t>综合计划科报送审计月报</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z w:val="32"/>
          <w:szCs w:val="32"/>
          <w:highlight w:val="none"/>
        </w:rPr>
        <w:t>综合计划科</w:t>
      </w:r>
      <w:r>
        <w:rPr>
          <w:rFonts w:hint="default" w:ascii="Times New Roman" w:hAnsi="Times New Roman" w:eastAsia="仿宋_GB2312" w:cs="Times New Roman"/>
          <w:color w:val="auto"/>
          <w:sz w:val="32"/>
          <w:szCs w:val="32"/>
          <w:highlight w:val="none"/>
          <w:lang w:eastAsia="zh-CN"/>
        </w:rPr>
        <w:t>抄送</w:t>
      </w:r>
      <w:r>
        <w:rPr>
          <w:rFonts w:hint="default" w:ascii="Times New Roman" w:hAnsi="Times New Roman" w:eastAsia="仿宋_GB2312" w:cs="Times New Roman"/>
          <w:color w:val="auto"/>
          <w:sz w:val="32"/>
          <w:szCs w:val="32"/>
          <w:highlight w:val="none"/>
        </w:rPr>
        <w:t>工程建设科，月报主要</w:t>
      </w:r>
      <w:r>
        <w:rPr>
          <w:rFonts w:hint="default" w:ascii="Times New Roman" w:hAnsi="Times New Roman" w:eastAsia="仿宋_GB2312" w:cs="Times New Roman"/>
          <w:color w:val="auto"/>
          <w:sz w:val="32"/>
          <w:szCs w:val="32"/>
          <w:highlight w:val="none"/>
          <w:lang w:eastAsia="zh-CN"/>
        </w:rPr>
        <w:t>反映</w:t>
      </w:r>
      <w:r>
        <w:rPr>
          <w:rFonts w:hint="default" w:ascii="Times New Roman" w:hAnsi="Times New Roman" w:eastAsia="仿宋_GB2312" w:cs="Times New Roman"/>
          <w:color w:val="auto"/>
          <w:sz w:val="32"/>
          <w:szCs w:val="32"/>
          <w:highlight w:val="none"/>
        </w:rPr>
        <w:t>项目的进度、工程计量、工程变更等涉及工程造价方面的内容。</w:t>
      </w:r>
    </w:p>
    <w:p w14:paraId="58A64474">
      <w:pPr>
        <w:keepNext w:val="0"/>
        <w:keepLines w:val="0"/>
        <w:pageBreakBefore w:val="0"/>
        <w:kinsoku/>
        <w:wordWrap/>
        <w:overflowPunct/>
        <w:topLinePunct w:val="0"/>
        <w:autoSpaceDE/>
        <w:autoSpaceDN/>
        <w:bidi w:val="0"/>
        <w:adjustRightInd/>
        <w:spacing w:line="400" w:lineRule="exact"/>
        <w:ind w:left="0" w:leftChars="0" w:firstLine="643"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b/>
          <w:bCs/>
          <w:color w:val="auto"/>
          <w:sz w:val="32"/>
          <w:szCs w:val="32"/>
          <w:highlight w:val="none"/>
        </w:rPr>
        <w:t>第</w:t>
      </w:r>
      <w:r>
        <w:rPr>
          <w:rFonts w:hint="default" w:ascii="Times New Roman" w:hAnsi="Times New Roman" w:eastAsia="仿宋_GB2312" w:cs="Times New Roman"/>
          <w:b/>
          <w:bCs/>
          <w:color w:val="auto"/>
          <w:sz w:val="32"/>
          <w:szCs w:val="32"/>
          <w:highlight w:val="none"/>
          <w:lang w:eastAsia="zh-CN"/>
        </w:rPr>
        <w:t>十</w:t>
      </w:r>
      <w:r>
        <w:rPr>
          <w:rFonts w:hint="eastAsia" w:eastAsia="仿宋_GB2312" w:cs="Times New Roman"/>
          <w:b/>
          <w:bCs/>
          <w:color w:val="auto"/>
          <w:sz w:val="32"/>
          <w:szCs w:val="32"/>
          <w:highlight w:val="none"/>
          <w:lang w:val="en-US" w:eastAsia="zh-CN"/>
        </w:rPr>
        <w:t>六</w:t>
      </w:r>
      <w:r>
        <w:rPr>
          <w:rFonts w:hint="default" w:ascii="Times New Roman" w:hAnsi="Times New Roman" w:eastAsia="仿宋_GB2312" w:cs="Times New Roman"/>
          <w:b/>
          <w:bCs/>
          <w:color w:val="auto"/>
          <w:sz w:val="32"/>
          <w:szCs w:val="32"/>
          <w:highlight w:val="none"/>
        </w:rPr>
        <w:t>条</w:t>
      </w:r>
      <w:r>
        <w:rPr>
          <w:rFonts w:hint="default" w:ascii="Times New Roman" w:hAnsi="Times New Roman" w:eastAsia="仿宋_GB2312" w:cs="Times New Roman"/>
          <w:color w:val="auto"/>
          <w:sz w:val="32"/>
          <w:szCs w:val="32"/>
          <w:highlight w:val="none"/>
        </w:rPr>
        <w:t xml:space="preserve"> </w:t>
      </w:r>
      <w:r>
        <w:rPr>
          <w:rFonts w:hint="default" w:ascii="Times New Roman" w:hAnsi="Times New Roman" w:eastAsia="仿宋_GB2312" w:cs="Times New Roman"/>
          <w:color w:val="auto"/>
          <w:sz w:val="32"/>
          <w:szCs w:val="32"/>
          <w:highlight w:val="none"/>
          <w:lang w:val="en-US" w:eastAsia="zh-CN"/>
        </w:rPr>
        <w:t xml:space="preserve"> </w:t>
      </w:r>
      <w:r>
        <w:rPr>
          <w:rFonts w:hint="default" w:ascii="Times New Roman" w:hAnsi="Times New Roman" w:eastAsia="仿宋_GB2312" w:cs="Times New Roman"/>
          <w:color w:val="auto"/>
          <w:sz w:val="32"/>
          <w:szCs w:val="32"/>
          <w:highlight w:val="none"/>
          <w:lang w:eastAsia="zh-CN"/>
        </w:rPr>
        <w:t>结算审核单位</w:t>
      </w:r>
      <w:r>
        <w:rPr>
          <w:rFonts w:hint="default" w:ascii="Times New Roman" w:hAnsi="Times New Roman" w:eastAsia="仿宋_GB2312" w:cs="Times New Roman"/>
          <w:color w:val="auto"/>
          <w:sz w:val="32"/>
          <w:szCs w:val="32"/>
          <w:highlight w:val="none"/>
        </w:rPr>
        <w:t>应在</w:t>
      </w:r>
      <w:r>
        <w:rPr>
          <w:rFonts w:hint="default" w:ascii="Times New Roman" w:hAnsi="Times New Roman" w:eastAsia="仿宋_GB2312" w:cs="Times New Roman"/>
          <w:color w:val="auto"/>
          <w:sz w:val="32"/>
          <w:szCs w:val="32"/>
          <w:highlight w:val="none"/>
          <w:lang w:eastAsia="zh-CN"/>
        </w:rPr>
        <w:t>7</w:t>
      </w:r>
      <w:r>
        <w:rPr>
          <w:rFonts w:hint="default" w:ascii="Times New Roman" w:hAnsi="Times New Roman" w:eastAsia="仿宋_GB2312" w:cs="Times New Roman"/>
          <w:color w:val="auto"/>
          <w:sz w:val="32"/>
          <w:szCs w:val="32"/>
          <w:highlight w:val="none"/>
        </w:rPr>
        <w:t>日（</w:t>
      </w:r>
      <w:r>
        <w:rPr>
          <w:rFonts w:hint="default" w:ascii="Times New Roman" w:hAnsi="Times New Roman" w:eastAsia="仿宋_GB2312" w:cs="Times New Roman"/>
          <w:color w:val="auto"/>
          <w:sz w:val="32"/>
          <w:szCs w:val="32"/>
          <w:highlight w:val="none"/>
          <w:lang w:eastAsia="zh-CN"/>
        </w:rPr>
        <w:t>造价5000</w:t>
      </w:r>
      <w:r>
        <w:rPr>
          <w:rFonts w:hint="default" w:ascii="Times New Roman" w:hAnsi="Times New Roman" w:eastAsia="仿宋_GB2312" w:cs="Times New Roman"/>
          <w:color w:val="auto"/>
          <w:sz w:val="32"/>
          <w:szCs w:val="32"/>
          <w:highlight w:val="none"/>
        </w:rPr>
        <w:t>万</w:t>
      </w:r>
      <w:r>
        <w:rPr>
          <w:rFonts w:hint="default" w:ascii="Times New Roman" w:hAnsi="Times New Roman" w:eastAsia="仿宋_GB2312" w:cs="Times New Roman"/>
          <w:color w:val="auto"/>
          <w:sz w:val="32"/>
          <w:szCs w:val="32"/>
          <w:highlight w:val="none"/>
          <w:lang w:eastAsia="zh-CN"/>
        </w:rPr>
        <w:t>元</w:t>
      </w:r>
      <w:r>
        <w:rPr>
          <w:rFonts w:hint="default" w:ascii="Times New Roman" w:hAnsi="Times New Roman" w:eastAsia="仿宋_GB2312" w:cs="Times New Roman"/>
          <w:color w:val="auto"/>
          <w:sz w:val="32"/>
          <w:szCs w:val="32"/>
          <w:highlight w:val="none"/>
        </w:rPr>
        <w:t>以下）或</w:t>
      </w:r>
      <w:r>
        <w:rPr>
          <w:rFonts w:hint="default" w:ascii="Times New Roman" w:hAnsi="Times New Roman" w:eastAsia="仿宋_GB2312" w:cs="Times New Roman"/>
          <w:color w:val="auto"/>
          <w:sz w:val="32"/>
          <w:szCs w:val="32"/>
          <w:highlight w:val="none"/>
          <w:lang w:eastAsia="zh-CN"/>
        </w:rPr>
        <w:t>10</w:t>
      </w:r>
      <w:r>
        <w:rPr>
          <w:rFonts w:hint="default" w:ascii="Times New Roman" w:hAnsi="Times New Roman" w:eastAsia="仿宋_GB2312" w:cs="Times New Roman"/>
          <w:color w:val="auto"/>
          <w:sz w:val="32"/>
          <w:szCs w:val="32"/>
          <w:highlight w:val="none"/>
        </w:rPr>
        <w:t>日（</w:t>
      </w:r>
      <w:r>
        <w:rPr>
          <w:rFonts w:hint="default" w:ascii="Times New Roman" w:hAnsi="Times New Roman" w:eastAsia="仿宋_GB2312" w:cs="Times New Roman"/>
          <w:color w:val="auto"/>
          <w:sz w:val="32"/>
          <w:szCs w:val="32"/>
          <w:highlight w:val="none"/>
          <w:lang w:eastAsia="zh-CN"/>
        </w:rPr>
        <w:t>造价5000</w:t>
      </w:r>
      <w:r>
        <w:rPr>
          <w:rFonts w:hint="default" w:ascii="Times New Roman" w:hAnsi="Times New Roman" w:eastAsia="仿宋_GB2312" w:cs="Times New Roman"/>
          <w:color w:val="auto"/>
          <w:sz w:val="32"/>
          <w:szCs w:val="32"/>
          <w:highlight w:val="none"/>
        </w:rPr>
        <w:t>万</w:t>
      </w:r>
      <w:r>
        <w:rPr>
          <w:rFonts w:hint="default" w:ascii="Times New Roman" w:hAnsi="Times New Roman" w:eastAsia="仿宋_GB2312" w:cs="Times New Roman"/>
          <w:color w:val="auto"/>
          <w:sz w:val="32"/>
          <w:szCs w:val="32"/>
          <w:highlight w:val="none"/>
          <w:lang w:eastAsia="zh-CN"/>
        </w:rPr>
        <w:t>元</w:t>
      </w:r>
      <w:r>
        <w:rPr>
          <w:rFonts w:hint="default" w:ascii="Times New Roman" w:hAnsi="Times New Roman" w:eastAsia="仿宋_GB2312" w:cs="Times New Roman"/>
          <w:color w:val="auto"/>
          <w:sz w:val="32"/>
          <w:szCs w:val="32"/>
          <w:highlight w:val="none"/>
        </w:rPr>
        <w:t>以上）内，对施工单位报送的项目结算资料进行完整性检查，一次性书面告知，限期补充齐全。在实施结算审计</w:t>
      </w:r>
      <w:r>
        <w:rPr>
          <w:rFonts w:hint="default" w:ascii="Times New Roman" w:hAnsi="Times New Roman" w:eastAsia="仿宋_GB2312" w:cs="Times New Roman"/>
          <w:color w:val="auto"/>
          <w:sz w:val="32"/>
          <w:szCs w:val="32"/>
          <w:highlight w:val="none"/>
          <w:lang w:eastAsia="zh-CN"/>
        </w:rPr>
        <w:t>过</w:t>
      </w:r>
      <w:r>
        <w:rPr>
          <w:rFonts w:hint="default" w:ascii="Times New Roman" w:hAnsi="Times New Roman" w:eastAsia="仿宋_GB2312" w:cs="Times New Roman"/>
          <w:color w:val="auto"/>
          <w:sz w:val="32"/>
          <w:szCs w:val="32"/>
          <w:highlight w:val="none"/>
        </w:rPr>
        <w:t>程中，原则上不再接收施工单位提供的变更签证资料。如遇特殊情况，补充资料</w:t>
      </w:r>
      <w:r>
        <w:rPr>
          <w:rFonts w:hint="default" w:ascii="Times New Roman" w:hAnsi="Times New Roman" w:eastAsia="仿宋_GB2312" w:cs="Times New Roman"/>
          <w:color w:val="auto"/>
          <w:sz w:val="32"/>
          <w:szCs w:val="32"/>
          <w:highlight w:val="none"/>
          <w:lang w:eastAsia="zh-CN"/>
        </w:rPr>
        <w:t>需</w:t>
      </w:r>
      <w:r>
        <w:rPr>
          <w:rFonts w:hint="default" w:ascii="Times New Roman" w:hAnsi="Times New Roman" w:eastAsia="仿宋_GB2312" w:cs="Times New Roman"/>
          <w:color w:val="auto"/>
          <w:sz w:val="32"/>
          <w:szCs w:val="32"/>
          <w:highlight w:val="none"/>
        </w:rPr>
        <w:t>经</w:t>
      </w:r>
      <w:r>
        <w:rPr>
          <w:rFonts w:hint="default" w:ascii="Times New Roman" w:hAnsi="Times New Roman" w:eastAsia="仿宋_GB2312" w:cs="Times New Roman"/>
          <w:color w:val="auto"/>
          <w:sz w:val="32"/>
          <w:szCs w:val="32"/>
          <w:highlight w:val="none"/>
          <w:lang w:eastAsia="zh-CN"/>
        </w:rPr>
        <w:t>工程建设科和</w:t>
      </w:r>
      <w:r>
        <w:rPr>
          <w:rFonts w:hint="default" w:ascii="Times New Roman" w:hAnsi="Times New Roman" w:eastAsia="仿宋_GB2312" w:cs="Times New Roman"/>
          <w:color w:val="auto"/>
          <w:sz w:val="32"/>
          <w:szCs w:val="32"/>
          <w:highlight w:val="none"/>
        </w:rPr>
        <w:t>项目分管领导同意。</w:t>
      </w:r>
    </w:p>
    <w:p w14:paraId="70BB5DB2">
      <w:pPr>
        <w:keepNext w:val="0"/>
        <w:keepLines w:val="0"/>
        <w:pageBreakBefore w:val="0"/>
        <w:kinsoku/>
        <w:wordWrap/>
        <w:overflowPunct/>
        <w:topLinePunct w:val="0"/>
        <w:autoSpaceDE/>
        <w:autoSpaceDN/>
        <w:bidi w:val="0"/>
        <w:adjustRightInd/>
        <w:spacing w:line="400" w:lineRule="exact"/>
        <w:ind w:left="0" w:leftChars="0" w:firstLine="643"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b/>
          <w:bCs/>
          <w:color w:val="auto"/>
          <w:sz w:val="32"/>
          <w:szCs w:val="32"/>
          <w:highlight w:val="none"/>
        </w:rPr>
        <w:t>第</w:t>
      </w:r>
      <w:r>
        <w:rPr>
          <w:rFonts w:hint="default" w:ascii="Times New Roman" w:hAnsi="Times New Roman" w:eastAsia="仿宋_GB2312" w:cs="Times New Roman"/>
          <w:b/>
          <w:bCs/>
          <w:color w:val="auto"/>
          <w:sz w:val="32"/>
          <w:szCs w:val="32"/>
          <w:highlight w:val="none"/>
          <w:lang w:eastAsia="zh-CN"/>
        </w:rPr>
        <w:t>十</w:t>
      </w:r>
      <w:r>
        <w:rPr>
          <w:rFonts w:hint="eastAsia" w:eastAsia="仿宋_GB2312" w:cs="Times New Roman"/>
          <w:b/>
          <w:bCs/>
          <w:color w:val="auto"/>
          <w:sz w:val="32"/>
          <w:szCs w:val="32"/>
          <w:highlight w:val="none"/>
          <w:lang w:val="en-US" w:eastAsia="zh-CN"/>
        </w:rPr>
        <w:t>七</w:t>
      </w:r>
      <w:r>
        <w:rPr>
          <w:rFonts w:hint="default" w:ascii="Times New Roman" w:hAnsi="Times New Roman" w:eastAsia="仿宋_GB2312" w:cs="Times New Roman"/>
          <w:b/>
          <w:bCs/>
          <w:color w:val="auto"/>
          <w:sz w:val="32"/>
          <w:szCs w:val="32"/>
          <w:highlight w:val="none"/>
        </w:rPr>
        <w:t>条</w:t>
      </w:r>
      <w:r>
        <w:rPr>
          <w:rFonts w:hint="default" w:ascii="Times New Roman" w:hAnsi="Times New Roman" w:eastAsia="仿宋_GB2312" w:cs="Times New Roman"/>
          <w:color w:val="auto"/>
          <w:sz w:val="32"/>
          <w:szCs w:val="32"/>
          <w:highlight w:val="none"/>
          <w:lang w:val="en-US" w:eastAsia="zh-CN"/>
        </w:rPr>
        <w:t xml:space="preserve"> </w:t>
      </w:r>
      <w:r>
        <w:rPr>
          <w:rFonts w:hint="default" w:ascii="Times New Roman" w:hAnsi="Times New Roman" w:eastAsia="仿宋_GB2312" w:cs="Times New Roman"/>
          <w:color w:val="auto"/>
          <w:sz w:val="32"/>
          <w:szCs w:val="32"/>
          <w:highlight w:val="none"/>
        </w:rPr>
        <w:t xml:space="preserve"> 造价企业结算审</w:t>
      </w:r>
      <w:r>
        <w:rPr>
          <w:rFonts w:hint="default" w:ascii="Times New Roman" w:hAnsi="Times New Roman" w:eastAsia="仿宋_GB2312" w:cs="Times New Roman"/>
          <w:color w:val="auto"/>
          <w:sz w:val="32"/>
          <w:szCs w:val="32"/>
          <w:highlight w:val="none"/>
          <w:lang w:eastAsia="zh-CN"/>
        </w:rPr>
        <w:t>核</w:t>
      </w:r>
      <w:r>
        <w:rPr>
          <w:rFonts w:hint="default" w:ascii="Times New Roman" w:hAnsi="Times New Roman" w:eastAsia="仿宋_GB2312" w:cs="Times New Roman"/>
          <w:color w:val="auto"/>
          <w:sz w:val="32"/>
          <w:szCs w:val="32"/>
          <w:highlight w:val="none"/>
        </w:rPr>
        <w:t>的项目，造价在</w:t>
      </w:r>
      <w:r>
        <w:rPr>
          <w:rFonts w:hint="default" w:ascii="Times New Roman" w:hAnsi="Times New Roman" w:eastAsia="仿宋_GB2312" w:cs="Times New Roman"/>
          <w:color w:val="auto"/>
          <w:sz w:val="32"/>
          <w:szCs w:val="32"/>
          <w:highlight w:val="none"/>
          <w:lang w:eastAsia="zh-CN"/>
        </w:rPr>
        <w:t>500</w:t>
      </w:r>
      <w:r>
        <w:rPr>
          <w:rFonts w:hint="default" w:ascii="Times New Roman" w:hAnsi="Times New Roman" w:eastAsia="仿宋_GB2312" w:cs="Times New Roman"/>
          <w:color w:val="auto"/>
          <w:sz w:val="32"/>
          <w:szCs w:val="32"/>
          <w:highlight w:val="none"/>
        </w:rPr>
        <w:t>万元以下、</w:t>
      </w:r>
      <w:r>
        <w:rPr>
          <w:rFonts w:hint="default" w:ascii="Times New Roman" w:hAnsi="Times New Roman" w:eastAsia="仿宋_GB2312" w:cs="Times New Roman"/>
          <w:color w:val="auto"/>
          <w:sz w:val="32"/>
          <w:szCs w:val="32"/>
          <w:highlight w:val="none"/>
          <w:lang w:eastAsia="zh-CN"/>
        </w:rPr>
        <w:t>500</w:t>
      </w:r>
      <w:r>
        <w:rPr>
          <w:rFonts w:hint="default" w:ascii="Times New Roman" w:hAnsi="Times New Roman" w:eastAsia="仿宋_GB2312" w:cs="Times New Roman"/>
          <w:color w:val="auto"/>
          <w:sz w:val="32"/>
          <w:szCs w:val="32"/>
          <w:highlight w:val="none"/>
        </w:rPr>
        <w:t>万元-</w:t>
      </w:r>
      <w:r>
        <w:rPr>
          <w:rFonts w:hint="default" w:ascii="Times New Roman" w:hAnsi="Times New Roman" w:eastAsia="仿宋_GB2312" w:cs="Times New Roman"/>
          <w:color w:val="auto"/>
          <w:sz w:val="32"/>
          <w:szCs w:val="32"/>
          <w:highlight w:val="none"/>
          <w:lang w:eastAsia="zh-CN"/>
        </w:rPr>
        <w:t>2000</w:t>
      </w:r>
      <w:r>
        <w:rPr>
          <w:rFonts w:hint="default" w:ascii="Times New Roman" w:hAnsi="Times New Roman" w:eastAsia="仿宋_GB2312" w:cs="Times New Roman"/>
          <w:color w:val="auto"/>
          <w:sz w:val="32"/>
          <w:szCs w:val="32"/>
          <w:highlight w:val="none"/>
        </w:rPr>
        <w:t>万元、</w:t>
      </w:r>
      <w:r>
        <w:rPr>
          <w:rFonts w:hint="default" w:ascii="Times New Roman" w:hAnsi="Times New Roman" w:eastAsia="仿宋_GB2312" w:cs="Times New Roman"/>
          <w:color w:val="auto"/>
          <w:sz w:val="32"/>
          <w:szCs w:val="32"/>
          <w:highlight w:val="none"/>
          <w:lang w:eastAsia="zh-CN"/>
        </w:rPr>
        <w:t>2000</w:t>
      </w:r>
      <w:r>
        <w:rPr>
          <w:rFonts w:hint="default" w:ascii="Times New Roman" w:hAnsi="Times New Roman" w:eastAsia="仿宋_GB2312" w:cs="Times New Roman"/>
          <w:color w:val="auto"/>
          <w:sz w:val="32"/>
          <w:szCs w:val="32"/>
          <w:highlight w:val="none"/>
        </w:rPr>
        <w:t>万元-</w:t>
      </w:r>
      <w:r>
        <w:rPr>
          <w:rFonts w:hint="default" w:ascii="Times New Roman" w:hAnsi="Times New Roman" w:eastAsia="仿宋_GB2312" w:cs="Times New Roman"/>
          <w:color w:val="auto"/>
          <w:sz w:val="32"/>
          <w:szCs w:val="32"/>
          <w:highlight w:val="none"/>
          <w:lang w:eastAsia="zh-CN"/>
        </w:rPr>
        <w:t>5000</w:t>
      </w:r>
      <w:r>
        <w:rPr>
          <w:rFonts w:hint="default" w:ascii="Times New Roman" w:hAnsi="Times New Roman" w:eastAsia="仿宋_GB2312" w:cs="Times New Roman"/>
          <w:color w:val="auto"/>
          <w:sz w:val="32"/>
          <w:szCs w:val="32"/>
          <w:highlight w:val="none"/>
        </w:rPr>
        <w:t>万元、</w:t>
      </w:r>
      <w:r>
        <w:rPr>
          <w:rFonts w:hint="default" w:ascii="Times New Roman" w:hAnsi="Times New Roman" w:eastAsia="仿宋_GB2312" w:cs="Times New Roman"/>
          <w:color w:val="auto"/>
          <w:sz w:val="32"/>
          <w:szCs w:val="32"/>
          <w:highlight w:val="none"/>
          <w:lang w:eastAsia="zh-CN"/>
        </w:rPr>
        <w:t>5000</w:t>
      </w:r>
      <w:r>
        <w:rPr>
          <w:rFonts w:hint="default" w:ascii="Times New Roman" w:hAnsi="Times New Roman" w:eastAsia="仿宋_GB2312" w:cs="Times New Roman"/>
          <w:color w:val="auto"/>
          <w:sz w:val="32"/>
          <w:szCs w:val="32"/>
          <w:highlight w:val="none"/>
        </w:rPr>
        <w:t>万元以上的单项工程，应</w:t>
      </w:r>
      <w:r>
        <w:rPr>
          <w:rFonts w:hint="default" w:ascii="Times New Roman" w:hAnsi="Times New Roman" w:eastAsia="仿宋_GB2312" w:cs="Times New Roman"/>
          <w:color w:val="auto"/>
          <w:sz w:val="32"/>
          <w:szCs w:val="32"/>
          <w:highlight w:val="none"/>
          <w:lang w:eastAsia="zh-CN"/>
        </w:rPr>
        <w:t>分别</w:t>
      </w:r>
      <w:r>
        <w:rPr>
          <w:rFonts w:hint="default" w:ascii="Times New Roman" w:hAnsi="Times New Roman" w:eastAsia="仿宋_GB2312" w:cs="Times New Roman"/>
          <w:color w:val="auto"/>
          <w:sz w:val="32"/>
          <w:szCs w:val="32"/>
          <w:highlight w:val="none"/>
        </w:rPr>
        <w:t>在施工单位报送的项目结算资料完整</w:t>
      </w:r>
      <w:r>
        <w:rPr>
          <w:rFonts w:hint="default" w:ascii="Times New Roman" w:hAnsi="Times New Roman" w:eastAsia="仿宋_GB2312" w:cs="Times New Roman"/>
          <w:color w:val="auto"/>
          <w:sz w:val="32"/>
          <w:szCs w:val="32"/>
          <w:highlight w:val="none"/>
          <w:lang w:eastAsia="zh-CN"/>
        </w:rPr>
        <w:t>后的20</w:t>
      </w:r>
      <w:r>
        <w:rPr>
          <w:rFonts w:hint="default" w:ascii="Times New Roman" w:hAnsi="Times New Roman" w:eastAsia="仿宋_GB2312" w:cs="Times New Roman"/>
          <w:color w:val="auto"/>
          <w:sz w:val="32"/>
          <w:szCs w:val="32"/>
          <w:highlight w:val="none"/>
        </w:rPr>
        <w:t>日、</w:t>
      </w:r>
      <w:r>
        <w:rPr>
          <w:rFonts w:hint="default" w:ascii="Times New Roman" w:hAnsi="Times New Roman" w:eastAsia="仿宋_GB2312" w:cs="Times New Roman"/>
          <w:color w:val="auto"/>
          <w:sz w:val="32"/>
          <w:szCs w:val="32"/>
          <w:highlight w:val="none"/>
          <w:lang w:eastAsia="zh-CN"/>
        </w:rPr>
        <w:t>30</w:t>
      </w:r>
      <w:r>
        <w:rPr>
          <w:rFonts w:hint="default" w:ascii="Times New Roman" w:hAnsi="Times New Roman" w:eastAsia="仿宋_GB2312" w:cs="Times New Roman"/>
          <w:color w:val="auto"/>
          <w:sz w:val="32"/>
          <w:szCs w:val="32"/>
          <w:highlight w:val="none"/>
        </w:rPr>
        <w:t>日、</w:t>
      </w:r>
      <w:r>
        <w:rPr>
          <w:rFonts w:hint="default" w:ascii="Times New Roman" w:hAnsi="Times New Roman" w:eastAsia="仿宋_GB2312" w:cs="Times New Roman"/>
          <w:color w:val="auto"/>
          <w:sz w:val="32"/>
          <w:szCs w:val="32"/>
          <w:highlight w:val="none"/>
          <w:lang w:eastAsia="zh-CN"/>
        </w:rPr>
        <w:t>45</w:t>
      </w:r>
      <w:r>
        <w:rPr>
          <w:rFonts w:hint="default" w:ascii="Times New Roman" w:hAnsi="Times New Roman" w:eastAsia="仿宋_GB2312" w:cs="Times New Roman"/>
          <w:color w:val="auto"/>
          <w:sz w:val="32"/>
          <w:szCs w:val="32"/>
          <w:highlight w:val="none"/>
        </w:rPr>
        <w:t>日、</w:t>
      </w:r>
      <w:r>
        <w:rPr>
          <w:rFonts w:hint="default" w:ascii="Times New Roman" w:hAnsi="Times New Roman" w:eastAsia="仿宋_GB2312" w:cs="Times New Roman"/>
          <w:color w:val="auto"/>
          <w:sz w:val="32"/>
          <w:szCs w:val="32"/>
          <w:highlight w:val="none"/>
          <w:lang w:eastAsia="zh-CN"/>
        </w:rPr>
        <w:t>60</w:t>
      </w:r>
      <w:r>
        <w:rPr>
          <w:rFonts w:hint="default" w:ascii="Times New Roman" w:hAnsi="Times New Roman" w:eastAsia="仿宋_GB2312" w:cs="Times New Roman"/>
          <w:color w:val="auto"/>
          <w:sz w:val="32"/>
          <w:szCs w:val="32"/>
          <w:highlight w:val="none"/>
        </w:rPr>
        <w:t>日内完成，并出具审核报告。如遇特殊情况，经</w:t>
      </w:r>
      <w:r>
        <w:rPr>
          <w:rFonts w:hint="default" w:ascii="Times New Roman" w:hAnsi="Times New Roman" w:eastAsia="仿宋_GB2312" w:cs="Times New Roman"/>
          <w:color w:val="auto"/>
          <w:sz w:val="32"/>
          <w:szCs w:val="32"/>
          <w:highlight w:val="none"/>
          <w:lang w:eastAsia="zh-CN"/>
        </w:rPr>
        <w:t>工程建设科和</w:t>
      </w:r>
      <w:r>
        <w:rPr>
          <w:rFonts w:hint="default" w:ascii="Times New Roman" w:hAnsi="Times New Roman" w:eastAsia="仿宋_GB2312" w:cs="Times New Roman"/>
          <w:color w:val="auto"/>
          <w:sz w:val="32"/>
          <w:szCs w:val="32"/>
          <w:highlight w:val="none"/>
        </w:rPr>
        <w:t>项目分管领导同意，可适当延长，延长时间最长不得超过</w:t>
      </w:r>
      <w:r>
        <w:rPr>
          <w:rFonts w:hint="default" w:ascii="Times New Roman" w:hAnsi="Times New Roman" w:eastAsia="仿宋_GB2312" w:cs="Times New Roman"/>
          <w:color w:val="auto"/>
          <w:sz w:val="32"/>
          <w:szCs w:val="32"/>
          <w:highlight w:val="none"/>
          <w:lang w:eastAsia="zh-CN"/>
        </w:rPr>
        <w:t>30</w:t>
      </w:r>
      <w:r>
        <w:rPr>
          <w:rFonts w:hint="default" w:ascii="Times New Roman" w:hAnsi="Times New Roman" w:eastAsia="仿宋_GB2312" w:cs="Times New Roman"/>
          <w:color w:val="auto"/>
          <w:sz w:val="32"/>
          <w:szCs w:val="32"/>
          <w:highlight w:val="none"/>
        </w:rPr>
        <w:t>日。</w:t>
      </w:r>
    </w:p>
    <w:p w14:paraId="24F1BFC3">
      <w:pPr>
        <w:keepNext w:val="0"/>
        <w:keepLines w:val="0"/>
        <w:pageBreakBefore w:val="0"/>
        <w:kinsoku/>
        <w:wordWrap/>
        <w:overflowPunct/>
        <w:topLinePunct w:val="0"/>
        <w:autoSpaceDE/>
        <w:autoSpaceDN/>
        <w:bidi w:val="0"/>
        <w:adjustRightInd/>
        <w:spacing w:line="400" w:lineRule="exact"/>
        <w:ind w:left="0" w:leftChars="0" w:firstLine="640" w:firstLineChars="200"/>
        <w:jc w:val="left"/>
        <w:textAlignment w:val="auto"/>
        <w:rPr>
          <w:rFonts w:hint="default" w:ascii="Times New Roman" w:hAnsi="Times New Roman" w:eastAsia="黑体" w:cs="Times New Roman"/>
          <w:color w:val="auto"/>
          <w:sz w:val="32"/>
          <w:szCs w:val="32"/>
          <w:highlight w:val="none"/>
        </w:rPr>
      </w:pPr>
      <w:r>
        <w:rPr>
          <w:rFonts w:hint="default" w:ascii="Times New Roman" w:hAnsi="Times New Roman" w:eastAsia="仿宋_GB2312" w:cs="Times New Roman"/>
          <w:color w:val="auto"/>
          <w:sz w:val="32"/>
          <w:szCs w:val="32"/>
          <w:highlight w:val="none"/>
        </w:rPr>
        <w:t xml:space="preserve"> </w:t>
      </w:r>
      <w:r>
        <w:rPr>
          <w:rFonts w:hint="default" w:ascii="Times New Roman" w:hAnsi="Times New Roman" w:eastAsia="仿宋_GB2312" w:cs="Times New Roman"/>
          <w:b/>
          <w:bCs/>
          <w:color w:val="auto"/>
          <w:sz w:val="32"/>
          <w:szCs w:val="32"/>
          <w:highlight w:val="none"/>
        </w:rPr>
        <w:t>第</w:t>
      </w:r>
      <w:r>
        <w:rPr>
          <w:rFonts w:hint="eastAsia" w:eastAsia="仿宋_GB2312" w:cs="Times New Roman"/>
          <w:b/>
          <w:bCs/>
          <w:color w:val="auto"/>
          <w:sz w:val="32"/>
          <w:szCs w:val="32"/>
          <w:highlight w:val="none"/>
          <w:lang w:val="en-US" w:eastAsia="zh-CN"/>
        </w:rPr>
        <w:t>十八</w:t>
      </w:r>
      <w:r>
        <w:rPr>
          <w:rFonts w:hint="default" w:ascii="Times New Roman" w:hAnsi="Times New Roman" w:eastAsia="仿宋_GB2312" w:cs="Times New Roman"/>
          <w:b/>
          <w:bCs/>
          <w:color w:val="auto"/>
          <w:sz w:val="32"/>
          <w:szCs w:val="32"/>
          <w:highlight w:val="none"/>
        </w:rPr>
        <w:t>条</w:t>
      </w:r>
      <w:r>
        <w:rPr>
          <w:rFonts w:hint="default" w:ascii="Times New Roman" w:hAnsi="Times New Roman" w:eastAsia="仿宋_GB2312" w:cs="Times New Roman"/>
          <w:color w:val="auto"/>
          <w:sz w:val="32"/>
          <w:szCs w:val="32"/>
          <w:highlight w:val="none"/>
          <w:lang w:val="en-US" w:eastAsia="zh-CN"/>
        </w:rPr>
        <w:t xml:space="preserve">  </w:t>
      </w:r>
      <w:r>
        <w:rPr>
          <w:rFonts w:hint="default" w:ascii="Times New Roman" w:hAnsi="Times New Roman" w:eastAsia="仿宋_GB2312" w:cs="Times New Roman"/>
          <w:color w:val="auto"/>
          <w:sz w:val="32"/>
          <w:szCs w:val="32"/>
          <w:highlight w:val="none"/>
        </w:rPr>
        <w:t>造价企业</w:t>
      </w:r>
      <w:r>
        <w:rPr>
          <w:rFonts w:hint="default" w:ascii="Times New Roman" w:hAnsi="Times New Roman" w:eastAsia="仿宋_GB2312" w:cs="Times New Roman"/>
          <w:color w:val="auto"/>
          <w:sz w:val="32"/>
          <w:szCs w:val="32"/>
          <w:highlight w:val="none"/>
          <w:lang w:eastAsia="zh-CN"/>
        </w:rPr>
        <w:t>清单编制</w:t>
      </w:r>
      <w:r>
        <w:rPr>
          <w:rFonts w:hint="default" w:ascii="Times New Roman" w:hAnsi="Times New Roman" w:eastAsia="仿宋_GB2312" w:cs="Times New Roman"/>
          <w:color w:val="auto"/>
          <w:sz w:val="32"/>
          <w:szCs w:val="32"/>
          <w:highlight w:val="none"/>
        </w:rPr>
        <w:t>的项目</w:t>
      </w:r>
      <w:r>
        <w:rPr>
          <w:rFonts w:hint="default" w:ascii="Times New Roman" w:hAnsi="Times New Roman" w:eastAsia="仿宋_GB2312" w:cs="Times New Roman"/>
          <w:color w:val="auto"/>
          <w:sz w:val="32"/>
          <w:szCs w:val="32"/>
          <w:highlight w:val="none"/>
          <w:lang w:eastAsia="zh-CN"/>
        </w:rPr>
        <w:t>，估算最高投标限价在</w:t>
      </w:r>
      <w:r>
        <w:rPr>
          <w:rFonts w:hint="default" w:ascii="Times New Roman" w:hAnsi="Times New Roman" w:eastAsia="仿宋_GB2312" w:cs="Times New Roman"/>
          <w:color w:val="auto"/>
          <w:sz w:val="32"/>
          <w:szCs w:val="32"/>
          <w:highlight w:val="none"/>
          <w:lang w:val="en-US" w:eastAsia="zh-CN"/>
        </w:rPr>
        <w:t xml:space="preserve">500万元以下、500万元-1000万元、1000万元-5000万元、5000万元-10000万元、10000万元以上的项目，应分别在7日、15日、20日、25日、30日内完成。特殊项目经综合计划科分管领导同意可以适当缩短或延长编制时间。  </w:t>
      </w:r>
      <w:r>
        <w:rPr>
          <w:rFonts w:hint="default" w:ascii="Times New Roman" w:hAnsi="Times New Roman" w:eastAsia="仿宋_GB2312" w:cs="Times New Roman"/>
          <w:color w:val="auto"/>
          <w:sz w:val="32"/>
          <w:szCs w:val="32"/>
          <w:highlight w:val="none"/>
        </w:rPr>
        <w:t xml:space="preserve">   </w:t>
      </w:r>
    </w:p>
    <w:p w14:paraId="2719BE3D">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9"/>
        <w:rPr>
          <w:rFonts w:hint="default" w:ascii="Times New Roman" w:hAnsi="Times New Roman" w:eastAsia="黑体" w:cs="Times New Roman"/>
          <w:color w:val="auto"/>
          <w:sz w:val="32"/>
          <w:szCs w:val="32"/>
          <w:highlight w:val="none"/>
        </w:rPr>
      </w:pPr>
      <w:r>
        <w:rPr>
          <w:rFonts w:hint="default" w:ascii="Times New Roman" w:hAnsi="Times New Roman" w:eastAsia="黑体" w:cs="Times New Roman"/>
          <w:color w:val="auto"/>
          <w:sz w:val="32"/>
          <w:szCs w:val="32"/>
          <w:highlight w:val="none"/>
        </w:rPr>
        <w:t>第六章 服务考核</w:t>
      </w:r>
    </w:p>
    <w:p w14:paraId="484249E3">
      <w:pPr>
        <w:keepNext w:val="0"/>
        <w:keepLines w:val="0"/>
        <w:pageBreakBefore w:val="0"/>
        <w:kinsoku/>
        <w:wordWrap/>
        <w:overflowPunct/>
        <w:topLinePunct w:val="0"/>
        <w:autoSpaceDE/>
        <w:autoSpaceDN/>
        <w:bidi w:val="0"/>
        <w:adjustRightInd/>
        <w:spacing w:line="400" w:lineRule="exact"/>
        <w:ind w:left="0" w:leftChars="0" w:firstLine="643"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b/>
          <w:bCs/>
          <w:color w:val="auto"/>
          <w:sz w:val="32"/>
          <w:szCs w:val="32"/>
          <w:highlight w:val="none"/>
        </w:rPr>
        <w:t>第</w:t>
      </w:r>
      <w:r>
        <w:rPr>
          <w:rFonts w:hint="eastAsia" w:eastAsia="仿宋_GB2312" w:cs="Times New Roman"/>
          <w:b/>
          <w:bCs/>
          <w:color w:val="auto"/>
          <w:sz w:val="32"/>
          <w:szCs w:val="32"/>
          <w:highlight w:val="none"/>
          <w:lang w:val="en-US" w:eastAsia="zh-CN"/>
        </w:rPr>
        <w:t>十九</w:t>
      </w:r>
      <w:r>
        <w:rPr>
          <w:rFonts w:hint="default" w:ascii="Times New Roman" w:hAnsi="Times New Roman" w:eastAsia="仿宋_GB2312" w:cs="Times New Roman"/>
          <w:b/>
          <w:bCs/>
          <w:color w:val="auto"/>
          <w:sz w:val="32"/>
          <w:szCs w:val="32"/>
          <w:highlight w:val="none"/>
        </w:rPr>
        <w:t>条</w:t>
      </w:r>
      <w:r>
        <w:rPr>
          <w:rFonts w:hint="default" w:ascii="Times New Roman" w:hAnsi="Times New Roman" w:eastAsia="仿宋_GB2312" w:cs="Times New Roman"/>
          <w:color w:val="auto"/>
          <w:sz w:val="32"/>
          <w:szCs w:val="32"/>
          <w:highlight w:val="none"/>
        </w:rPr>
        <w:t xml:space="preserve"> 考核分类</w:t>
      </w:r>
    </w:p>
    <w:p w14:paraId="2AC73276">
      <w:pPr>
        <w:keepNext w:val="0"/>
        <w:keepLines w:val="0"/>
        <w:pageBreakBefore w:val="0"/>
        <w:kinsoku/>
        <w:wordWrap/>
        <w:overflowPunct/>
        <w:topLinePunct w:val="0"/>
        <w:autoSpaceDE/>
        <w:autoSpaceDN/>
        <w:bidi w:val="0"/>
        <w:adjustRightInd/>
        <w:spacing w:line="40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考核分为</w:t>
      </w:r>
      <w:r>
        <w:rPr>
          <w:rFonts w:hint="default" w:ascii="Times New Roman" w:hAnsi="Times New Roman" w:eastAsia="仿宋_GB2312" w:cs="Times New Roman"/>
          <w:color w:val="auto"/>
          <w:sz w:val="32"/>
          <w:szCs w:val="32"/>
          <w:highlight w:val="none"/>
          <w:lang w:eastAsia="zh-CN"/>
        </w:rPr>
        <w:t>清单编制质量考核、</w:t>
      </w:r>
      <w:r>
        <w:rPr>
          <w:rFonts w:hint="default" w:ascii="Times New Roman" w:hAnsi="Times New Roman" w:eastAsia="仿宋_GB2312" w:cs="Times New Roman"/>
          <w:color w:val="auto"/>
          <w:sz w:val="32"/>
          <w:szCs w:val="32"/>
          <w:highlight w:val="none"/>
        </w:rPr>
        <w:t>跟踪审计服务质量考核</w:t>
      </w:r>
      <w:r>
        <w:rPr>
          <w:rFonts w:hint="default" w:ascii="Times New Roman" w:hAnsi="Times New Roman" w:eastAsia="仿宋_GB2312" w:cs="Times New Roman"/>
          <w:color w:val="auto"/>
          <w:sz w:val="32"/>
          <w:szCs w:val="32"/>
          <w:highlight w:val="none"/>
          <w:lang w:eastAsia="zh-CN"/>
        </w:rPr>
        <w:t>和</w:t>
      </w:r>
      <w:r>
        <w:rPr>
          <w:rStyle w:val="155"/>
          <w:rFonts w:hint="default" w:ascii="Times New Roman" w:hAnsi="Times New Roman" w:eastAsia="仿宋_GB2312" w:cs="Times New Roman"/>
          <w:b w:val="0"/>
          <w:bCs w:val="0"/>
          <w:color w:val="auto"/>
          <w:sz w:val="32"/>
          <w:szCs w:val="32"/>
          <w:highlight w:val="none"/>
        </w:rPr>
        <w:t>结算审</w:t>
      </w:r>
      <w:r>
        <w:rPr>
          <w:rStyle w:val="155"/>
          <w:rFonts w:hint="default" w:ascii="Times New Roman" w:hAnsi="Times New Roman" w:cs="Times New Roman"/>
          <w:b w:val="0"/>
          <w:bCs w:val="0"/>
          <w:color w:val="auto"/>
          <w:sz w:val="32"/>
          <w:szCs w:val="32"/>
          <w:highlight w:val="none"/>
          <w:lang w:eastAsia="zh-CN"/>
        </w:rPr>
        <w:t>（复）</w:t>
      </w:r>
      <w:r>
        <w:rPr>
          <w:rStyle w:val="155"/>
          <w:rFonts w:hint="default" w:ascii="Times New Roman" w:hAnsi="Times New Roman" w:eastAsia="仿宋_GB2312" w:cs="Times New Roman"/>
          <w:b w:val="0"/>
          <w:bCs w:val="0"/>
          <w:color w:val="auto"/>
          <w:sz w:val="32"/>
          <w:szCs w:val="32"/>
          <w:highlight w:val="none"/>
        </w:rPr>
        <w:t>核</w:t>
      </w:r>
      <w:r>
        <w:rPr>
          <w:rStyle w:val="155"/>
          <w:rFonts w:hint="default" w:ascii="Times New Roman" w:hAnsi="Times New Roman" w:cs="Times New Roman"/>
          <w:b w:val="0"/>
          <w:bCs w:val="0"/>
          <w:color w:val="auto"/>
          <w:sz w:val="32"/>
          <w:szCs w:val="32"/>
          <w:highlight w:val="none"/>
          <w:lang w:eastAsia="zh-CN"/>
        </w:rPr>
        <w:t>成果质量</w:t>
      </w:r>
      <w:r>
        <w:rPr>
          <w:rStyle w:val="155"/>
          <w:rFonts w:hint="default" w:ascii="Times New Roman" w:hAnsi="Times New Roman" w:eastAsia="仿宋_GB2312" w:cs="Times New Roman"/>
          <w:b w:val="0"/>
          <w:bCs w:val="0"/>
          <w:color w:val="auto"/>
          <w:sz w:val="32"/>
          <w:szCs w:val="32"/>
          <w:highlight w:val="none"/>
        </w:rPr>
        <w:t>考核</w:t>
      </w:r>
      <w:r>
        <w:rPr>
          <w:rFonts w:hint="default" w:ascii="Times New Roman" w:hAnsi="Times New Roman" w:eastAsia="仿宋_GB2312" w:cs="Times New Roman"/>
          <w:color w:val="auto"/>
          <w:sz w:val="32"/>
          <w:szCs w:val="32"/>
          <w:highlight w:val="none"/>
        </w:rPr>
        <w:t>。</w:t>
      </w:r>
    </w:p>
    <w:p w14:paraId="04D66F80">
      <w:pPr>
        <w:keepNext w:val="0"/>
        <w:keepLines w:val="0"/>
        <w:pageBreakBefore w:val="0"/>
        <w:kinsoku/>
        <w:wordWrap/>
        <w:overflowPunct/>
        <w:topLinePunct w:val="0"/>
        <w:autoSpaceDE/>
        <w:autoSpaceDN/>
        <w:bidi w:val="0"/>
        <w:adjustRightInd/>
        <w:spacing w:line="400" w:lineRule="exact"/>
        <w:ind w:left="0" w:leftChars="0" w:firstLine="643" w:firstLineChars="200"/>
        <w:textAlignment w:val="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b/>
          <w:bCs/>
          <w:color w:val="auto"/>
          <w:sz w:val="32"/>
          <w:szCs w:val="32"/>
          <w:highlight w:val="none"/>
        </w:rPr>
        <w:t>第二十条</w:t>
      </w:r>
      <w:r>
        <w:rPr>
          <w:rFonts w:hint="default" w:ascii="Times New Roman" w:hAnsi="Times New Roman" w:eastAsia="仿宋_GB2312" w:cs="Times New Roman"/>
          <w:color w:val="auto"/>
          <w:sz w:val="32"/>
          <w:szCs w:val="32"/>
          <w:highlight w:val="none"/>
          <w:lang w:val="en-US" w:eastAsia="zh-CN"/>
        </w:rPr>
        <w:t xml:space="preserve"> </w:t>
      </w:r>
      <w:r>
        <w:rPr>
          <w:rFonts w:hint="default" w:ascii="Times New Roman" w:hAnsi="Times New Roman" w:eastAsia="仿宋_GB2312" w:cs="Times New Roman"/>
          <w:color w:val="auto"/>
          <w:sz w:val="32"/>
          <w:szCs w:val="32"/>
          <w:highlight w:val="none"/>
          <w:lang w:eastAsia="zh-CN"/>
        </w:rPr>
        <w:t>清单编制质量考核</w:t>
      </w:r>
      <w:r>
        <w:rPr>
          <w:rFonts w:hint="default" w:ascii="Times New Roman" w:hAnsi="Times New Roman" w:eastAsia="仿宋_GB2312" w:cs="Times New Roman"/>
          <w:color w:val="auto"/>
          <w:sz w:val="32"/>
          <w:szCs w:val="32"/>
          <w:highlight w:val="none"/>
        </w:rPr>
        <w:t>标准见《滁州市重点工程建设管理处工程量清单</w:t>
      </w:r>
      <w:r>
        <w:rPr>
          <w:rFonts w:hint="default" w:ascii="Times New Roman" w:hAnsi="Times New Roman" w:eastAsia="仿宋_GB2312" w:cs="Times New Roman"/>
          <w:color w:val="auto"/>
          <w:sz w:val="32"/>
          <w:szCs w:val="32"/>
          <w:highlight w:val="none"/>
          <w:lang w:eastAsia="zh-CN"/>
        </w:rPr>
        <w:t>及</w:t>
      </w:r>
      <w:r>
        <w:rPr>
          <w:rFonts w:hint="default" w:ascii="Times New Roman" w:hAnsi="Times New Roman" w:eastAsia="仿宋_GB2312" w:cs="Times New Roman"/>
          <w:color w:val="auto"/>
          <w:sz w:val="32"/>
          <w:szCs w:val="32"/>
          <w:highlight w:val="none"/>
        </w:rPr>
        <w:t>最高投标限价编制质量考核表》（附件</w:t>
      </w:r>
      <w:r>
        <w:rPr>
          <w:rFonts w:hint="default" w:ascii="Times New Roman" w:hAnsi="Times New Roman" w:eastAsia="仿宋_GB2312" w:cs="Times New Roman"/>
          <w:color w:val="auto"/>
          <w:sz w:val="32"/>
          <w:szCs w:val="32"/>
          <w:highlight w:val="none"/>
          <w:lang w:eastAsia="zh-CN"/>
        </w:rPr>
        <w:t>1</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z w:val="32"/>
          <w:szCs w:val="32"/>
          <w:highlight w:val="none"/>
        </w:rPr>
        <w:t>年度考核根据当年</w:t>
      </w:r>
      <w:r>
        <w:rPr>
          <w:rFonts w:hint="default" w:ascii="Times New Roman" w:hAnsi="Times New Roman" w:eastAsia="仿宋_GB2312" w:cs="Times New Roman"/>
          <w:color w:val="auto"/>
          <w:sz w:val="32"/>
          <w:szCs w:val="32"/>
          <w:highlight w:val="none"/>
          <w:lang w:eastAsia="zh-CN"/>
        </w:rPr>
        <w:t>完成结算的</w:t>
      </w:r>
      <w:r>
        <w:rPr>
          <w:rFonts w:hint="default" w:ascii="Times New Roman" w:hAnsi="Times New Roman" w:eastAsia="仿宋_GB2312" w:cs="Times New Roman"/>
          <w:color w:val="auto"/>
          <w:sz w:val="32"/>
          <w:szCs w:val="32"/>
          <w:highlight w:val="none"/>
        </w:rPr>
        <w:t>项目考核结果平均分作为年度综合评定分值，考核结果设“优”、“良”、“中”、“差”四个等级，满分为</w:t>
      </w:r>
      <w:r>
        <w:rPr>
          <w:rFonts w:hint="default" w:ascii="Times New Roman" w:hAnsi="Times New Roman" w:eastAsia="仿宋_GB2312" w:cs="Times New Roman"/>
          <w:color w:val="auto"/>
          <w:sz w:val="32"/>
          <w:szCs w:val="32"/>
          <w:highlight w:val="none"/>
          <w:lang w:eastAsia="zh-CN"/>
        </w:rPr>
        <w:t>100</w:t>
      </w:r>
      <w:r>
        <w:rPr>
          <w:rFonts w:hint="default" w:ascii="Times New Roman" w:hAnsi="Times New Roman" w:eastAsia="仿宋_GB2312" w:cs="Times New Roman"/>
          <w:color w:val="auto"/>
          <w:sz w:val="32"/>
          <w:szCs w:val="32"/>
          <w:highlight w:val="none"/>
        </w:rPr>
        <w:t>分，得分</w:t>
      </w:r>
      <w:r>
        <w:rPr>
          <w:rFonts w:hint="default" w:ascii="Times New Roman" w:hAnsi="Times New Roman" w:eastAsia="仿宋_GB2312" w:cs="Times New Roman"/>
          <w:color w:val="auto"/>
          <w:sz w:val="32"/>
          <w:szCs w:val="32"/>
          <w:highlight w:val="none"/>
          <w:lang w:eastAsia="zh-CN"/>
        </w:rPr>
        <w:t>9</w:t>
      </w:r>
      <w:r>
        <w:rPr>
          <w:rFonts w:hint="default" w:ascii="Times New Roman" w:hAnsi="Times New Roman" w:eastAsia="仿宋_GB2312" w:cs="Times New Roman"/>
          <w:color w:val="auto"/>
          <w:sz w:val="32"/>
          <w:szCs w:val="32"/>
          <w:highlight w:val="none"/>
          <w:lang w:val="en-US" w:eastAsia="zh-CN"/>
        </w:rPr>
        <w:t>5</w:t>
      </w:r>
      <w:r>
        <w:rPr>
          <w:rFonts w:hint="default" w:ascii="Times New Roman" w:hAnsi="Times New Roman" w:eastAsia="仿宋_GB2312" w:cs="Times New Roman"/>
          <w:color w:val="auto"/>
          <w:sz w:val="32"/>
          <w:szCs w:val="32"/>
          <w:highlight w:val="none"/>
        </w:rPr>
        <w:t>分及以上的年度考核评“优”，得分</w:t>
      </w:r>
      <w:r>
        <w:rPr>
          <w:rFonts w:hint="default" w:ascii="Times New Roman" w:hAnsi="Times New Roman" w:eastAsia="仿宋_GB2312" w:cs="Times New Roman"/>
          <w:color w:val="auto"/>
          <w:sz w:val="32"/>
          <w:szCs w:val="32"/>
          <w:highlight w:val="none"/>
          <w:lang w:eastAsia="zh-CN"/>
        </w:rPr>
        <w:t>8</w:t>
      </w:r>
      <w:r>
        <w:rPr>
          <w:rFonts w:hint="default" w:ascii="Times New Roman" w:hAnsi="Times New Roman" w:eastAsia="仿宋_GB2312" w:cs="Times New Roman"/>
          <w:color w:val="auto"/>
          <w:sz w:val="32"/>
          <w:szCs w:val="32"/>
          <w:highlight w:val="none"/>
          <w:lang w:val="en-US" w:eastAsia="zh-CN"/>
        </w:rPr>
        <w:t>5</w:t>
      </w:r>
      <w:r>
        <w:rPr>
          <w:rFonts w:hint="default" w:ascii="Times New Roman" w:hAnsi="Times New Roman" w:eastAsia="仿宋_GB2312" w:cs="Times New Roman"/>
          <w:color w:val="auto"/>
          <w:sz w:val="32"/>
          <w:szCs w:val="32"/>
          <w:highlight w:val="none"/>
        </w:rPr>
        <w:t>分（含）-</w:t>
      </w:r>
      <w:r>
        <w:rPr>
          <w:rFonts w:hint="default" w:ascii="Times New Roman" w:hAnsi="Times New Roman" w:eastAsia="仿宋_GB2312" w:cs="Times New Roman"/>
          <w:color w:val="auto"/>
          <w:sz w:val="32"/>
          <w:szCs w:val="32"/>
          <w:highlight w:val="none"/>
          <w:lang w:eastAsia="zh-CN"/>
        </w:rPr>
        <w:t>9</w:t>
      </w:r>
      <w:r>
        <w:rPr>
          <w:rFonts w:hint="default" w:ascii="Times New Roman" w:hAnsi="Times New Roman" w:eastAsia="仿宋_GB2312" w:cs="Times New Roman"/>
          <w:color w:val="auto"/>
          <w:sz w:val="32"/>
          <w:szCs w:val="32"/>
          <w:highlight w:val="none"/>
          <w:lang w:val="en-US" w:eastAsia="zh-CN"/>
        </w:rPr>
        <w:t>5</w:t>
      </w:r>
      <w:r>
        <w:rPr>
          <w:rFonts w:hint="default" w:ascii="Times New Roman" w:hAnsi="Times New Roman" w:eastAsia="仿宋_GB2312" w:cs="Times New Roman"/>
          <w:color w:val="auto"/>
          <w:sz w:val="32"/>
          <w:szCs w:val="32"/>
          <w:highlight w:val="none"/>
        </w:rPr>
        <w:t>分的评“良”，得分</w:t>
      </w:r>
      <w:r>
        <w:rPr>
          <w:rFonts w:hint="default" w:ascii="Times New Roman" w:hAnsi="Times New Roman" w:eastAsia="仿宋_GB2312" w:cs="Times New Roman"/>
          <w:color w:val="auto"/>
          <w:sz w:val="32"/>
          <w:szCs w:val="32"/>
          <w:highlight w:val="none"/>
          <w:lang w:val="en-US" w:eastAsia="zh-CN"/>
        </w:rPr>
        <w:t>7</w:t>
      </w:r>
      <w:r>
        <w:rPr>
          <w:rFonts w:hint="default" w:ascii="Times New Roman" w:hAnsi="Times New Roman" w:eastAsia="仿宋_GB2312" w:cs="Times New Roman"/>
          <w:color w:val="auto"/>
          <w:sz w:val="32"/>
          <w:szCs w:val="32"/>
          <w:highlight w:val="none"/>
          <w:lang w:eastAsia="zh-CN"/>
        </w:rPr>
        <w:t>0</w:t>
      </w:r>
      <w:r>
        <w:rPr>
          <w:rFonts w:hint="default" w:ascii="Times New Roman" w:hAnsi="Times New Roman" w:eastAsia="仿宋_GB2312" w:cs="Times New Roman"/>
          <w:color w:val="auto"/>
          <w:sz w:val="32"/>
          <w:szCs w:val="32"/>
          <w:highlight w:val="none"/>
        </w:rPr>
        <w:t>分（含）-</w:t>
      </w:r>
      <w:r>
        <w:rPr>
          <w:rFonts w:hint="default" w:ascii="Times New Roman" w:hAnsi="Times New Roman" w:eastAsia="仿宋_GB2312" w:cs="Times New Roman"/>
          <w:color w:val="auto"/>
          <w:sz w:val="32"/>
          <w:szCs w:val="32"/>
          <w:highlight w:val="none"/>
          <w:lang w:eastAsia="zh-CN"/>
        </w:rPr>
        <w:t>8</w:t>
      </w:r>
      <w:r>
        <w:rPr>
          <w:rFonts w:hint="default" w:ascii="Times New Roman" w:hAnsi="Times New Roman" w:eastAsia="仿宋_GB2312" w:cs="Times New Roman"/>
          <w:color w:val="auto"/>
          <w:sz w:val="32"/>
          <w:szCs w:val="32"/>
          <w:highlight w:val="none"/>
          <w:lang w:val="en-US" w:eastAsia="zh-CN"/>
        </w:rPr>
        <w:t>5</w:t>
      </w:r>
      <w:r>
        <w:rPr>
          <w:rFonts w:hint="default" w:ascii="Times New Roman" w:hAnsi="Times New Roman" w:eastAsia="仿宋_GB2312" w:cs="Times New Roman"/>
          <w:color w:val="auto"/>
          <w:sz w:val="32"/>
          <w:szCs w:val="32"/>
          <w:highlight w:val="none"/>
        </w:rPr>
        <w:t>分的评“中”，</w:t>
      </w:r>
      <w:r>
        <w:rPr>
          <w:rFonts w:hint="default" w:ascii="Times New Roman" w:hAnsi="Times New Roman" w:eastAsia="仿宋_GB2312" w:cs="Times New Roman"/>
          <w:color w:val="auto"/>
          <w:sz w:val="32"/>
          <w:szCs w:val="32"/>
          <w:highlight w:val="none"/>
          <w:lang w:val="en-US" w:eastAsia="zh-CN"/>
        </w:rPr>
        <w:t>7</w:t>
      </w:r>
      <w:r>
        <w:rPr>
          <w:rFonts w:hint="default" w:ascii="Times New Roman" w:hAnsi="Times New Roman" w:eastAsia="仿宋_GB2312" w:cs="Times New Roman"/>
          <w:color w:val="auto"/>
          <w:sz w:val="32"/>
          <w:szCs w:val="32"/>
          <w:highlight w:val="none"/>
          <w:lang w:eastAsia="zh-CN"/>
        </w:rPr>
        <w:t>0</w:t>
      </w:r>
      <w:r>
        <w:rPr>
          <w:rFonts w:hint="default" w:ascii="Times New Roman" w:hAnsi="Times New Roman" w:eastAsia="仿宋_GB2312" w:cs="Times New Roman"/>
          <w:color w:val="auto"/>
          <w:sz w:val="32"/>
          <w:szCs w:val="32"/>
          <w:highlight w:val="none"/>
        </w:rPr>
        <w:t>分以下的评“差”。年度考核评“优”的造价企业予以通报表扬；年度考核评“差”的造价企业予以通报批评。</w:t>
      </w:r>
    </w:p>
    <w:p w14:paraId="502BBEC0">
      <w:pPr>
        <w:keepNext w:val="0"/>
        <w:keepLines w:val="0"/>
        <w:pageBreakBefore w:val="0"/>
        <w:kinsoku/>
        <w:wordWrap/>
        <w:overflowPunct/>
        <w:topLinePunct w:val="0"/>
        <w:autoSpaceDE/>
        <w:autoSpaceDN/>
        <w:bidi w:val="0"/>
        <w:adjustRightInd/>
        <w:spacing w:line="400" w:lineRule="exact"/>
        <w:ind w:firstLine="643" w:firstLineChars="200"/>
        <w:textAlignment w:val="auto"/>
        <w:rPr>
          <w:rFonts w:hint="default" w:ascii="Times New Roman" w:hAnsi="Times New Roman" w:eastAsia="仿宋_GB2312" w:cs="Times New Roman"/>
          <w:b w:val="0"/>
          <w:bCs w:val="0"/>
          <w:color w:val="auto"/>
          <w:sz w:val="32"/>
          <w:szCs w:val="32"/>
          <w:highlight w:val="none"/>
        </w:rPr>
      </w:pPr>
      <w:r>
        <w:rPr>
          <w:rFonts w:hint="default" w:ascii="Times New Roman" w:hAnsi="Times New Roman" w:eastAsia="仿宋_GB2312" w:cs="Times New Roman"/>
          <w:b/>
          <w:bCs/>
          <w:color w:val="auto"/>
          <w:sz w:val="32"/>
          <w:szCs w:val="32"/>
          <w:highlight w:val="none"/>
          <w:lang w:val="en-US" w:eastAsia="zh-CN"/>
        </w:rPr>
        <w:t>第二十</w:t>
      </w:r>
      <w:r>
        <w:rPr>
          <w:rFonts w:hint="eastAsia" w:eastAsia="仿宋_GB2312" w:cs="Times New Roman"/>
          <w:b/>
          <w:bCs/>
          <w:color w:val="auto"/>
          <w:sz w:val="32"/>
          <w:szCs w:val="32"/>
          <w:highlight w:val="none"/>
          <w:lang w:val="en-US" w:eastAsia="zh-CN"/>
        </w:rPr>
        <w:t>一</w:t>
      </w:r>
      <w:r>
        <w:rPr>
          <w:rFonts w:hint="default" w:ascii="Times New Roman" w:hAnsi="Times New Roman" w:eastAsia="仿宋_GB2312" w:cs="Times New Roman"/>
          <w:b/>
          <w:bCs/>
          <w:color w:val="auto"/>
          <w:sz w:val="32"/>
          <w:szCs w:val="32"/>
          <w:highlight w:val="none"/>
          <w:lang w:val="en-US" w:eastAsia="zh-CN"/>
        </w:rPr>
        <w:t>条</w:t>
      </w:r>
      <w:r>
        <w:rPr>
          <w:rFonts w:hint="default" w:ascii="Times New Roman" w:hAnsi="Times New Roman" w:eastAsia="仿宋_GB2312" w:cs="Times New Roman"/>
          <w:color w:val="auto"/>
          <w:sz w:val="32"/>
          <w:szCs w:val="32"/>
          <w:highlight w:val="none"/>
          <w:lang w:val="en-US" w:eastAsia="zh-CN"/>
        </w:rPr>
        <w:t xml:space="preserve"> </w:t>
      </w:r>
      <w:r>
        <w:rPr>
          <w:rFonts w:hint="default" w:ascii="Times New Roman" w:hAnsi="Times New Roman" w:eastAsia="仿宋_GB2312" w:cs="Times New Roman"/>
          <w:color w:val="auto"/>
          <w:sz w:val="32"/>
          <w:szCs w:val="32"/>
          <w:highlight w:val="none"/>
        </w:rPr>
        <w:t>跟踪审计服务质量日常考核原则上每季度安排一次。考核以各造价企业单个审计项目为单位，对单个审计项目审计实施过程和完成情况进行综合考核，满分为</w:t>
      </w:r>
      <w:r>
        <w:rPr>
          <w:rFonts w:hint="default" w:ascii="Times New Roman" w:hAnsi="Times New Roman" w:eastAsia="仿宋_GB2312" w:cs="Times New Roman"/>
          <w:color w:val="auto"/>
          <w:sz w:val="32"/>
          <w:szCs w:val="32"/>
          <w:highlight w:val="none"/>
          <w:lang w:eastAsia="zh-CN"/>
        </w:rPr>
        <w:t>100</w:t>
      </w:r>
      <w:r>
        <w:rPr>
          <w:rFonts w:hint="default" w:ascii="Times New Roman" w:hAnsi="Times New Roman" w:eastAsia="仿宋_GB2312" w:cs="Times New Roman"/>
          <w:color w:val="auto"/>
          <w:sz w:val="32"/>
          <w:szCs w:val="32"/>
          <w:highlight w:val="none"/>
        </w:rPr>
        <w:t>分，考核标准见《滁州市重点工程建设管理处跟踪审计服务质量日常考核表》（附件</w:t>
      </w:r>
      <w:r>
        <w:rPr>
          <w:rFonts w:hint="default" w:ascii="Times New Roman" w:hAnsi="Times New Roman" w:eastAsia="仿宋_GB2312" w:cs="Times New Roman"/>
          <w:color w:val="auto"/>
          <w:sz w:val="32"/>
          <w:szCs w:val="32"/>
          <w:highlight w:val="none"/>
          <w:lang w:val="en-US" w:eastAsia="zh-CN"/>
        </w:rPr>
        <w:t>2</w:t>
      </w:r>
      <w:r>
        <w:rPr>
          <w:rFonts w:hint="default" w:ascii="Times New Roman" w:hAnsi="Times New Roman" w:eastAsia="仿宋_GB2312" w:cs="Times New Roman"/>
          <w:color w:val="auto"/>
          <w:sz w:val="32"/>
          <w:szCs w:val="32"/>
          <w:highlight w:val="none"/>
        </w:rPr>
        <w:t>）。考核结果设“优”、“良”、“中”、“差”四个等级，考核得分</w:t>
      </w:r>
      <w:r>
        <w:rPr>
          <w:rFonts w:hint="default" w:ascii="Times New Roman" w:hAnsi="Times New Roman" w:eastAsia="仿宋_GB2312" w:cs="Times New Roman"/>
          <w:color w:val="auto"/>
          <w:sz w:val="32"/>
          <w:szCs w:val="32"/>
          <w:highlight w:val="none"/>
          <w:lang w:eastAsia="zh-CN"/>
        </w:rPr>
        <w:t>9</w:t>
      </w:r>
      <w:r>
        <w:rPr>
          <w:rFonts w:hint="default" w:ascii="Times New Roman" w:hAnsi="Times New Roman" w:eastAsia="仿宋_GB2312" w:cs="Times New Roman"/>
          <w:color w:val="auto"/>
          <w:sz w:val="32"/>
          <w:szCs w:val="32"/>
          <w:highlight w:val="none"/>
          <w:lang w:val="en-US" w:eastAsia="zh-CN"/>
        </w:rPr>
        <w:t>5</w:t>
      </w:r>
      <w:r>
        <w:rPr>
          <w:rFonts w:hint="default" w:ascii="Times New Roman" w:hAnsi="Times New Roman" w:eastAsia="仿宋_GB2312" w:cs="Times New Roman"/>
          <w:color w:val="auto"/>
          <w:sz w:val="32"/>
          <w:szCs w:val="32"/>
          <w:highlight w:val="none"/>
        </w:rPr>
        <w:t>分及以上的项目评“优”，考核得分</w:t>
      </w:r>
      <w:r>
        <w:rPr>
          <w:rFonts w:hint="default" w:ascii="Times New Roman" w:hAnsi="Times New Roman" w:eastAsia="仿宋_GB2312" w:cs="Times New Roman"/>
          <w:color w:val="auto"/>
          <w:sz w:val="32"/>
          <w:szCs w:val="32"/>
          <w:highlight w:val="none"/>
          <w:lang w:eastAsia="zh-CN"/>
        </w:rPr>
        <w:t>8</w:t>
      </w:r>
      <w:r>
        <w:rPr>
          <w:rFonts w:hint="default" w:ascii="Times New Roman" w:hAnsi="Times New Roman" w:eastAsia="仿宋_GB2312" w:cs="Times New Roman"/>
          <w:color w:val="auto"/>
          <w:sz w:val="32"/>
          <w:szCs w:val="32"/>
          <w:highlight w:val="none"/>
          <w:lang w:val="en-US" w:eastAsia="zh-CN"/>
        </w:rPr>
        <w:t>5</w:t>
      </w:r>
      <w:r>
        <w:rPr>
          <w:rFonts w:hint="default" w:ascii="Times New Roman" w:hAnsi="Times New Roman" w:eastAsia="仿宋_GB2312" w:cs="Times New Roman"/>
          <w:color w:val="auto"/>
          <w:sz w:val="32"/>
          <w:szCs w:val="32"/>
          <w:highlight w:val="none"/>
        </w:rPr>
        <w:t>分（含）-</w:t>
      </w:r>
      <w:r>
        <w:rPr>
          <w:rFonts w:hint="default" w:ascii="Times New Roman" w:hAnsi="Times New Roman" w:eastAsia="仿宋_GB2312" w:cs="Times New Roman"/>
          <w:color w:val="auto"/>
          <w:sz w:val="32"/>
          <w:szCs w:val="32"/>
          <w:highlight w:val="none"/>
          <w:lang w:eastAsia="zh-CN"/>
        </w:rPr>
        <w:t>9</w:t>
      </w:r>
      <w:r>
        <w:rPr>
          <w:rFonts w:hint="default" w:ascii="Times New Roman" w:hAnsi="Times New Roman" w:eastAsia="仿宋_GB2312" w:cs="Times New Roman"/>
          <w:color w:val="auto"/>
          <w:sz w:val="32"/>
          <w:szCs w:val="32"/>
          <w:highlight w:val="none"/>
          <w:lang w:val="en-US" w:eastAsia="zh-CN"/>
        </w:rPr>
        <w:t>5</w:t>
      </w:r>
      <w:r>
        <w:rPr>
          <w:rFonts w:hint="default" w:ascii="Times New Roman" w:hAnsi="Times New Roman" w:eastAsia="仿宋_GB2312" w:cs="Times New Roman"/>
          <w:color w:val="auto"/>
          <w:sz w:val="32"/>
          <w:szCs w:val="32"/>
          <w:highlight w:val="none"/>
        </w:rPr>
        <w:t>分的项目评“良”，考核得分</w:t>
      </w:r>
      <w:r>
        <w:rPr>
          <w:rFonts w:hint="default" w:ascii="Times New Roman" w:hAnsi="Times New Roman" w:eastAsia="仿宋_GB2312" w:cs="Times New Roman"/>
          <w:color w:val="auto"/>
          <w:sz w:val="32"/>
          <w:szCs w:val="32"/>
          <w:highlight w:val="none"/>
          <w:lang w:eastAsia="zh-CN"/>
        </w:rPr>
        <w:t>70</w:t>
      </w:r>
      <w:r>
        <w:rPr>
          <w:rFonts w:hint="default" w:ascii="Times New Roman" w:hAnsi="Times New Roman" w:eastAsia="仿宋_GB2312" w:cs="Times New Roman"/>
          <w:color w:val="auto"/>
          <w:sz w:val="32"/>
          <w:szCs w:val="32"/>
          <w:highlight w:val="none"/>
        </w:rPr>
        <w:t>分（含）-</w:t>
      </w:r>
      <w:r>
        <w:rPr>
          <w:rFonts w:hint="default" w:ascii="Times New Roman" w:hAnsi="Times New Roman" w:eastAsia="仿宋_GB2312" w:cs="Times New Roman"/>
          <w:color w:val="auto"/>
          <w:sz w:val="32"/>
          <w:szCs w:val="32"/>
          <w:highlight w:val="none"/>
          <w:lang w:val="en-US" w:eastAsia="zh-CN"/>
        </w:rPr>
        <w:t>85</w:t>
      </w:r>
      <w:r>
        <w:rPr>
          <w:rFonts w:hint="default" w:ascii="Times New Roman" w:hAnsi="Times New Roman" w:eastAsia="仿宋_GB2312" w:cs="Times New Roman"/>
          <w:color w:val="auto"/>
          <w:sz w:val="32"/>
          <w:szCs w:val="32"/>
          <w:highlight w:val="none"/>
        </w:rPr>
        <w:t>分的项目评“中”，</w:t>
      </w:r>
      <w:r>
        <w:rPr>
          <w:rFonts w:hint="default" w:ascii="Times New Roman" w:hAnsi="Times New Roman" w:eastAsia="仿宋_GB2312" w:cs="Times New Roman"/>
          <w:color w:val="auto"/>
          <w:sz w:val="32"/>
          <w:szCs w:val="32"/>
          <w:highlight w:val="none"/>
          <w:lang w:eastAsia="zh-CN"/>
        </w:rPr>
        <w:t>70</w:t>
      </w:r>
      <w:r>
        <w:rPr>
          <w:rFonts w:hint="default" w:ascii="Times New Roman" w:hAnsi="Times New Roman" w:eastAsia="仿宋_GB2312" w:cs="Times New Roman"/>
          <w:color w:val="auto"/>
          <w:sz w:val="32"/>
          <w:szCs w:val="32"/>
          <w:highlight w:val="none"/>
        </w:rPr>
        <w:t>分以下的项目评“差”。对评“优” 项目的审计组予以通报表扬</w:t>
      </w:r>
      <w:r>
        <w:rPr>
          <w:rFonts w:hint="default" w:ascii="Times New Roman" w:hAnsi="Times New Roman" w:eastAsia="仿宋_GB2312" w:cs="Times New Roman"/>
          <w:b/>
          <w:bCs/>
          <w:color w:val="auto"/>
          <w:sz w:val="32"/>
          <w:szCs w:val="32"/>
          <w:highlight w:val="none"/>
        </w:rPr>
        <w:t>；</w:t>
      </w:r>
      <w:r>
        <w:rPr>
          <w:rFonts w:hint="default" w:ascii="Times New Roman" w:hAnsi="Times New Roman" w:eastAsia="仿宋_GB2312" w:cs="Times New Roman"/>
          <w:color w:val="auto"/>
          <w:sz w:val="32"/>
          <w:szCs w:val="32"/>
          <w:highlight w:val="none"/>
        </w:rPr>
        <w:t>对评“中”项目的审计组进行约谈；评“差”项目的审计组予以通报批评，进行约谈</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b w:val="0"/>
          <w:bCs w:val="0"/>
          <w:color w:val="auto"/>
          <w:sz w:val="32"/>
          <w:szCs w:val="32"/>
          <w:highlight w:val="none"/>
        </w:rPr>
        <w:t>处罚</w:t>
      </w:r>
      <w:r>
        <w:rPr>
          <w:rFonts w:hint="default" w:ascii="Times New Roman" w:hAnsi="Times New Roman" w:eastAsia="仿宋_GB2312" w:cs="Times New Roman"/>
          <w:b w:val="0"/>
          <w:bCs w:val="0"/>
          <w:color w:val="auto"/>
          <w:sz w:val="32"/>
          <w:szCs w:val="32"/>
          <w:highlight w:val="none"/>
          <w:lang w:val="en-US" w:eastAsia="zh-CN"/>
        </w:rPr>
        <w:t>4</w:t>
      </w:r>
      <w:r>
        <w:rPr>
          <w:rFonts w:hint="default" w:ascii="Times New Roman" w:hAnsi="Times New Roman" w:eastAsia="仿宋_GB2312" w:cs="Times New Roman"/>
          <w:b w:val="0"/>
          <w:bCs w:val="0"/>
          <w:color w:val="auto"/>
          <w:sz w:val="32"/>
          <w:szCs w:val="32"/>
          <w:highlight w:val="none"/>
          <w:lang w:eastAsia="zh-CN"/>
        </w:rPr>
        <w:t>000</w:t>
      </w:r>
      <w:r>
        <w:rPr>
          <w:rFonts w:hint="default" w:ascii="Times New Roman" w:hAnsi="Times New Roman" w:eastAsia="仿宋_GB2312" w:cs="Times New Roman"/>
          <w:b w:val="0"/>
          <w:bCs w:val="0"/>
          <w:color w:val="auto"/>
          <w:sz w:val="32"/>
          <w:szCs w:val="32"/>
          <w:highlight w:val="none"/>
        </w:rPr>
        <w:t>元</w:t>
      </w:r>
      <w:r>
        <w:rPr>
          <w:rFonts w:hint="default" w:ascii="Times New Roman" w:hAnsi="Times New Roman" w:eastAsia="仿宋_GB2312" w:cs="Times New Roman"/>
          <w:b w:val="0"/>
          <w:bCs w:val="0"/>
          <w:color w:val="auto"/>
          <w:sz w:val="32"/>
          <w:szCs w:val="32"/>
          <w:highlight w:val="none"/>
          <w:lang w:eastAsia="zh-CN"/>
        </w:rPr>
        <w:t>及</w:t>
      </w:r>
      <w:r>
        <w:rPr>
          <w:rFonts w:hint="default" w:ascii="Times New Roman" w:hAnsi="Times New Roman" w:eastAsia="仿宋_GB2312" w:cs="Times New Roman"/>
          <w:b w:val="0"/>
          <w:bCs w:val="0"/>
          <w:color w:val="auto"/>
          <w:sz w:val="32"/>
          <w:szCs w:val="32"/>
          <w:highlight w:val="none"/>
          <w:lang w:val="en-US" w:eastAsia="zh-CN"/>
        </w:rPr>
        <w:t>暂停业务3</w:t>
      </w:r>
      <w:r>
        <w:rPr>
          <w:rFonts w:hint="default" w:ascii="Times New Roman" w:hAnsi="Times New Roman" w:eastAsia="仿宋_GB2312" w:cs="Times New Roman"/>
          <w:b w:val="0"/>
          <w:bCs w:val="0"/>
          <w:color w:val="auto"/>
          <w:sz w:val="32"/>
          <w:szCs w:val="32"/>
          <w:highlight w:val="none"/>
        </w:rPr>
        <w:t>个月，</w:t>
      </w:r>
      <w:r>
        <w:rPr>
          <w:rFonts w:hint="default" w:ascii="Times New Roman" w:hAnsi="Times New Roman" w:eastAsia="仿宋_GB2312" w:cs="Times New Roman"/>
          <w:b w:val="0"/>
          <w:bCs w:val="0"/>
          <w:color w:val="auto"/>
          <w:sz w:val="32"/>
          <w:szCs w:val="32"/>
          <w:highlight w:val="none"/>
          <w:lang w:val="en-US" w:eastAsia="zh-CN"/>
        </w:rPr>
        <w:t>连续两个</w:t>
      </w:r>
      <w:r>
        <w:rPr>
          <w:rFonts w:hint="default" w:ascii="Times New Roman" w:hAnsi="Times New Roman" w:eastAsia="仿宋_GB2312" w:cs="Times New Roman"/>
          <w:b w:val="0"/>
          <w:bCs w:val="0"/>
          <w:color w:val="auto"/>
          <w:sz w:val="32"/>
          <w:szCs w:val="32"/>
          <w:highlight w:val="none"/>
          <w:lang w:eastAsia="zh-CN"/>
        </w:rPr>
        <w:t>季度评</w:t>
      </w:r>
      <w:r>
        <w:rPr>
          <w:rFonts w:hint="default" w:ascii="Times New Roman" w:hAnsi="Times New Roman" w:eastAsia="仿宋_GB2312" w:cs="Times New Roman"/>
          <w:b w:val="0"/>
          <w:bCs w:val="0"/>
          <w:color w:val="auto"/>
          <w:sz w:val="32"/>
          <w:szCs w:val="32"/>
          <w:highlight w:val="none"/>
        </w:rPr>
        <w:t>“差”</w:t>
      </w:r>
      <w:r>
        <w:rPr>
          <w:rFonts w:hint="default" w:ascii="Times New Roman" w:hAnsi="Times New Roman" w:eastAsia="仿宋_GB2312" w:cs="Times New Roman"/>
          <w:b w:val="0"/>
          <w:bCs w:val="0"/>
          <w:color w:val="auto"/>
          <w:sz w:val="32"/>
          <w:szCs w:val="32"/>
          <w:highlight w:val="none"/>
          <w:lang w:eastAsia="zh-CN"/>
        </w:rPr>
        <w:t>的，</w:t>
      </w:r>
      <w:r>
        <w:rPr>
          <w:rFonts w:hint="default" w:ascii="Times New Roman" w:hAnsi="Times New Roman" w:eastAsia="仿宋_GB2312" w:cs="Times New Roman"/>
          <w:b w:val="0"/>
          <w:bCs w:val="0"/>
          <w:color w:val="auto"/>
          <w:sz w:val="32"/>
          <w:szCs w:val="32"/>
          <w:highlight w:val="none"/>
          <w:lang w:val="en-US" w:eastAsia="zh-CN"/>
        </w:rPr>
        <w:t>暂停业务12</w:t>
      </w:r>
      <w:r>
        <w:rPr>
          <w:rFonts w:hint="default" w:ascii="Times New Roman" w:hAnsi="Times New Roman" w:eastAsia="仿宋_GB2312" w:cs="Times New Roman"/>
          <w:b w:val="0"/>
          <w:bCs w:val="0"/>
          <w:color w:val="auto"/>
          <w:sz w:val="32"/>
          <w:szCs w:val="32"/>
          <w:highlight w:val="none"/>
        </w:rPr>
        <w:t>个月。</w:t>
      </w:r>
    </w:p>
    <w:p w14:paraId="4F79B0D2">
      <w:pPr>
        <w:keepNext w:val="0"/>
        <w:keepLines w:val="0"/>
        <w:pageBreakBefore w:val="0"/>
        <w:kinsoku/>
        <w:wordWrap/>
        <w:overflowPunct/>
        <w:topLinePunct w:val="0"/>
        <w:autoSpaceDE/>
        <w:autoSpaceDN/>
        <w:bidi w:val="0"/>
        <w:adjustRightInd/>
        <w:spacing w:line="40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b w:val="0"/>
          <w:bCs w:val="0"/>
          <w:color w:val="auto"/>
          <w:sz w:val="32"/>
          <w:szCs w:val="32"/>
          <w:highlight w:val="none"/>
        </w:rPr>
        <w:t>年度考核以当年所有项目日常考核结果</w:t>
      </w:r>
      <w:r>
        <w:rPr>
          <w:rFonts w:hint="default" w:ascii="Times New Roman" w:hAnsi="Times New Roman" w:eastAsia="仿宋_GB2312" w:cs="Times New Roman"/>
          <w:b w:val="0"/>
          <w:bCs w:val="0"/>
          <w:color w:val="auto"/>
          <w:sz w:val="32"/>
          <w:szCs w:val="32"/>
          <w:highlight w:val="none"/>
          <w:lang w:eastAsia="zh-CN"/>
        </w:rPr>
        <w:t>（本年度至少参评两次及以上）</w:t>
      </w:r>
      <w:r>
        <w:rPr>
          <w:rFonts w:hint="default" w:ascii="Times New Roman" w:hAnsi="Times New Roman" w:eastAsia="仿宋_GB2312" w:cs="Times New Roman"/>
          <w:b w:val="0"/>
          <w:bCs w:val="0"/>
          <w:color w:val="auto"/>
          <w:sz w:val="32"/>
          <w:szCs w:val="32"/>
          <w:highlight w:val="none"/>
        </w:rPr>
        <w:t>平均分作为年度综合评定分值，考核结果分设“优”、“良”、“中”、“差”四个等级。考核得</w:t>
      </w:r>
      <w:r>
        <w:rPr>
          <w:rFonts w:hint="default" w:ascii="Times New Roman" w:hAnsi="Times New Roman" w:eastAsia="仿宋_GB2312" w:cs="Times New Roman"/>
          <w:color w:val="auto"/>
          <w:sz w:val="32"/>
          <w:szCs w:val="32"/>
          <w:highlight w:val="none"/>
        </w:rPr>
        <w:t>分</w:t>
      </w:r>
      <w:r>
        <w:rPr>
          <w:rFonts w:hint="default" w:ascii="Times New Roman" w:hAnsi="Times New Roman" w:eastAsia="仿宋_GB2312" w:cs="Times New Roman"/>
          <w:color w:val="auto"/>
          <w:sz w:val="32"/>
          <w:szCs w:val="32"/>
          <w:highlight w:val="none"/>
          <w:lang w:eastAsia="zh-CN"/>
        </w:rPr>
        <w:t>9</w:t>
      </w:r>
      <w:r>
        <w:rPr>
          <w:rFonts w:hint="default" w:ascii="Times New Roman" w:hAnsi="Times New Roman" w:eastAsia="仿宋_GB2312" w:cs="Times New Roman"/>
          <w:color w:val="auto"/>
          <w:sz w:val="32"/>
          <w:szCs w:val="32"/>
          <w:highlight w:val="none"/>
          <w:lang w:val="en-US" w:eastAsia="zh-CN"/>
        </w:rPr>
        <w:t>5</w:t>
      </w:r>
      <w:r>
        <w:rPr>
          <w:rFonts w:hint="default" w:ascii="Times New Roman" w:hAnsi="Times New Roman" w:eastAsia="仿宋_GB2312" w:cs="Times New Roman"/>
          <w:color w:val="auto"/>
          <w:sz w:val="32"/>
          <w:szCs w:val="32"/>
          <w:highlight w:val="none"/>
        </w:rPr>
        <w:t>分及以上的造价企业评“优”，考核得分</w:t>
      </w:r>
      <w:r>
        <w:rPr>
          <w:rFonts w:hint="default" w:ascii="Times New Roman" w:hAnsi="Times New Roman" w:eastAsia="仿宋_GB2312" w:cs="Times New Roman"/>
          <w:color w:val="auto"/>
          <w:sz w:val="32"/>
          <w:szCs w:val="32"/>
          <w:highlight w:val="none"/>
          <w:lang w:eastAsia="zh-CN"/>
        </w:rPr>
        <w:t>8</w:t>
      </w:r>
      <w:r>
        <w:rPr>
          <w:rFonts w:hint="default" w:ascii="Times New Roman" w:hAnsi="Times New Roman" w:eastAsia="仿宋_GB2312" w:cs="Times New Roman"/>
          <w:color w:val="auto"/>
          <w:sz w:val="32"/>
          <w:szCs w:val="32"/>
          <w:highlight w:val="none"/>
          <w:lang w:val="en-US" w:eastAsia="zh-CN"/>
        </w:rPr>
        <w:t>5</w:t>
      </w:r>
      <w:r>
        <w:rPr>
          <w:rFonts w:hint="default" w:ascii="Times New Roman" w:hAnsi="Times New Roman" w:eastAsia="仿宋_GB2312" w:cs="Times New Roman"/>
          <w:color w:val="auto"/>
          <w:sz w:val="32"/>
          <w:szCs w:val="32"/>
          <w:highlight w:val="none"/>
        </w:rPr>
        <w:t>分（含）-</w:t>
      </w:r>
      <w:r>
        <w:rPr>
          <w:rFonts w:hint="default" w:ascii="Times New Roman" w:hAnsi="Times New Roman" w:eastAsia="仿宋_GB2312" w:cs="Times New Roman"/>
          <w:color w:val="auto"/>
          <w:sz w:val="32"/>
          <w:szCs w:val="32"/>
          <w:highlight w:val="none"/>
          <w:lang w:eastAsia="zh-CN"/>
        </w:rPr>
        <w:t>9</w:t>
      </w:r>
      <w:r>
        <w:rPr>
          <w:rFonts w:hint="default" w:ascii="Times New Roman" w:hAnsi="Times New Roman" w:eastAsia="仿宋_GB2312" w:cs="Times New Roman"/>
          <w:color w:val="auto"/>
          <w:sz w:val="32"/>
          <w:szCs w:val="32"/>
          <w:highlight w:val="none"/>
          <w:lang w:val="en-US" w:eastAsia="zh-CN"/>
        </w:rPr>
        <w:t>5</w:t>
      </w:r>
      <w:r>
        <w:rPr>
          <w:rFonts w:hint="default" w:ascii="Times New Roman" w:hAnsi="Times New Roman" w:eastAsia="仿宋_GB2312" w:cs="Times New Roman"/>
          <w:color w:val="auto"/>
          <w:sz w:val="32"/>
          <w:szCs w:val="32"/>
          <w:highlight w:val="none"/>
        </w:rPr>
        <w:t>分的造价企业评“良”，考核得分</w:t>
      </w:r>
      <w:r>
        <w:rPr>
          <w:rFonts w:hint="default" w:ascii="Times New Roman" w:hAnsi="Times New Roman" w:eastAsia="仿宋_GB2312" w:cs="Times New Roman"/>
          <w:color w:val="auto"/>
          <w:sz w:val="32"/>
          <w:szCs w:val="32"/>
          <w:highlight w:val="none"/>
          <w:lang w:eastAsia="zh-CN"/>
        </w:rPr>
        <w:t>70</w:t>
      </w:r>
      <w:r>
        <w:rPr>
          <w:rFonts w:hint="default" w:ascii="Times New Roman" w:hAnsi="Times New Roman" w:eastAsia="仿宋_GB2312" w:cs="Times New Roman"/>
          <w:color w:val="auto"/>
          <w:sz w:val="32"/>
          <w:szCs w:val="32"/>
          <w:highlight w:val="none"/>
        </w:rPr>
        <w:t>分（含）-</w:t>
      </w:r>
      <w:r>
        <w:rPr>
          <w:rFonts w:hint="default" w:ascii="Times New Roman" w:hAnsi="Times New Roman" w:eastAsia="仿宋_GB2312" w:cs="Times New Roman"/>
          <w:color w:val="auto"/>
          <w:sz w:val="32"/>
          <w:szCs w:val="32"/>
          <w:highlight w:val="none"/>
          <w:lang w:eastAsia="zh-CN"/>
        </w:rPr>
        <w:t>8</w:t>
      </w:r>
      <w:r>
        <w:rPr>
          <w:rFonts w:hint="default" w:ascii="Times New Roman" w:hAnsi="Times New Roman" w:eastAsia="仿宋_GB2312" w:cs="Times New Roman"/>
          <w:color w:val="auto"/>
          <w:sz w:val="32"/>
          <w:szCs w:val="32"/>
          <w:highlight w:val="none"/>
          <w:lang w:val="en-US" w:eastAsia="zh-CN"/>
        </w:rPr>
        <w:t>5</w:t>
      </w:r>
      <w:r>
        <w:rPr>
          <w:rFonts w:hint="default" w:ascii="Times New Roman" w:hAnsi="Times New Roman" w:eastAsia="仿宋_GB2312" w:cs="Times New Roman"/>
          <w:color w:val="auto"/>
          <w:sz w:val="32"/>
          <w:szCs w:val="32"/>
          <w:highlight w:val="none"/>
        </w:rPr>
        <w:t>分的造价企业评“中”，</w:t>
      </w:r>
      <w:r>
        <w:rPr>
          <w:rFonts w:hint="default" w:ascii="Times New Roman" w:hAnsi="Times New Roman" w:eastAsia="仿宋_GB2312" w:cs="Times New Roman"/>
          <w:color w:val="auto"/>
          <w:sz w:val="32"/>
          <w:szCs w:val="32"/>
          <w:highlight w:val="none"/>
          <w:lang w:eastAsia="zh-CN"/>
        </w:rPr>
        <w:t>70</w:t>
      </w:r>
      <w:r>
        <w:rPr>
          <w:rFonts w:hint="default" w:ascii="Times New Roman" w:hAnsi="Times New Roman" w:eastAsia="仿宋_GB2312" w:cs="Times New Roman"/>
          <w:color w:val="auto"/>
          <w:sz w:val="32"/>
          <w:szCs w:val="32"/>
          <w:highlight w:val="none"/>
        </w:rPr>
        <w:t>分以下的造价企业评“差”。年度考核评“优”的造价企业予以通报表扬；年度考核评“差”的造价企业予以通报批评且</w:t>
      </w:r>
      <w:r>
        <w:rPr>
          <w:rFonts w:hint="default" w:ascii="Times New Roman" w:hAnsi="Times New Roman" w:eastAsia="仿宋_GB2312" w:cs="Times New Roman"/>
          <w:color w:val="auto"/>
          <w:sz w:val="32"/>
          <w:szCs w:val="32"/>
          <w:highlight w:val="none"/>
          <w:lang w:val="en-US" w:eastAsia="zh-CN"/>
        </w:rPr>
        <w:t>暂停业务</w:t>
      </w:r>
      <w:r>
        <w:rPr>
          <w:rFonts w:hint="default" w:ascii="Times New Roman" w:hAnsi="Times New Roman" w:eastAsia="仿宋_GB2312" w:cs="Times New Roman"/>
          <w:color w:val="auto"/>
          <w:sz w:val="32"/>
          <w:szCs w:val="32"/>
          <w:highlight w:val="none"/>
          <w:lang w:eastAsia="zh-CN"/>
        </w:rPr>
        <w:t>12</w:t>
      </w:r>
      <w:r>
        <w:rPr>
          <w:rFonts w:hint="default" w:ascii="Times New Roman" w:hAnsi="Times New Roman" w:eastAsia="仿宋_GB2312" w:cs="Times New Roman"/>
          <w:color w:val="auto"/>
          <w:sz w:val="32"/>
          <w:szCs w:val="32"/>
          <w:highlight w:val="none"/>
        </w:rPr>
        <w:t>个月。</w:t>
      </w:r>
    </w:p>
    <w:p w14:paraId="00D73B94">
      <w:pPr>
        <w:keepNext w:val="0"/>
        <w:keepLines w:val="0"/>
        <w:pageBreakBefore w:val="0"/>
        <w:kinsoku/>
        <w:wordWrap/>
        <w:overflowPunct/>
        <w:topLinePunct w:val="0"/>
        <w:autoSpaceDE/>
        <w:autoSpaceDN/>
        <w:bidi w:val="0"/>
        <w:adjustRightInd/>
        <w:spacing w:line="400" w:lineRule="exact"/>
        <w:ind w:left="0" w:leftChars="0" w:firstLine="643" w:firstLineChars="200"/>
        <w:jc w:val="left"/>
        <w:textAlignment w:val="auto"/>
        <w:rPr>
          <w:rFonts w:hint="default" w:ascii="Times New Roman" w:hAnsi="Times New Roman" w:eastAsia="黑体" w:cs="Times New Roman"/>
          <w:color w:val="auto"/>
          <w:sz w:val="32"/>
          <w:szCs w:val="32"/>
          <w:highlight w:val="none"/>
        </w:rPr>
      </w:pPr>
      <w:r>
        <w:rPr>
          <w:rFonts w:hint="default" w:ascii="Times New Roman" w:hAnsi="Times New Roman" w:eastAsia="仿宋_GB2312" w:cs="Times New Roman"/>
          <w:b/>
          <w:bCs/>
          <w:color w:val="auto"/>
          <w:sz w:val="32"/>
          <w:szCs w:val="32"/>
          <w:highlight w:val="none"/>
          <w:lang w:eastAsia="zh-CN"/>
        </w:rPr>
        <w:t>第二十</w:t>
      </w:r>
      <w:r>
        <w:rPr>
          <w:rFonts w:hint="eastAsia" w:eastAsia="仿宋_GB2312" w:cs="Times New Roman"/>
          <w:b/>
          <w:bCs/>
          <w:color w:val="auto"/>
          <w:sz w:val="32"/>
          <w:szCs w:val="32"/>
          <w:highlight w:val="none"/>
          <w:lang w:val="en-US" w:eastAsia="zh-CN"/>
        </w:rPr>
        <w:t>二</w:t>
      </w:r>
      <w:r>
        <w:rPr>
          <w:rFonts w:hint="default" w:ascii="Times New Roman" w:hAnsi="Times New Roman" w:eastAsia="仿宋_GB2312" w:cs="Times New Roman"/>
          <w:b/>
          <w:bCs/>
          <w:color w:val="auto"/>
          <w:sz w:val="32"/>
          <w:szCs w:val="32"/>
          <w:highlight w:val="none"/>
          <w:lang w:eastAsia="zh-CN"/>
        </w:rPr>
        <w:t>条</w:t>
      </w:r>
      <w:r>
        <w:rPr>
          <w:rFonts w:hint="default" w:ascii="Times New Roman" w:hAnsi="Times New Roman" w:eastAsia="仿宋_GB2312" w:cs="Times New Roman"/>
          <w:color w:val="auto"/>
          <w:sz w:val="32"/>
          <w:szCs w:val="32"/>
          <w:highlight w:val="none"/>
          <w:lang w:val="en-US" w:eastAsia="zh-CN"/>
        </w:rPr>
        <w:t xml:space="preserve"> </w:t>
      </w:r>
      <w:r>
        <w:rPr>
          <w:rStyle w:val="155"/>
          <w:rFonts w:hint="default" w:ascii="Times New Roman" w:hAnsi="Times New Roman" w:eastAsia="仿宋_GB2312" w:cs="Times New Roman"/>
          <w:b w:val="0"/>
          <w:color w:val="auto"/>
          <w:sz w:val="32"/>
          <w:szCs w:val="32"/>
          <w:highlight w:val="none"/>
        </w:rPr>
        <w:t>结算审</w:t>
      </w:r>
      <w:r>
        <w:rPr>
          <w:rStyle w:val="155"/>
          <w:rFonts w:hint="default" w:ascii="Times New Roman" w:hAnsi="Times New Roman" w:cs="Times New Roman"/>
          <w:b w:val="0"/>
          <w:color w:val="auto"/>
          <w:sz w:val="32"/>
          <w:szCs w:val="32"/>
          <w:highlight w:val="none"/>
          <w:lang w:eastAsia="zh-CN"/>
        </w:rPr>
        <w:t>（复）</w:t>
      </w:r>
      <w:r>
        <w:rPr>
          <w:rStyle w:val="155"/>
          <w:rFonts w:hint="default" w:ascii="Times New Roman" w:hAnsi="Times New Roman" w:eastAsia="仿宋_GB2312" w:cs="Times New Roman"/>
          <w:b w:val="0"/>
          <w:color w:val="auto"/>
          <w:sz w:val="32"/>
          <w:szCs w:val="32"/>
          <w:highlight w:val="none"/>
        </w:rPr>
        <w:t>核</w:t>
      </w:r>
      <w:r>
        <w:rPr>
          <w:rStyle w:val="155"/>
          <w:rFonts w:hint="default" w:ascii="Times New Roman" w:hAnsi="Times New Roman" w:cs="Times New Roman"/>
          <w:b w:val="0"/>
          <w:color w:val="auto"/>
          <w:sz w:val="32"/>
          <w:szCs w:val="32"/>
          <w:highlight w:val="none"/>
          <w:lang w:eastAsia="zh-CN"/>
        </w:rPr>
        <w:t>成果质量</w:t>
      </w:r>
      <w:r>
        <w:rPr>
          <w:rStyle w:val="155"/>
          <w:rFonts w:hint="default" w:ascii="Times New Roman" w:hAnsi="Times New Roman" w:eastAsia="仿宋_GB2312" w:cs="Times New Roman"/>
          <w:b w:val="0"/>
          <w:color w:val="auto"/>
          <w:sz w:val="32"/>
          <w:szCs w:val="32"/>
          <w:highlight w:val="none"/>
        </w:rPr>
        <w:t>考核</w:t>
      </w:r>
      <w:r>
        <w:rPr>
          <w:rFonts w:hint="default" w:ascii="Times New Roman" w:hAnsi="Times New Roman" w:eastAsia="仿宋_GB2312" w:cs="Times New Roman"/>
          <w:color w:val="auto"/>
          <w:sz w:val="32"/>
          <w:szCs w:val="32"/>
          <w:highlight w:val="none"/>
        </w:rPr>
        <w:t>标准见《滁州市重点工程建设管理处</w:t>
      </w:r>
      <w:r>
        <w:rPr>
          <w:rStyle w:val="155"/>
          <w:rFonts w:hint="default" w:ascii="Times New Roman" w:hAnsi="Times New Roman" w:eastAsia="仿宋_GB2312" w:cs="Times New Roman"/>
          <w:b w:val="0"/>
          <w:color w:val="auto"/>
          <w:sz w:val="32"/>
          <w:szCs w:val="32"/>
          <w:highlight w:val="none"/>
        </w:rPr>
        <w:t>项目结算审</w:t>
      </w:r>
      <w:r>
        <w:rPr>
          <w:rStyle w:val="155"/>
          <w:rFonts w:hint="default" w:ascii="Times New Roman" w:hAnsi="Times New Roman" w:cs="Times New Roman"/>
          <w:b w:val="0"/>
          <w:color w:val="auto"/>
          <w:sz w:val="32"/>
          <w:szCs w:val="32"/>
          <w:highlight w:val="none"/>
          <w:lang w:eastAsia="zh-CN"/>
        </w:rPr>
        <w:t>（复）</w:t>
      </w:r>
      <w:r>
        <w:rPr>
          <w:rStyle w:val="155"/>
          <w:rFonts w:hint="default" w:ascii="Times New Roman" w:hAnsi="Times New Roman" w:eastAsia="仿宋_GB2312" w:cs="Times New Roman"/>
          <w:b w:val="0"/>
          <w:color w:val="auto"/>
          <w:sz w:val="32"/>
          <w:szCs w:val="32"/>
          <w:highlight w:val="none"/>
        </w:rPr>
        <w:t>核</w:t>
      </w:r>
      <w:r>
        <w:rPr>
          <w:rStyle w:val="155"/>
          <w:rFonts w:hint="default" w:ascii="Times New Roman" w:hAnsi="Times New Roman" w:cs="Times New Roman"/>
          <w:b w:val="0"/>
          <w:color w:val="auto"/>
          <w:sz w:val="32"/>
          <w:szCs w:val="32"/>
          <w:highlight w:val="none"/>
          <w:lang w:eastAsia="zh-CN"/>
        </w:rPr>
        <w:t>成果质量</w:t>
      </w:r>
      <w:r>
        <w:rPr>
          <w:rStyle w:val="155"/>
          <w:rFonts w:hint="default" w:ascii="Times New Roman" w:hAnsi="Times New Roman" w:eastAsia="仿宋_GB2312" w:cs="Times New Roman"/>
          <w:b w:val="0"/>
          <w:color w:val="auto"/>
          <w:sz w:val="32"/>
          <w:szCs w:val="32"/>
          <w:highlight w:val="none"/>
        </w:rPr>
        <w:t>考核表</w:t>
      </w:r>
      <w:r>
        <w:rPr>
          <w:rFonts w:hint="default" w:ascii="Times New Roman" w:hAnsi="Times New Roman" w:eastAsia="仿宋_GB2312" w:cs="Times New Roman"/>
          <w:color w:val="auto"/>
          <w:sz w:val="32"/>
          <w:szCs w:val="32"/>
          <w:highlight w:val="none"/>
        </w:rPr>
        <w:t>》（附件</w:t>
      </w:r>
      <w:r>
        <w:rPr>
          <w:rFonts w:hint="default" w:ascii="Times New Roman" w:hAnsi="Times New Roman" w:eastAsia="仿宋_GB2312" w:cs="Times New Roman"/>
          <w:color w:val="auto"/>
          <w:sz w:val="32"/>
          <w:szCs w:val="32"/>
          <w:highlight w:val="none"/>
          <w:lang w:val="en-US" w:eastAsia="zh-CN"/>
        </w:rPr>
        <w:t>3</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z w:val="32"/>
          <w:szCs w:val="32"/>
          <w:highlight w:val="none"/>
        </w:rPr>
        <w:t>年度考核根据当年</w:t>
      </w:r>
      <w:r>
        <w:rPr>
          <w:rFonts w:hint="default" w:ascii="Times New Roman" w:hAnsi="Times New Roman" w:eastAsia="仿宋_GB2312" w:cs="Times New Roman"/>
          <w:color w:val="auto"/>
          <w:sz w:val="32"/>
          <w:szCs w:val="32"/>
          <w:highlight w:val="none"/>
          <w:lang w:eastAsia="zh-CN"/>
        </w:rPr>
        <w:t>完成结算的</w:t>
      </w:r>
      <w:r>
        <w:rPr>
          <w:rFonts w:hint="default" w:ascii="Times New Roman" w:hAnsi="Times New Roman" w:eastAsia="仿宋_GB2312" w:cs="Times New Roman"/>
          <w:color w:val="auto"/>
          <w:sz w:val="32"/>
          <w:szCs w:val="32"/>
          <w:highlight w:val="none"/>
        </w:rPr>
        <w:t>项目考核结果平均分作为年度综合评定分值，考核结果设“优”、“良”、“中”、“差”四个等级，得分</w:t>
      </w:r>
      <w:r>
        <w:rPr>
          <w:rFonts w:hint="default" w:ascii="Times New Roman" w:hAnsi="Times New Roman" w:eastAsia="仿宋_GB2312" w:cs="Times New Roman"/>
          <w:color w:val="auto"/>
          <w:sz w:val="32"/>
          <w:szCs w:val="32"/>
          <w:highlight w:val="none"/>
          <w:lang w:eastAsia="zh-CN"/>
        </w:rPr>
        <w:t>9</w:t>
      </w:r>
      <w:r>
        <w:rPr>
          <w:rFonts w:hint="default" w:ascii="Times New Roman" w:hAnsi="Times New Roman" w:eastAsia="仿宋_GB2312" w:cs="Times New Roman"/>
          <w:color w:val="auto"/>
          <w:sz w:val="32"/>
          <w:szCs w:val="32"/>
          <w:highlight w:val="none"/>
          <w:lang w:val="en-US" w:eastAsia="zh-CN"/>
        </w:rPr>
        <w:t>5</w:t>
      </w:r>
      <w:r>
        <w:rPr>
          <w:rFonts w:hint="default" w:ascii="Times New Roman" w:hAnsi="Times New Roman" w:eastAsia="仿宋_GB2312" w:cs="Times New Roman"/>
          <w:color w:val="auto"/>
          <w:sz w:val="32"/>
          <w:szCs w:val="32"/>
          <w:highlight w:val="none"/>
        </w:rPr>
        <w:t>分及以上的年度考核评“优”，得分</w:t>
      </w:r>
      <w:r>
        <w:rPr>
          <w:rFonts w:hint="default" w:ascii="Times New Roman" w:hAnsi="Times New Roman" w:eastAsia="仿宋_GB2312" w:cs="Times New Roman"/>
          <w:color w:val="auto"/>
          <w:sz w:val="32"/>
          <w:szCs w:val="32"/>
          <w:highlight w:val="none"/>
          <w:lang w:eastAsia="zh-CN"/>
        </w:rPr>
        <w:t>8</w:t>
      </w:r>
      <w:r>
        <w:rPr>
          <w:rFonts w:hint="default" w:ascii="Times New Roman" w:hAnsi="Times New Roman" w:eastAsia="仿宋_GB2312" w:cs="Times New Roman"/>
          <w:color w:val="auto"/>
          <w:sz w:val="32"/>
          <w:szCs w:val="32"/>
          <w:highlight w:val="none"/>
          <w:lang w:val="en-US" w:eastAsia="zh-CN"/>
        </w:rPr>
        <w:t>5</w:t>
      </w:r>
      <w:r>
        <w:rPr>
          <w:rFonts w:hint="default" w:ascii="Times New Roman" w:hAnsi="Times New Roman" w:eastAsia="仿宋_GB2312" w:cs="Times New Roman"/>
          <w:color w:val="auto"/>
          <w:sz w:val="32"/>
          <w:szCs w:val="32"/>
          <w:highlight w:val="none"/>
        </w:rPr>
        <w:t>分（含）-</w:t>
      </w:r>
      <w:r>
        <w:rPr>
          <w:rFonts w:hint="default" w:ascii="Times New Roman" w:hAnsi="Times New Roman" w:eastAsia="仿宋_GB2312" w:cs="Times New Roman"/>
          <w:color w:val="auto"/>
          <w:sz w:val="32"/>
          <w:szCs w:val="32"/>
          <w:highlight w:val="none"/>
          <w:lang w:eastAsia="zh-CN"/>
        </w:rPr>
        <w:t>9</w:t>
      </w:r>
      <w:r>
        <w:rPr>
          <w:rFonts w:hint="default" w:ascii="Times New Roman" w:hAnsi="Times New Roman" w:eastAsia="仿宋_GB2312" w:cs="Times New Roman"/>
          <w:color w:val="auto"/>
          <w:sz w:val="32"/>
          <w:szCs w:val="32"/>
          <w:highlight w:val="none"/>
          <w:lang w:val="en-US" w:eastAsia="zh-CN"/>
        </w:rPr>
        <w:t>5</w:t>
      </w:r>
      <w:r>
        <w:rPr>
          <w:rFonts w:hint="default" w:ascii="Times New Roman" w:hAnsi="Times New Roman" w:eastAsia="仿宋_GB2312" w:cs="Times New Roman"/>
          <w:color w:val="auto"/>
          <w:sz w:val="32"/>
          <w:szCs w:val="32"/>
          <w:highlight w:val="none"/>
        </w:rPr>
        <w:t>分的评“良”，得分</w:t>
      </w:r>
      <w:r>
        <w:rPr>
          <w:rFonts w:hint="default" w:ascii="Times New Roman" w:hAnsi="Times New Roman" w:eastAsia="仿宋_GB2312" w:cs="Times New Roman"/>
          <w:color w:val="auto"/>
          <w:sz w:val="32"/>
          <w:szCs w:val="32"/>
          <w:highlight w:val="none"/>
          <w:lang w:eastAsia="zh-CN"/>
        </w:rPr>
        <w:t>70</w:t>
      </w:r>
      <w:r>
        <w:rPr>
          <w:rFonts w:hint="default" w:ascii="Times New Roman" w:hAnsi="Times New Roman" w:eastAsia="仿宋_GB2312" w:cs="Times New Roman"/>
          <w:color w:val="auto"/>
          <w:sz w:val="32"/>
          <w:szCs w:val="32"/>
          <w:highlight w:val="none"/>
        </w:rPr>
        <w:t>分（含）-</w:t>
      </w:r>
      <w:r>
        <w:rPr>
          <w:rFonts w:hint="default" w:ascii="Times New Roman" w:hAnsi="Times New Roman" w:eastAsia="仿宋_GB2312" w:cs="Times New Roman"/>
          <w:color w:val="auto"/>
          <w:sz w:val="32"/>
          <w:szCs w:val="32"/>
          <w:highlight w:val="none"/>
          <w:lang w:eastAsia="zh-CN"/>
        </w:rPr>
        <w:t>8</w:t>
      </w:r>
      <w:r>
        <w:rPr>
          <w:rFonts w:hint="default" w:ascii="Times New Roman" w:hAnsi="Times New Roman" w:eastAsia="仿宋_GB2312" w:cs="Times New Roman"/>
          <w:color w:val="auto"/>
          <w:sz w:val="32"/>
          <w:szCs w:val="32"/>
          <w:highlight w:val="none"/>
          <w:lang w:val="en-US" w:eastAsia="zh-CN"/>
        </w:rPr>
        <w:t>5</w:t>
      </w:r>
      <w:r>
        <w:rPr>
          <w:rFonts w:hint="default" w:ascii="Times New Roman" w:hAnsi="Times New Roman" w:eastAsia="仿宋_GB2312" w:cs="Times New Roman"/>
          <w:color w:val="auto"/>
          <w:sz w:val="32"/>
          <w:szCs w:val="32"/>
          <w:highlight w:val="none"/>
        </w:rPr>
        <w:t>分的评“中”，</w:t>
      </w:r>
      <w:r>
        <w:rPr>
          <w:rFonts w:hint="default" w:ascii="Times New Roman" w:hAnsi="Times New Roman" w:eastAsia="仿宋_GB2312" w:cs="Times New Roman"/>
          <w:color w:val="auto"/>
          <w:sz w:val="32"/>
          <w:szCs w:val="32"/>
          <w:highlight w:val="none"/>
          <w:lang w:eastAsia="zh-CN"/>
        </w:rPr>
        <w:t>70</w:t>
      </w:r>
      <w:r>
        <w:rPr>
          <w:rFonts w:hint="default" w:ascii="Times New Roman" w:hAnsi="Times New Roman" w:eastAsia="仿宋_GB2312" w:cs="Times New Roman"/>
          <w:color w:val="auto"/>
          <w:sz w:val="32"/>
          <w:szCs w:val="32"/>
          <w:highlight w:val="none"/>
        </w:rPr>
        <w:t>分以下的评“差”。年度考核评“优”的造价企业予以通报表扬；年度考核评“差”的造价企业予以通报批评</w:t>
      </w:r>
      <w:r>
        <w:rPr>
          <w:rFonts w:hint="default" w:ascii="Times New Roman" w:hAnsi="Times New Roman" w:eastAsia="仿宋_GB2312" w:cs="Times New Roman"/>
          <w:color w:val="auto"/>
          <w:sz w:val="32"/>
          <w:szCs w:val="32"/>
          <w:highlight w:val="none"/>
          <w:lang w:eastAsia="zh-CN"/>
        </w:rPr>
        <w:t>并</w:t>
      </w:r>
      <w:r>
        <w:rPr>
          <w:rFonts w:hint="default" w:ascii="Times New Roman" w:hAnsi="Times New Roman" w:eastAsia="仿宋_GB2312" w:cs="Times New Roman"/>
          <w:color w:val="auto"/>
          <w:sz w:val="32"/>
          <w:szCs w:val="32"/>
          <w:highlight w:val="none"/>
        </w:rPr>
        <w:t>进行约谈。</w:t>
      </w:r>
    </w:p>
    <w:p w14:paraId="2F1A38C8">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9"/>
        <w:rPr>
          <w:rFonts w:hint="default" w:ascii="Times New Roman" w:hAnsi="Times New Roman" w:eastAsia="黑体" w:cs="Times New Roman"/>
          <w:color w:val="auto"/>
          <w:sz w:val="32"/>
          <w:szCs w:val="32"/>
          <w:highlight w:val="none"/>
        </w:rPr>
      </w:pPr>
      <w:r>
        <w:rPr>
          <w:rFonts w:hint="default" w:ascii="Times New Roman" w:hAnsi="Times New Roman" w:eastAsia="黑体" w:cs="Times New Roman"/>
          <w:color w:val="auto"/>
          <w:sz w:val="32"/>
          <w:szCs w:val="32"/>
          <w:highlight w:val="none"/>
        </w:rPr>
        <w:t>第七章 罚则</w:t>
      </w:r>
    </w:p>
    <w:p w14:paraId="68D9C5E2">
      <w:pPr>
        <w:keepNext w:val="0"/>
        <w:keepLines w:val="0"/>
        <w:pageBreakBefore w:val="0"/>
        <w:numPr>
          <w:ilvl w:val="0"/>
          <w:numId w:val="0"/>
        </w:numPr>
        <w:kinsoku/>
        <w:wordWrap/>
        <w:overflowPunct/>
        <w:topLinePunct w:val="0"/>
        <w:autoSpaceDE/>
        <w:autoSpaceDN/>
        <w:bidi w:val="0"/>
        <w:adjustRightInd/>
        <w:spacing w:line="400" w:lineRule="exact"/>
        <w:ind w:firstLine="643" w:firstLineChars="200"/>
        <w:jc w:val="left"/>
        <w:textAlignment w:val="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b/>
          <w:bCs/>
          <w:color w:val="auto"/>
          <w:sz w:val="32"/>
          <w:szCs w:val="32"/>
          <w:highlight w:val="none"/>
        </w:rPr>
        <w:t>第二十</w:t>
      </w:r>
      <w:r>
        <w:rPr>
          <w:rFonts w:hint="eastAsia" w:eastAsia="仿宋_GB2312" w:cs="Times New Roman"/>
          <w:b/>
          <w:bCs/>
          <w:color w:val="auto"/>
          <w:sz w:val="32"/>
          <w:szCs w:val="32"/>
          <w:highlight w:val="none"/>
          <w:lang w:val="en-US" w:eastAsia="zh-CN"/>
        </w:rPr>
        <w:t>三</w:t>
      </w:r>
      <w:r>
        <w:rPr>
          <w:rFonts w:hint="default" w:ascii="Times New Roman" w:hAnsi="Times New Roman" w:eastAsia="仿宋_GB2312" w:cs="Times New Roman"/>
          <w:b/>
          <w:bCs/>
          <w:color w:val="auto"/>
          <w:sz w:val="32"/>
          <w:szCs w:val="32"/>
          <w:highlight w:val="none"/>
        </w:rPr>
        <w:t>条</w:t>
      </w:r>
      <w:r>
        <w:rPr>
          <w:rFonts w:hint="default" w:ascii="Times New Roman" w:hAnsi="Times New Roman" w:eastAsia="仿宋_GB2312" w:cs="Times New Roman"/>
          <w:color w:val="auto"/>
          <w:sz w:val="32"/>
          <w:szCs w:val="32"/>
          <w:highlight w:val="none"/>
        </w:rPr>
        <w:t xml:space="preserve"> </w:t>
      </w:r>
      <w:r>
        <w:rPr>
          <w:rFonts w:hint="default" w:ascii="Times New Roman" w:hAnsi="Times New Roman" w:eastAsia="仿宋_GB2312" w:cs="Times New Roman"/>
          <w:color w:val="auto"/>
          <w:sz w:val="32"/>
          <w:szCs w:val="32"/>
          <w:highlight w:val="none"/>
          <w:lang w:val="en-US" w:eastAsia="zh-CN"/>
        </w:rPr>
        <w:t xml:space="preserve"> 项目施工过程中发现清单错漏项，累计5万元（含）-30万元（不含）的，给予企业4000元的违约金处罚；累计30万元（含）-50万元（不含）的，给予企业8000元的违约金处罚；累计50万元（含）-100万元（不含）的，给予企业12000元的违约金处罚；累计100万元（含）以上且误差率3%（含）以内的，给予企业20000元的违约金处罚，暂停业务6个月；累计100万元（含）以上的且误差率在3%（不含）-5%（含）的，暂停业务12个月，给予企业10%咨询服务费的违约金处罚且不低于20000元；累计100万元（含）以上的且误差率超过5%（含）的，暂停业务12个月，给予企业50%咨询服务费的违约金处罚且不低于20000元并对企业及相关责任人进行通报，上述违约金处罚以服务费用总额为上限。</w:t>
      </w:r>
    </w:p>
    <w:p w14:paraId="7C609641">
      <w:pPr>
        <w:keepNext w:val="0"/>
        <w:keepLines w:val="0"/>
        <w:pageBreakBefore w:val="0"/>
        <w:kinsoku/>
        <w:wordWrap/>
        <w:overflowPunct/>
        <w:topLinePunct w:val="0"/>
        <w:autoSpaceDE/>
        <w:autoSpaceDN/>
        <w:bidi w:val="0"/>
        <w:adjustRightInd/>
        <w:spacing w:line="400" w:lineRule="exact"/>
        <w:ind w:left="0" w:leftChars="0" w:firstLine="643"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b/>
          <w:bCs/>
          <w:color w:val="auto"/>
          <w:sz w:val="32"/>
          <w:szCs w:val="32"/>
          <w:highlight w:val="none"/>
          <w:lang w:eastAsia="zh-CN"/>
        </w:rPr>
        <w:t>第二十</w:t>
      </w:r>
      <w:r>
        <w:rPr>
          <w:rFonts w:hint="eastAsia" w:eastAsia="仿宋_GB2312" w:cs="Times New Roman"/>
          <w:b/>
          <w:bCs/>
          <w:color w:val="auto"/>
          <w:sz w:val="32"/>
          <w:szCs w:val="32"/>
          <w:highlight w:val="none"/>
          <w:lang w:val="en-US" w:eastAsia="zh-CN"/>
        </w:rPr>
        <w:t>四</w:t>
      </w:r>
      <w:r>
        <w:rPr>
          <w:rFonts w:hint="default" w:ascii="Times New Roman" w:hAnsi="Times New Roman" w:eastAsia="仿宋_GB2312" w:cs="Times New Roman"/>
          <w:b/>
          <w:bCs/>
          <w:color w:val="auto"/>
          <w:sz w:val="32"/>
          <w:szCs w:val="32"/>
          <w:highlight w:val="none"/>
          <w:lang w:eastAsia="zh-CN"/>
        </w:rPr>
        <w:t>条</w:t>
      </w:r>
      <w:r>
        <w:rPr>
          <w:rFonts w:hint="default" w:ascii="Times New Roman" w:hAnsi="Times New Roman" w:eastAsia="仿宋_GB2312" w:cs="Times New Roman"/>
          <w:color w:val="auto"/>
          <w:sz w:val="32"/>
          <w:szCs w:val="32"/>
          <w:highlight w:val="none"/>
          <w:lang w:val="en-US" w:eastAsia="zh-CN"/>
        </w:rPr>
        <w:t xml:space="preserve">  </w:t>
      </w:r>
      <w:r>
        <w:rPr>
          <w:rFonts w:hint="default" w:ascii="Times New Roman" w:hAnsi="Times New Roman" w:eastAsia="仿宋_GB2312" w:cs="Times New Roman"/>
          <w:color w:val="auto"/>
          <w:sz w:val="32"/>
          <w:szCs w:val="32"/>
          <w:highlight w:val="none"/>
        </w:rPr>
        <w:t>项目跟踪审计、</w:t>
      </w:r>
      <w:r>
        <w:rPr>
          <w:rFonts w:hint="default" w:ascii="Times New Roman" w:hAnsi="Times New Roman" w:eastAsia="仿宋_GB2312" w:cs="Times New Roman"/>
          <w:b w:val="0"/>
          <w:bCs w:val="0"/>
          <w:color w:val="auto"/>
          <w:sz w:val="32"/>
          <w:szCs w:val="32"/>
          <w:highlight w:val="none"/>
        </w:rPr>
        <w:t>结算审核服务费</w:t>
      </w:r>
      <w:r>
        <w:rPr>
          <w:rFonts w:hint="default" w:ascii="Times New Roman" w:hAnsi="Times New Roman" w:eastAsia="仿宋_GB2312" w:cs="Times New Roman"/>
          <w:b w:val="0"/>
          <w:bCs w:val="0"/>
          <w:color w:val="auto"/>
          <w:sz w:val="32"/>
          <w:szCs w:val="32"/>
          <w:highlight w:val="none"/>
          <w:lang w:eastAsia="zh-CN"/>
        </w:rPr>
        <w:t>的误差违约金处罚</w:t>
      </w:r>
      <w:r>
        <w:rPr>
          <w:rFonts w:hint="default" w:ascii="Times New Roman" w:hAnsi="Times New Roman" w:eastAsia="仿宋_GB2312" w:cs="Times New Roman"/>
          <w:color w:val="auto"/>
          <w:sz w:val="32"/>
          <w:szCs w:val="32"/>
          <w:highlight w:val="none"/>
        </w:rPr>
        <w:t>根据第三方复审</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z w:val="32"/>
          <w:szCs w:val="32"/>
          <w:highlight w:val="none"/>
        </w:rPr>
        <w:t>综合计划科复核</w:t>
      </w:r>
      <w:r>
        <w:rPr>
          <w:rFonts w:hint="default" w:ascii="Times New Roman" w:hAnsi="Times New Roman" w:eastAsia="仿宋_GB2312" w:cs="Times New Roman"/>
          <w:color w:val="auto"/>
          <w:sz w:val="32"/>
          <w:szCs w:val="32"/>
          <w:highlight w:val="none"/>
          <w:lang w:eastAsia="zh-CN"/>
        </w:rPr>
        <w:t>或</w:t>
      </w:r>
      <w:r>
        <w:rPr>
          <w:rFonts w:hint="default" w:ascii="Times New Roman" w:hAnsi="Times New Roman" w:eastAsia="仿宋_GB2312" w:cs="Times New Roman"/>
          <w:color w:val="auto"/>
          <w:sz w:val="32"/>
          <w:szCs w:val="32"/>
          <w:highlight w:val="none"/>
        </w:rPr>
        <w:t>市财政工程造价审核中心</w:t>
      </w:r>
      <w:r>
        <w:rPr>
          <w:rFonts w:hint="default" w:ascii="Times New Roman" w:hAnsi="Times New Roman" w:eastAsia="仿宋_GB2312" w:cs="Times New Roman"/>
          <w:color w:val="auto"/>
          <w:sz w:val="32"/>
          <w:szCs w:val="32"/>
          <w:highlight w:val="none"/>
          <w:lang w:eastAsia="zh-CN"/>
        </w:rPr>
        <w:t>的</w:t>
      </w:r>
      <w:r>
        <w:rPr>
          <w:rFonts w:hint="default" w:ascii="Times New Roman" w:hAnsi="Times New Roman" w:eastAsia="仿宋_GB2312" w:cs="Times New Roman"/>
          <w:color w:val="auto"/>
          <w:sz w:val="32"/>
          <w:szCs w:val="32"/>
          <w:highlight w:val="none"/>
        </w:rPr>
        <w:t>审核结果</w:t>
      </w:r>
      <w:r>
        <w:rPr>
          <w:rFonts w:hint="default" w:ascii="Times New Roman" w:hAnsi="Times New Roman" w:eastAsia="仿宋_GB2312" w:cs="Times New Roman"/>
          <w:color w:val="auto"/>
          <w:sz w:val="32"/>
          <w:szCs w:val="32"/>
          <w:highlight w:val="none"/>
          <w:lang w:eastAsia="zh-CN"/>
        </w:rPr>
        <w:t>确定</w:t>
      </w:r>
      <w:r>
        <w:rPr>
          <w:rFonts w:hint="default" w:ascii="Times New Roman" w:hAnsi="Times New Roman" w:eastAsia="仿宋_GB2312" w:cs="Times New Roman"/>
          <w:color w:val="auto"/>
          <w:sz w:val="32"/>
          <w:szCs w:val="32"/>
          <w:highlight w:val="none"/>
        </w:rPr>
        <w:t>：</w:t>
      </w:r>
    </w:p>
    <w:p w14:paraId="32D22618">
      <w:pPr>
        <w:keepNext w:val="0"/>
        <w:keepLines w:val="0"/>
        <w:pageBreakBefore w:val="0"/>
        <w:numPr>
          <w:ilvl w:val="0"/>
          <w:numId w:val="4"/>
        </w:numPr>
        <w:kinsoku/>
        <w:wordWrap/>
        <w:overflowPunct/>
        <w:topLinePunct w:val="0"/>
        <w:autoSpaceDE/>
        <w:autoSpaceDN/>
        <w:bidi w:val="0"/>
        <w:adjustRightInd/>
        <w:spacing w:line="400" w:lineRule="exact"/>
        <w:ind w:left="-10" w:leftChars="0" w:firstLine="640" w:firstLineChars="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审核结果误差在</w:t>
      </w:r>
      <w:r>
        <w:rPr>
          <w:rFonts w:hint="default" w:ascii="Times New Roman" w:hAnsi="Times New Roman" w:eastAsia="仿宋_GB2312" w:cs="Times New Roman"/>
          <w:color w:val="auto"/>
          <w:sz w:val="32"/>
          <w:szCs w:val="32"/>
          <w:highlight w:val="none"/>
          <w:lang w:val="en-US" w:eastAsia="zh-CN"/>
        </w:rPr>
        <w:t>1</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val="en-US" w:eastAsia="zh-CN"/>
        </w:rPr>
        <w:t>2</w:t>
      </w:r>
      <w:r>
        <w:rPr>
          <w:rFonts w:hint="default" w:ascii="Times New Roman" w:hAnsi="Times New Roman" w:eastAsia="仿宋_GB2312" w:cs="Times New Roman"/>
          <w:color w:val="auto"/>
          <w:sz w:val="32"/>
          <w:szCs w:val="32"/>
          <w:highlight w:val="none"/>
        </w:rPr>
        <w:t>%（含）之间，</w:t>
      </w:r>
      <w:r>
        <w:rPr>
          <w:rFonts w:hint="default" w:ascii="Times New Roman" w:hAnsi="Times New Roman" w:eastAsia="仿宋_GB2312" w:cs="Times New Roman"/>
          <w:color w:val="auto"/>
          <w:sz w:val="32"/>
          <w:szCs w:val="32"/>
          <w:highlight w:val="none"/>
          <w:lang w:eastAsia="zh-CN"/>
        </w:rPr>
        <w:t>以服务费的</w:t>
      </w:r>
      <w:r>
        <w:rPr>
          <w:rFonts w:hint="default" w:ascii="Times New Roman" w:hAnsi="Times New Roman" w:eastAsia="仿宋_GB2312" w:cs="Times New Roman"/>
          <w:b/>
          <w:bCs/>
          <w:color w:val="auto"/>
          <w:sz w:val="32"/>
          <w:szCs w:val="32"/>
          <w:highlight w:val="none"/>
          <w:lang w:val="en-US" w:eastAsia="zh-CN"/>
        </w:rPr>
        <w:t>25</w:t>
      </w:r>
      <w:r>
        <w:rPr>
          <w:rFonts w:hint="default" w:ascii="Times New Roman" w:hAnsi="Times New Roman" w:eastAsia="仿宋_GB2312" w:cs="Times New Roman"/>
          <w:b/>
          <w:bCs/>
          <w:color w:val="auto"/>
          <w:sz w:val="32"/>
          <w:szCs w:val="32"/>
          <w:highlight w:val="none"/>
        </w:rPr>
        <w:t>%</w:t>
      </w:r>
      <w:r>
        <w:rPr>
          <w:rFonts w:hint="default" w:ascii="Times New Roman" w:hAnsi="Times New Roman" w:eastAsia="仿宋_GB2312" w:cs="Times New Roman"/>
          <w:b w:val="0"/>
          <w:bCs w:val="0"/>
          <w:color w:val="auto"/>
          <w:sz w:val="32"/>
          <w:szCs w:val="32"/>
          <w:highlight w:val="none"/>
          <w:lang w:eastAsia="zh-CN"/>
        </w:rPr>
        <w:t>作为违约金</w:t>
      </w:r>
      <w:r>
        <w:rPr>
          <w:rFonts w:hint="default" w:ascii="Times New Roman" w:hAnsi="Times New Roman" w:eastAsia="仿宋_GB2312" w:cs="Times New Roman"/>
          <w:color w:val="auto"/>
          <w:sz w:val="32"/>
          <w:szCs w:val="32"/>
          <w:highlight w:val="none"/>
        </w:rPr>
        <w:t>；</w:t>
      </w:r>
    </w:p>
    <w:p w14:paraId="065CACC6">
      <w:pPr>
        <w:keepNext w:val="0"/>
        <w:keepLines w:val="0"/>
        <w:pageBreakBefore w:val="0"/>
        <w:numPr>
          <w:ilvl w:val="0"/>
          <w:numId w:val="4"/>
        </w:numPr>
        <w:kinsoku/>
        <w:wordWrap/>
        <w:overflowPunct/>
        <w:topLinePunct w:val="0"/>
        <w:autoSpaceDE/>
        <w:autoSpaceDN/>
        <w:bidi w:val="0"/>
        <w:adjustRightInd/>
        <w:spacing w:line="400" w:lineRule="exact"/>
        <w:ind w:left="-10" w:leftChars="0" w:firstLine="640" w:firstLineChars="0"/>
        <w:jc w:val="left"/>
        <w:textAlignment w:val="auto"/>
        <w:rPr>
          <w:rFonts w:hint="default" w:ascii="Times New Roman" w:hAnsi="Times New Roman" w:cs="Times New Roman"/>
          <w:color w:val="auto"/>
          <w:sz w:val="32"/>
          <w:szCs w:val="32"/>
          <w:highlight w:val="none"/>
        </w:rPr>
      </w:pPr>
      <w:r>
        <w:rPr>
          <w:rFonts w:hint="default" w:ascii="Times New Roman" w:hAnsi="Times New Roman" w:eastAsia="仿宋_GB2312" w:cs="Times New Roman"/>
          <w:color w:val="auto"/>
          <w:sz w:val="32"/>
          <w:szCs w:val="32"/>
          <w:highlight w:val="none"/>
        </w:rPr>
        <w:t>审核结果误差在</w:t>
      </w:r>
      <w:r>
        <w:rPr>
          <w:rFonts w:hint="default" w:ascii="Times New Roman" w:hAnsi="Times New Roman" w:eastAsia="仿宋_GB2312" w:cs="Times New Roman"/>
          <w:color w:val="auto"/>
          <w:sz w:val="32"/>
          <w:szCs w:val="32"/>
          <w:highlight w:val="none"/>
          <w:lang w:val="en-US" w:eastAsia="zh-CN"/>
        </w:rPr>
        <w:t>2</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val="en-US" w:eastAsia="zh-CN"/>
        </w:rPr>
        <w:t>3</w:t>
      </w:r>
      <w:r>
        <w:rPr>
          <w:rFonts w:hint="default" w:ascii="Times New Roman" w:hAnsi="Times New Roman" w:eastAsia="仿宋_GB2312" w:cs="Times New Roman"/>
          <w:color w:val="auto"/>
          <w:sz w:val="32"/>
          <w:szCs w:val="32"/>
          <w:highlight w:val="none"/>
        </w:rPr>
        <w:t>%（含）之间，</w:t>
      </w:r>
      <w:r>
        <w:rPr>
          <w:rFonts w:hint="default" w:ascii="Times New Roman" w:hAnsi="Times New Roman" w:eastAsia="仿宋_GB2312" w:cs="Times New Roman"/>
          <w:color w:val="auto"/>
          <w:sz w:val="32"/>
          <w:szCs w:val="32"/>
          <w:highlight w:val="none"/>
          <w:lang w:eastAsia="zh-CN"/>
        </w:rPr>
        <w:t>以服务费的</w:t>
      </w:r>
      <w:r>
        <w:rPr>
          <w:rFonts w:hint="default" w:ascii="Times New Roman" w:hAnsi="Times New Roman" w:eastAsia="仿宋_GB2312" w:cs="Times New Roman"/>
          <w:b/>
          <w:bCs/>
          <w:color w:val="auto"/>
          <w:sz w:val="32"/>
          <w:szCs w:val="32"/>
          <w:highlight w:val="none"/>
          <w:lang w:val="en-US" w:eastAsia="zh-CN"/>
        </w:rPr>
        <w:t>50</w:t>
      </w:r>
      <w:r>
        <w:rPr>
          <w:rFonts w:hint="default" w:ascii="Times New Roman" w:hAnsi="Times New Roman" w:eastAsia="仿宋_GB2312" w:cs="Times New Roman"/>
          <w:b/>
          <w:bCs/>
          <w:color w:val="auto"/>
          <w:sz w:val="32"/>
          <w:szCs w:val="32"/>
          <w:highlight w:val="none"/>
        </w:rPr>
        <w:t>%</w:t>
      </w:r>
      <w:r>
        <w:rPr>
          <w:rFonts w:hint="default" w:ascii="Times New Roman" w:hAnsi="Times New Roman" w:eastAsia="仿宋_GB2312" w:cs="Times New Roman"/>
          <w:b w:val="0"/>
          <w:bCs w:val="0"/>
          <w:color w:val="auto"/>
          <w:sz w:val="32"/>
          <w:szCs w:val="32"/>
          <w:highlight w:val="none"/>
          <w:lang w:eastAsia="zh-CN"/>
        </w:rPr>
        <w:t>作为违约金</w:t>
      </w:r>
      <w:r>
        <w:rPr>
          <w:rFonts w:hint="default" w:ascii="Times New Roman" w:hAnsi="Times New Roman" w:eastAsia="仿宋_GB2312" w:cs="Times New Roman"/>
          <w:color w:val="auto"/>
          <w:sz w:val="32"/>
          <w:szCs w:val="32"/>
          <w:highlight w:val="none"/>
        </w:rPr>
        <w:t>；</w:t>
      </w:r>
    </w:p>
    <w:p w14:paraId="4F1D4112">
      <w:pPr>
        <w:keepNext w:val="0"/>
        <w:keepLines w:val="0"/>
        <w:pageBreakBefore w:val="0"/>
        <w:numPr>
          <w:ilvl w:val="0"/>
          <w:numId w:val="4"/>
        </w:numPr>
        <w:kinsoku/>
        <w:wordWrap/>
        <w:overflowPunct/>
        <w:topLinePunct w:val="0"/>
        <w:autoSpaceDE/>
        <w:autoSpaceDN/>
        <w:bidi w:val="0"/>
        <w:adjustRightInd/>
        <w:spacing w:line="400" w:lineRule="exact"/>
        <w:ind w:left="-10" w:leftChars="0" w:firstLine="640" w:firstLineChars="0"/>
        <w:jc w:val="left"/>
        <w:textAlignment w:val="auto"/>
        <w:rPr>
          <w:rFonts w:hint="default" w:ascii="Times New Roman" w:hAnsi="Times New Roman"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rPr>
        <w:t>审核结果误差在</w:t>
      </w:r>
      <w:r>
        <w:rPr>
          <w:rFonts w:hint="default" w:ascii="Times New Roman" w:hAnsi="Times New Roman" w:eastAsia="仿宋_GB2312" w:cs="Times New Roman"/>
          <w:color w:val="auto"/>
          <w:sz w:val="32"/>
          <w:szCs w:val="32"/>
          <w:highlight w:val="none"/>
          <w:lang w:val="en-US" w:eastAsia="zh-CN"/>
        </w:rPr>
        <w:t>3</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val="en-US" w:eastAsia="zh-CN"/>
        </w:rPr>
        <w:t>4</w:t>
      </w:r>
      <w:r>
        <w:rPr>
          <w:rFonts w:hint="default" w:ascii="Times New Roman" w:hAnsi="Times New Roman" w:eastAsia="仿宋_GB2312" w:cs="Times New Roman"/>
          <w:color w:val="auto"/>
          <w:sz w:val="32"/>
          <w:szCs w:val="32"/>
          <w:highlight w:val="none"/>
        </w:rPr>
        <w:t>%（含）之间，</w:t>
      </w:r>
      <w:r>
        <w:rPr>
          <w:rFonts w:hint="default" w:ascii="Times New Roman" w:hAnsi="Times New Roman" w:eastAsia="仿宋_GB2312" w:cs="Times New Roman"/>
          <w:color w:val="auto"/>
          <w:sz w:val="32"/>
          <w:szCs w:val="32"/>
          <w:highlight w:val="none"/>
          <w:lang w:eastAsia="zh-CN"/>
        </w:rPr>
        <w:t>以服务费的</w:t>
      </w:r>
      <w:r>
        <w:rPr>
          <w:rFonts w:hint="default" w:ascii="Times New Roman" w:hAnsi="Times New Roman" w:eastAsia="仿宋_GB2312" w:cs="Times New Roman"/>
          <w:b/>
          <w:bCs/>
          <w:color w:val="auto"/>
          <w:sz w:val="32"/>
          <w:szCs w:val="32"/>
          <w:highlight w:val="none"/>
          <w:lang w:val="en-US" w:eastAsia="zh-CN"/>
        </w:rPr>
        <w:t>75</w:t>
      </w:r>
      <w:r>
        <w:rPr>
          <w:rFonts w:hint="default" w:ascii="Times New Roman" w:hAnsi="Times New Roman" w:eastAsia="仿宋_GB2312" w:cs="Times New Roman"/>
          <w:b/>
          <w:bCs/>
          <w:color w:val="auto"/>
          <w:sz w:val="32"/>
          <w:szCs w:val="32"/>
          <w:highlight w:val="none"/>
        </w:rPr>
        <w:t>%</w:t>
      </w:r>
      <w:r>
        <w:rPr>
          <w:rFonts w:hint="default" w:ascii="Times New Roman" w:hAnsi="Times New Roman" w:eastAsia="仿宋_GB2312" w:cs="Times New Roman"/>
          <w:b w:val="0"/>
          <w:bCs w:val="0"/>
          <w:color w:val="auto"/>
          <w:sz w:val="32"/>
          <w:szCs w:val="32"/>
          <w:highlight w:val="none"/>
          <w:lang w:eastAsia="zh-CN"/>
        </w:rPr>
        <w:t>作为违约金</w:t>
      </w:r>
      <w:r>
        <w:rPr>
          <w:rFonts w:hint="default" w:ascii="Times New Roman" w:hAnsi="Times New Roman" w:eastAsia="仿宋_GB2312" w:cs="Times New Roman"/>
          <w:color w:val="auto"/>
          <w:sz w:val="32"/>
          <w:szCs w:val="32"/>
          <w:highlight w:val="none"/>
        </w:rPr>
        <w:t>；</w:t>
      </w:r>
    </w:p>
    <w:p w14:paraId="7AC5C1CA">
      <w:pPr>
        <w:keepNext w:val="0"/>
        <w:keepLines w:val="0"/>
        <w:pageBreakBefore w:val="0"/>
        <w:numPr>
          <w:ilvl w:val="0"/>
          <w:numId w:val="4"/>
        </w:numPr>
        <w:kinsoku/>
        <w:wordWrap/>
        <w:overflowPunct/>
        <w:topLinePunct w:val="0"/>
        <w:autoSpaceDE/>
        <w:autoSpaceDN/>
        <w:bidi w:val="0"/>
        <w:adjustRightInd/>
        <w:spacing w:line="400" w:lineRule="exact"/>
        <w:ind w:left="-10" w:leftChars="0" w:firstLine="640" w:firstLineChars="0"/>
        <w:jc w:val="left"/>
        <w:textAlignment w:val="auto"/>
        <w:rPr>
          <w:rFonts w:hint="default" w:ascii="Times New Roman" w:hAnsi="Times New Roman"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rPr>
        <w:t>审核结果误差超过</w:t>
      </w:r>
      <w:r>
        <w:rPr>
          <w:rFonts w:hint="default" w:ascii="Times New Roman" w:hAnsi="Times New Roman" w:eastAsia="仿宋_GB2312" w:cs="Times New Roman"/>
          <w:color w:val="auto"/>
          <w:sz w:val="32"/>
          <w:szCs w:val="32"/>
          <w:highlight w:val="none"/>
          <w:lang w:val="en-US" w:eastAsia="zh-CN"/>
        </w:rPr>
        <w:t>4</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eastAsia="zh-CN"/>
        </w:rPr>
        <w:t>的</w:t>
      </w:r>
      <w:r>
        <w:rPr>
          <w:rFonts w:hint="default" w:ascii="Times New Roman" w:hAnsi="Times New Roman" w:eastAsia="仿宋_GB2312" w:cs="Times New Roman"/>
          <w:color w:val="auto"/>
          <w:sz w:val="32"/>
          <w:szCs w:val="32"/>
          <w:highlight w:val="none"/>
        </w:rPr>
        <w:t xml:space="preserve">, </w:t>
      </w:r>
      <w:r>
        <w:rPr>
          <w:rFonts w:hint="default" w:ascii="Times New Roman" w:hAnsi="Times New Roman" w:eastAsia="仿宋_GB2312" w:cs="Times New Roman"/>
          <w:color w:val="auto"/>
          <w:sz w:val="32"/>
          <w:szCs w:val="32"/>
          <w:highlight w:val="none"/>
          <w:lang w:eastAsia="zh-CN"/>
        </w:rPr>
        <w:t>以全额服务费</w:t>
      </w:r>
      <w:r>
        <w:rPr>
          <w:rFonts w:hint="default" w:ascii="Times New Roman" w:hAnsi="Times New Roman" w:eastAsia="仿宋_GB2312" w:cs="Times New Roman"/>
          <w:b w:val="0"/>
          <w:bCs w:val="0"/>
          <w:color w:val="auto"/>
          <w:sz w:val="32"/>
          <w:szCs w:val="32"/>
          <w:highlight w:val="none"/>
          <w:lang w:eastAsia="zh-CN"/>
        </w:rPr>
        <w:t>作为违约金</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z w:val="32"/>
          <w:szCs w:val="32"/>
          <w:highlight w:val="none"/>
        </w:rPr>
        <w:t xml:space="preserve">同时，工程造价 </w:t>
      </w:r>
      <w:r>
        <w:rPr>
          <w:rFonts w:hint="default" w:ascii="Times New Roman" w:hAnsi="Times New Roman" w:eastAsia="仿宋_GB2312" w:cs="Times New Roman"/>
          <w:color w:val="auto"/>
          <w:sz w:val="32"/>
          <w:szCs w:val="32"/>
          <w:highlight w:val="none"/>
          <w:lang w:eastAsia="zh-CN"/>
        </w:rPr>
        <w:t>1000</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eastAsia="zh-CN"/>
        </w:rPr>
        <w:t>5000</w:t>
      </w:r>
      <w:r>
        <w:rPr>
          <w:rFonts w:hint="default" w:ascii="Times New Roman" w:hAnsi="Times New Roman" w:eastAsia="仿宋_GB2312" w:cs="Times New Roman"/>
          <w:color w:val="auto"/>
          <w:sz w:val="32"/>
          <w:szCs w:val="32"/>
          <w:highlight w:val="none"/>
        </w:rPr>
        <w:t xml:space="preserve"> 万元项目，</w:t>
      </w:r>
      <w:r>
        <w:rPr>
          <w:rFonts w:hint="default" w:ascii="Times New Roman" w:hAnsi="Times New Roman" w:eastAsia="仿宋_GB2312" w:cs="Times New Roman"/>
          <w:color w:val="auto"/>
          <w:sz w:val="32"/>
          <w:szCs w:val="32"/>
          <w:highlight w:val="none"/>
          <w:lang w:eastAsia="zh-CN"/>
        </w:rPr>
        <w:t>暂停</w:t>
      </w:r>
      <w:r>
        <w:rPr>
          <w:rFonts w:hint="default" w:ascii="Times New Roman" w:hAnsi="Times New Roman" w:eastAsia="仿宋_GB2312" w:cs="Times New Roman"/>
          <w:color w:val="auto"/>
          <w:sz w:val="32"/>
          <w:szCs w:val="32"/>
          <w:highlight w:val="none"/>
        </w:rPr>
        <w:t>业务</w:t>
      </w:r>
      <w:r>
        <w:rPr>
          <w:rFonts w:hint="default" w:ascii="Times New Roman" w:hAnsi="Times New Roman" w:eastAsia="仿宋_GB2312" w:cs="Times New Roman"/>
          <w:color w:val="auto"/>
          <w:sz w:val="32"/>
          <w:szCs w:val="32"/>
          <w:highlight w:val="none"/>
          <w:lang w:val="en-US" w:eastAsia="zh-CN"/>
        </w:rPr>
        <w:t>6个月</w:t>
      </w:r>
      <w:r>
        <w:rPr>
          <w:rFonts w:hint="default" w:ascii="Times New Roman" w:hAnsi="Times New Roman" w:eastAsia="仿宋_GB2312" w:cs="Times New Roman"/>
          <w:color w:val="auto"/>
          <w:sz w:val="32"/>
          <w:szCs w:val="32"/>
          <w:highlight w:val="none"/>
        </w:rPr>
        <w:t xml:space="preserve">；工程造价 </w:t>
      </w:r>
      <w:r>
        <w:rPr>
          <w:rFonts w:hint="default" w:ascii="Times New Roman" w:hAnsi="Times New Roman" w:eastAsia="仿宋_GB2312" w:cs="Times New Roman"/>
          <w:color w:val="auto"/>
          <w:sz w:val="32"/>
          <w:szCs w:val="32"/>
          <w:highlight w:val="none"/>
          <w:lang w:eastAsia="zh-CN"/>
        </w:rPr>
        <w:t>5000</w:t>
      </w:r>
      <w:r>
        <w:rPr>
          <w:rFonts w:hint="default" w:ascii="Times New Roman" w:hAnsi="Times New Roman" w:eastAsia="仿宋_GB2312" w:cs="Times New Roman"/>
          <w:color w:val="auto"/>
          <w:sz w:val="32"/>
          <w:szCs w:val="32"/>
          <w:highlight w:val="none"/>
        </w:rPr>
        <w:t xml:space="preserve"> 万元以上项目，</w:t>
      </w:r>
      <w:r>
        <w:rPr>
          <w:rFonts w:hint="default" w:ascii="Times New Roman" w:hAnsi="Times New Roman" w:eastAsia="仿宋_GB2312" w:cs="Times New Roman"/>
          <w:color w:val="auto"/>
          <w:sz w:val="32"/>
          <w:szCs w:val="32"/>
          <w:highlight w:val="none"/>
          <w:lang w:eastAsia="zh-CN"/>
        </w:rPr>
        <w:t>暂停</w:t>
      </w:r>
      <w:r>
        <w:rPr>
          <w:rFonts w:hint="default" w:ascii="Times New Roman" w:hAnsi="Times New Roman" w:eastAsia="仿宋_GB2312" w:cs="Times New Roman"/>
          <w:color w:val="auto"/>
          <w:sz w:val="32"/>
          <w:szCs w:val="32"/>
          <w:highlight w:val="none"/>
        </w:rPr>
        <w:t>业务</w:t>
      </w:r>
      <w:r>
        <w:rPr>
          <w:rFonts w:hint="default" w:ascii="Times New Roman" w:hAnsi="Times New Roman" w:eastAsia="仿宋_GB2312" w:cs="Times New Roman"/>
          <w:color w:val="auto"/>
          <w:sz w:val="32"/>
          <w:szCs w:val="32"/>
          <w:highlight w:val="none"/>
          <w:lang w:val="en-US" w:eastAsia="zh-CN"/>
        </w:rPr>
        <w:t>12个月。</w:t>
      </w:r>
    </w:p>
    <w:p w14:paraId="26878116">
      <w:pPr>
        <w:keepNext w:val="0"/>
        <w:keepLines w:val="0"/>
        <w:pageBreakBefore w:val="0"/>
        <w:kinsoku/>
        <w:wordWrap/>
        <w:overflowPunct/>
        <w:topLinePunct w:val="0"/>
        <w:autoSpaceDE/>
        <w:autoSpaceDN/>
        <w:bidi w:val="0"/>
        <w:adjustRightInd/>
        <w:spacing w:line="400" w:lineRule="exact"/>
        <w:ind w:left="0" w:leftChars="0" w:firstLine="643"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b/>
          <w:bCs/>
          <w:color w:val="auto"/>
          <w:sz w:val="32"/>
          <w:szCs w:val="32"/>
          <w:highlight w:val="none"/>
          <w:lang w:val="en-US" w:eastAsia="zh-CN"/>
        </w:rPr>
        <w:t>第二十</w:t>
      </w:r>
      <w:r>
        <w:rPr>
          <w:rFonts w:hint="eastAsia" w:eastAsia="仿宋_GB2312" w:cs="Times New Roman"/>
          <w:b/>
          <w:bCs/>
          <w:color w:val="auto"/>
          <w:sz w:val="32"/>
          <w:szCs w:val="32"/>
          <w:highlight w:val="none"/>
          <w:lang w:val="en-US" w:eastAsia="zh-CN"/>
        </w:rPr>
        <w:t>五</w:t>
      </w:r>
      <w:r>
        <w:rPr>
          <w:rFonts w:hint="default" w:ascii="Times New Roman" w:hAnsi="Times New Roman" w:eastAsia="仿宋_GB2312" w:cs="Times New Roman"/>
          <w:b/>
          <w:bCs/>
          <w:color w:val="auto"/>
          <w:sz w:val="32"/>
          <w:szCs w:val="32"/>
          <w:highlight w:val="none"/>
          <w:lang w:val="en-US" w:eastAsia="zh-CN"/>
        </w:rPr>
        <w:t>条</w:t>
      </w:r>
      <w:r>
        <w:rPr>
          <w:rFonts w:hint="default" w:ascii="Times New Roman" w:hAnsi="Times New Roman" w:eastAsia="仿宋_GB2312" w:cs="Times New Roman"/>
          <w:color w:val="auto"/>
          <w:sz w:val="32"/>
          <w:szCs w:val="32"/>
          <w:highlight w:val="none"/>
          <w:lang w:val="en-US" w:eastAsia="zh-CN"/>
        </w:rPr>
        <w:t xml:space="preserve">  </w:t>
      </w:r>
      <w:r>
        <w:rPr>
          <w:rFonts w:hint="default" w:ascii="Times New Roman" w:hAnsi="Times New Roman" w:eastAsia="仿宋_GB2312" w:cs="Times New Roman"/>
          <w:color w:val="auto"/>
          <w:sz w:val="32"/>
          <w:szCs w:val="32"/>
          <w:highlight w:val="none"/>
        </w:rPr>
        <w:t>造价企业应在规定时间内提交</w:t>
      </w:r>
      <w:r>
        <w:rPr>
          <w:rFonts w:hint="default" w:ascii="Times New Roman" w:hAnsi="Times New Roman" w:eastAsia="仿宋_GB2312" w:cs="Times New Roman"/>
          <w:color w:val="auto"/>
          <w:sz w:val="32"/>
          <w:szCs w:val="32"/>
          <w:highlight w:val="none"/>
          <w:lang w:eastAsia="zh-CN"/>
        </w:rPr>
        <w:t>咨询成果文件</w:t>
      </w:r>
      <w:r>
        <w:rPr>
          <w:rFonts w:hint="default" w:ascii="Times New Roman" w:hAnsi="Times New Roman" w:eastAsia="仿宋_GB2312" w:cs="Times New Roman"/>
          <w:color w:val="auto"/>
          <w:sz w:val="32"/>
          <w:szCs w:val="32"/>
          <w:highlight w:val="none"/>
        </w:rPr>
        <w:t>，因造价企业原因未能按</w:t>
      </w:r>
      <w:r>
        <w:rPr>
          <w:rFonts w:hint="default" w:ascii="Times New Roman" w:hAnsi="Times New Roman" w:eastAsia="仿宋_GB2312" w:cs="Times New Roman"/>
          <w:color w:val="auto"/>
          <w:sz w:val="32"/>
          <w:szCs w:val="32"/>
          <w:highlight w:val="none"/>
          <w:lang w:eastAsia="zh-CN"/>
        </w:rPr>
        <w:t>时</w:t>
      </w:r>
      <w:r>
        <w:rPr>
          <w:rFonts w:hint="default" w:ascii="Times New Roman" w:hAnsi="Times New Roman" w:eastAsia="仿宋_GB2312" w:cs="Times New Roman"/>
          <w:color w:val="auto"/>
          <w:sz w:val="32"/>
          <w:szCs w:val="32"/>
          <w:highlight w:val="none"/>
        </w:rPr>
        <w:t>提交，超过</w:t>
      </w:r>
      <w:r>
        <w:rPr>
          <w:rFonts w:hint="default" w:ascii="Times New Roman" w:hAnsi="Times New Roman" w:eastAsia="仿宋_GB2312" w:cs="Times New Roman"/>
          <w:color w:val="auto"/>
          <w:sz w:val="32"/>
          <w:szCs w:val="32"/>
          <w:highlight w:val="none"/>
          <w:lang w:eastAsia="zh-CN"/>
        </w:rPr>
        <w:t>5</w:t>
      </w:r>
      <w:r>
        <w:rPr>
          <w:rFonts w:hint="default" w:ascii="Times New Roman" w:hAnsi="Times New Roman" w:eastAsia="仿宋_GB2312" w:cs="Times New Roman"/>
          <w:color w:val="auto"/>
          <w:sz w:val="32"/>
          <w:szCs w:val="32"/>
          <w:highlight w:val="none"/>
        </w:rPr>
        <w:t>日的，扣咨询服务费</w:t>
      </w:r>
      <w:r>
        <w:rPr>
          <w:rFonts w:hint="default" w:ascii="Times New Roman" w:hAnsi="Times New Roman" w:eastAsia="仿宋_GB2312" w:cs="Times New Roman"/>
          <w:color w:val="auto"/>
          <w:sz w:val="32"/>
          <w:szCs w:val="32"/>
          <w:highlight w:val="none"/>
          <w:lang w:eastAsia="zh-CN"/>
        </w:rPr>
        <w:t>500</w:t>
      </w:r>
      <w:r>
        <w:rPr>
          <w:rFonts w:hint="default" w:ascii="Times New Roman" w:hAnsi="Times New Roman" w:eastAsia="仿宋_GB2312" w:cs="Times New Roman"/>
          <w:color w:val="auto"/>
          <w:sz w:val="32"/>
          <w:szCs w:val="32"/>
          <w:highlight w:val="none"/>
        </w:rPr>
        <w:t>元/日；超</w:t>
      </w:r>
      <w:r>
        <w:rPr>
          <w:rFonts w:hint="default" w:ascii="Times New Roman" w:hAnsi="Times New Roman" w:eastAsia="仿宋_GB2312" w:cs="Times New Roman"/>
          <w:color w:val="auto"/>
          <w:sz w:val="32"/>
          <w:szCs w:val="32"/>
          <w:highlight w:val="none"/>
          <w:lang w:eastAsia="zh-CN"/>
        </w:rPr>
        <w:t>过15</w:t>
      </w:r>
      <w:r>
        <w:rPr>
          <w:rFonts w:hint="default" w:ascii="Times New Roman" w:hAnsi="Times New Roman" w:eastAsia="仿宋_GB2312" w:cs="Times New Roman"/>
          <w:color w:val="auto"/>
          <w:sz w:val="32"/>
          <w:szCs w:val="32"/>
          <w:highlight w:val="none"/>
        </w:rPr>
        <w:t>日的，扣咨询服务费</w:t>
      </w:r>
      <w:r>
        <w:rPr>
          <w:rFonts w:hint="default" w:ascii="Times New Roman" w:hAnsi="Times New Roman" w:eastAsia="仿宋_GB2312" w:cs="Times New Roman"/>
          <w:color w:val="auto"/>
          <w:sz w:val="32"/>
          <w:szCs w:val="32"/>
          <w:highlight w:val="none"/>
          <w:lang w:eastAsia="zh-CN"/>
        </w:rPr>
        <w:t>1000</w:t>
      </w:r>
      <w:r>
        <w:rPr>
          <w:rFonts w:hint="default" w:ascii="Times New Roman" w:hAnsi="Times New Roman" w:eastAsia="仿宋_GB2312" w:cs="Times New Roman"/>
          <w:color w:val="auto"/>
          <w:sz w:val="32"/>
          <w:szCs w:val="32"/>
          <w:highlight w:val="none"/>
        </w:rPr>
        <w:t>元/日；超</w:t>
      </w:r>
      <w:r>
        <w:rPr>
          <w:rFonts w:hint="default" w:ascii="Times New Roman" w:hAnsi="Times New Roman" w:eastAsia="仿宋_GB2312" w:cs="Times New Roman"/>
          <w:color w:val="auto"/>
          <w:sz w:val="32"/>
          <w:szCs w:val="32"/>
          <w:highlight w:val="none"/>
          <w:lang w:eastAsia="zh-CN"/>
        </w:rPr>
        <w:t>过</w:t>
      </w:r>
      <w:r>
        <w:rPr>
          <w:rFonts w:hint="default" w:ascii="Times New Roman" w:hAnsi="Times New Roman" w:eastAsia="仿宋_GB2312" w:cs="Times New Roman"/>
          <w:color w:val="auto"/>
          <w:sz w:val="32"/>
          <w:szCs w:val="32"/>
          <w:highlight w:val="none"/>
        </w:rPr>
        <w:t>规定时间一半以上的，终止委托</w:t>
      </w:r>
      <w:r>
        <w:rPr>
          <w:rFonts w:hint="default" w:ascii="Times New Roman" w:hAnsi="Times New Roman" w:eastAsia="仿宋_GB2312" w:cs="Times New Roman"/>
          <w:color w:val="auto"/>
          <w:sz w:val="32"/>
          <w:szCs w:val="32"/>
          <w:highlight w:val="none"/>
          <w:lang w:eastAsia="zh-CN"/>
        </w:rPr>
        <w:t>业务</w:t>
      </w:r>
      <w:r>
        <w:rPr>
          <w:rFonts w:hint="default" w:ascii="Times New Roman" w:hAnsi="Times New Roman" w:eastAsia="仿宋_GB2312" w:cs="Times New Roman"/>
          <w:color w:val="auto"/>
          <w:sz w:val="32"/>
          <w:szCs w:val="32"/>
          <w:highlight w:val="none"/>
        </w:rPr>
        <w:t>。</w:t>
      </w:r>
    </w:p>
    <w:p w14:paraId="0AB29100">
      <w:pPr>
        <w:keepNext w:val="0"/>
        <w:keepLines w:val="0"/>
        <w:pageBreakBefore w:val="0"/>
        <w:kinsoku/>
        <w:wordWrap/>
        <w:overflowPunct/>
        <w:topLinePunct w:val="0"/>
        <w:autoSpaceDE/>
        <w:autoSpaceDN/>
        <w:bidi w:val="0"/>
        <w:adjustRightInd/>
        <w:spacing w:line="400" w:lineRule="exact"/>
        <w:ind w:left="0" w:leftChars="0" w:firstLine="643" w:firstLineChars="200"/>
        <w:jc w:val="left"/>
        <w:textAlignment w:val="auto"/>
        <w:rPr>
          <w:rFonts w:hint="default" w:ascii="Times New Roman" w:hAnsi="Times New Roman" w:eastAsia="仿宋_GB2312" w:cs="Times New Roman"/>
          <w:color w:val="auto"/>
          <w:sz w:val="32"/>
          <w:szCs w:val="32"/>
          <w:highlight w:val="none"/>
          <w:lang w:eastAsia="zh-CN"/>
        </w:rPr>
      </w:pPr>
      <w:r>
        <w:rPr>
          <w:rFonts w:hint="default" w:ascii="Times New Roman" w:hAnsi="Times New Roman" w:eastAsia="仿宋_GB2312" w:cs="Times New Roman"/>
          <w:b/>
          <w:bCs/>
          <w:color w:val="auto"/>
          <w:sz w:val="32"/>
          <w:szCs w:val="32"/>
          <w:highlight w:val="none"/>
        </w:rPr>
        <w:t>第</w:t>
      </w:r>
      <w:r>
        <w:rPr>
          <w:rFonts w:hint="default" w:ascii="Times New Roman" w:hAnsi="Times New Roman" w:eastAsia="仿宋_GB2312" w:cs="Times New Roman"/>
          <w:b/>
          <w:bCs/>
          <w:color w:val="auto"/>
          <w:sz w:val="32"/>
          <w:szCs w:val="32"/>
          <w:highlight w:val="none"/>
          <w:lang w:eastAsia="zh-CN"/>
        </w:rPr>
        <w:t>二十</w:t>
      </w:r>
      <w:r>
        <w:rPr>
          <w:rFonts w:hint="eastAsia" w:eastAsia="仿宋_GB2312" w:cs="Times New Roman"/>
          <w:b/>
          <w:bCs/>
          <w:color w:val="auto"/>
          <w:sz w:val="32"/>
          <w:szCs w:val="32"/>
          <w:highlight w:val="none"/>
          <w:lang w:val="en-US" w:eastAsia="zh-CN"/>
        </w:rPr>
        <w:t>六</w:t>
      </w:r>
      <w:r>
        <w:rPr>
          <w:rFonts w:hint="default" w:ascii="Times New Roman" w:hAnsi="Times New Roman" w:eastAsia="仿宋_GB2312" w:cs="Times New Roman"/>
          <w:b/>
          <w:bCs/>
          <w:color w:val="auto"/>
          <w:sz w:val="32"/>
          <w:szCs w:val="32"/>
          <w:highlight w:val="none"/>
        </w:rPr>
        <w:t>条</w:t>
      </w:r>
      <w:r>
        <w:rPr>
          <w:rFonts w:hint="default" w:ascii="Times New Roman" w:hAnsi="Times New Roman" w:eastAsia="仿宋_GB2312" w:cs="Times New Roman"/>
          <w:color w:val="auto"/>
          <w:sz w:val="32"/>
          <w:szCs w:val="32"/>
          <w:highlight w:val="none"/>
        </w:rPr>
        <w:t xml:space="preserve"> </w:t>
      </w:r>
      <w:r>
        <w:rPr>
          <w:rFonts w:hint="default" w:ascii="Times New Roman" w:hAnsi="Times New Roman" w:eastAsia="仿宋_GB2312" w:cs="Times New Roman"/>
          <w:color w:val="auto"/>
          <w:sz w:val="32"/>
          <w:szCs w:val="32"/>
          <w:highlight w:val="none"/>
          <w:lang w:val="en-US" w:eastAsia="zh-CN"/>
        </w:rPr>
        <w:t xml:space="preserve"> </w:t>
      </w:r>
      <w:r>
        <w:rPr>
          <w:rFonts w:hint="default" w:ascii="Times New Roman" w:hAnsi="Times New Roman" w:eastAsia="仿宋_GB2312" w:cs="Times New Roman"/>
          <w:color w:val="auto"/>
          <w:sz w:val="32"/>
          <w:szCs w:val="32"/>
          <w:highlight w:val="none"/>
        </w:rPr>
        <w:t>造价企业</w:t>
      </w:r>
      <w:r>
        <w:rPr>
          <w:rFonts w:hint="default" w:ascii="Times New Roman" w:hAnsi="Times New Roman" w:eastAsia="仿宋_GB2312" w:cs="Times New Roman"/>
          <w:color w:val="auto"/>
          <w:kern w:val="0"/>
          <w:sz w:val="32"/>
          <w:szCs w:val="32"/>
          <w:highlight w:val="none"/>
        </w:rPr>
        <w:t>（</w:t>
      </w:r>
      <w:r>
        <w:rPr>
          <w:rFonts w:hint="default" w:ascii="Times New Roman" w:hAnsi="Times New Roman" w:eastAsia="仿宋_GB2312" w:cs="Times New Roman"/>
          <w:color w:val="auto"/>
          <w:sz w:val="32"/>
          <w:szCs w:val="32"/>
          <w:highlight w:val="none"/>
        </w:rPr>
        <w:t>人员）不得接受项目施工单位的结算编制等影响审计独立性的业务，一经发现，</w:t>
      </w:r>
      <w:r>
        <w:rPr>
          <w:rFonts w:hint="default" w:ascii="Times New Roman" w:hAnsi="Times New Roman" w:eastAsia="仿宋_GB2312" w:cs="Times New Roman"/>
          <w:color w:val="auto"/>
          <w:sz w:val="32"/>
          <w:szCs w:val="32"/>
          <w:highlight w:val="none"/>
          <w:lang w:eastAsia="zh-CN"/>
        </w:rPr>
        <w:t>终止</w:t>
      </w:r>
      <w:r>
        <w:rPr>
          <w:rFonts w:hint="default" w:ascii="Times New Roman" w:hAnsi="Times New Roman" w:eastAsia="仿宋_GB2312" w:cs="Times New Roman"/>
          <w:color w:val="auto"/>
          <w:sz w:val="32"/>
          <w:szCs w:val="32"/>
          <w:highlight w:val="none"/>
        </w:rPr>
        <w:t>项目造价咨询委托协议，并在处官网通报，同时抄送市审计局，市住建局，市财政局</w:t>
      </w:r>
      <w:r>
        <w:rPr>
          <w:rFonts w:hint="default" w:ascii="Times New Roman" w:hAnsi="Times New Roman" w:eastAsia="仿宋_GB2312" w:cs="Times New Roman"/>
          <w:color w:val="auto"/>
          <w:sz w:val="32"/>
          <w:szCs w:val="32"/>
          <w:highlight w:val="none"/>
          <w:lang w:eastAsia="zh-CN"/>
        </w:rPr>
        <w:t>，市公管局</w:t>
      </w:r>
      <w:r>
        <w:rPr>
          <w:rFonts w:hint="default" w:ascii="Times New Roman" w:hAnsi="Times New Roman" w:eastAsia="仿宋_GB2312" w:cs="Times New Roman"/>
          <w:color w:val="auto"/>
          <w:sz w:val="32"/>
          <w:szCs w:val="32"/>
          <w:highlight w:val="none"/>
        </w:rPr>
        <w:t>。</w:t>
      </w:r>
    </w:p>
    <w:p w14:paraId="0F7AD3D9">
      <w:pPr>
        <w:keepNext w:val="0"/>
        <w:keepLines w:val="0"/>
        <w:pageBreakBefore w:val="0"/>
        <w:kinsoku/>
        <w:wordWrap/>
        <w:overflowPunct/>
        <w:topLinePunct w:val="0"/>
        <w:autoSpaceDE/>
        <w:autoSpaceDN/>
        <w:bidi w:val="0"/>
        <w:adjustRightInd/>
        <w:spacing w:line="400" w:lineRule="exact"/>
        <w:ind w:left="0" w:leftChars="0" w:firstLine="643"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b/>
          <w:bCs/>
          <w:color w:val="auto"/>
          <w:sz w:val="32"/>
          <w:szCs w:val="32"/>
          <w:highlight w:val="none"/>
        </w:rPr>
        <w:t>第</w:t>
      </w:r>
      <w:r>
        <w:rPr>
          <w:rFonts w:hint="default" w:ascii="Times New Roman" w:hAnsi="Times New Roman" w:eastAsia="仿宋_GB2312" w:cs="Times New Roman"/>
          <w:b/>
          <w:bCs/>
          <w:color w:val="auto"/>
          <w:sz w:val="32"/>
          <w:szCs w:val="32"/>
          <w:highlight w:val="none"/>
          <w:lang w:eastAsia="zh-CN"/>
        </w:rPr>
        <w:t>二十</w:t>
      </w:r>
      <w:r>
        <w:rPr>
          <w:rFonts w:hint="eastAsia" w:eastAsia="仿宋_GB2312" w:cs="Times New Roman"/>
          <w:b/>
          <w:bCs/>
          <w:color w:val="auto"/>
          <w:sz w:val="32"/>
          <w:szCs w:val="32"/>
          <w:highlight w:val="none"/>
          <w:lang w:val="en-US" w:eastAsia="zh-CN"/>
        </w:rPr>
        <w:t>七</w:t>
      </w:r>
      <w:r>
        <w:rPr>
          <w:rFonts w:hint="default" w:ascii="Times New Roman" w:hAnsi="Times New Roman" w:eastAsia="仿宋_GB2312" w:cs="Times New Roman"/>
          <w:b/>
          <w:bCs/>
          <w:color w:val="auto"/>
          <w:sz w:val="32"/>
          <w:szCs w:val="32"/>
          <w:highlight w:val="none"/>
        </w:rPr>
        <w:t>条</w:t>
      </w:r>
      <w:r>
        <w:rPr>
          <w:rFonts w:hint="default" w:ascii="Times New Roman" w:hAnsi="Times New Roman" w:eastAsia="仿宋_GB2312" w:cs="Times New Roman"/>
          <w:color w:val="auto"/>
          <w:sz w:val="32"/>
          <w:szCs w:val="32"/>
          <w:highlight w:val="none"/>
        </w:rPr>
        <w:t xml:space="preserve"> </w:t>
      </w:r>
      <w:r>
        <w:rPr>
          <w:rFonts w:hint="default" w:ascii="Times New Roman" w:hAnsi="Times New Roman" w:eastAsia="仿宋_GB2312" w:cs="Times New Roman"/>
          <w:color w:val="auto"/>
          <w:sz w:val="32"/>
          <w:szCs w:val="32"/>
          <w:highlight w:val="none"/>
          <w:lang w:val="en-US" w:eastAsia="zh-CN"/>
        </w:rPr>
        <w:t xml:space="preserve"> </w:t>
      </w:r>
      <w:r>
        <w:rPr>
          <w:rFonts w:hint="default" w:ascii="Times New Roman" w:hAnsi="Times New Roman" w:eastAsia="仿宋_GB2312" w:cs="Times New Roman"/>
          <w:color w:val="auto"/>
          <w:sz w:val="32"/>
          <w:szCs w:val="32"/>
          <w:highlight w:val="none"/>
        </w:rPr>
        <w:t>造价企业有下列情形之一的，可扣减审计服务费用，终止审计委托协议，提请行政主管部门给予警告、通报</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z w:val="32"/>
          <w:szCs w:val="32"/>
          <w:highlight w:val="none"/>
        </w:rPr>
        <w:t>有限期或无限期禁止从事我处项目等处罚</w:t>
      </w:r>
      <w:r>
        <w:rPr>
          <w:rFonts w:hint="default" w:ascii="Times New Roman" w:hAnsi="Times New Roman" w:eastAsia="仿宋_GB2312" w:cs="Times New Roman"/>
          <w:color w:val="auto"/>
          <w:sz w:val="32"/>
          <w:szCs w:val="32"/>
          <w:highlight w:val="none"/>
          <w:lang w:eastAsia="zh-CN"/>
        </w:rPr>
        <w:t>，构成犯罪的，依法追究刑事责任</w:t>
      </w:r>
      <w:r>
        <w:rPr>
          <w:rFonts w:hint="default" w:ascii="Times New Roman" w:hAnsi="Times New Roman" w:eastAsia="仿宋_GB2312" w:cs="Times New Roman"/>
          <w:color w:val="auto"/>
          <w:sz w:val="32"/>
          <w:szCs w:val="32"/>
          <w:highlight w:val="none"/>
        </w:rPr>
        <w:t>：</w:t>
      </w:r>
    </w:p>
    <w:p w14:paraId="49EC186F">
      <w:pPr>
        <w:keepNext w:val="0"/>
        <w:keepLines w:val="0"/>
        <w:pageBreakBefore w:val="0"/>
        <w:numPr>
          <w:ilvl w:val="0"/>
          <w:numId w:val="5"/>
        </w:numPr>
        <w:kinsoku/>
        <w:wordWrap/>
        <w:overflowPunct/>
        <w:topLinePunct w:val="0"/>
        <w:autoSpaceDE/>
        <w:autoSpaceDN/>
        <w:bidi w:val="0"/>
        <w:adjustRightInd/>
        <w:spacing w:line="40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工程结算审核报告存在重大失误或质量低劣；</w:t>
      </w:r>
    </w:p>
    <w:p w14:paraId="77067796">
      <w:pPr>
        <w:keepNext w:val="0"/>
        <w:keepLines w:val="0"/>
        <w:pageBreakBefore w:val="0"/>
        <w:numPr>
          <w:ilvl w:val="0"/>
          <w:numId w:val="5"/>
        </w:numPr>
        <w:kinsoku/>
        <w:wordWrap/>
        <w:overflowPunct/>
        <w:topLinePunct w:val="0"/>
        <w:autoSpaceDE/>
        <w:autoSpaceDN/>
        <w:bidi w:val="0"/>
        <w:adjustRightInd/>
        <w:spacing w:line="40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因自身工作错误或过失造成重大损失；</w:t>
      </w:r>
    </w:p>
    <w:p w14:paraId="546189C7">
      <w:pPr>
        <w:keepNext w:val="0"/>
        <w:keepLines w:val="0"/>
        <w:pageBreakBefore w:val="0"/>
        <w:numPr>
          <w:ilvl w:val="0"/>
          <w:numId w:val="5"/>
        </w:numPr>
        <w:kinsoku/>
        <w:wordWrap/>
        <w:overflowPunct/>
        <w:topLinePunct w:val="0"/>
        <w:autoSpaceDE/>
        <w:autoSpaceDN/>
        <w:bidi w:val="0"/>
        <w:adjustRightInd/>
        <w:spacing w:line="40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未经允许私自向施工单位透露审核情况或信息；</w:t>
      </w:r>
    </w:p>
    <w:p w14:paraId="6122DBEE">
      <w:pPr>
        <w:keepNext w:val="0"/>
        <w:keepLines w:val="0"/>
        <w:pageBreakBefore w:val="0"/>
        <w:numPr>
          <w:ilvl w:val="0"/>
          <w:numId w:val="5"/>
        </w:numPr>
        <w:kinsoku/>
        <w:wordWrap/>
        <w:overflowPunct/>
        <w:topLinePunct w:val="0"/>
        <w:autoSpaceDE/>
        <w:autoSpaceDN/>
        <w:bidi w:val="0"/>
        <w:adjustRightInd/>
        <w:spacing w:line="40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向相关单位或个人索要财物等谋取不正当利益；</w:t>
      </w:r>
    </w:p>
    <w:p w14:paraId="64DD9C1D">
      <w:pPr>
        <w:keepNext w:val="0"/>
        <w:keepLines w:val="0"/>
        <w:pageBreakBefore w:val="0"/>
        <w:numPr>
          <w:ilvl w:val="0"/>
          <w:numId w:val="5"/>
        </w:numPr>
        <w:kinsoku/>
        <w:wordWrap/>
        <w:overflowPunct/>
        <w:topLinePunct w:val="0"/>
        <w:autoSpaceDE/>
        <w:autoSpaceDN/>
        <w:bidi w:val="0"/>
        <w:adjustRightInd/>
        <w:spacing w:line="40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单独或与其他各方串通舞弊、弄虚作假；</w:t>
      </w:r>
    </w:p>
    <w:p w14:paraId="0FBFABA7">
      <w:pPr>
        <w:keepNext w:val="0"/>
        <w:keepLines w:val="0"/>
        <w:pageBreakBefore w:val="0"/>
        <w:numPr>
          <w:ilvl w:val="0"/>
          <w:numId w:val="5"/>
        </w:numPr>
        <w:kinsoku/>
        <w:wordWrap/>
        <w:overflowPunct/>
        <w:topLinePunct w:val="0"/>
        <w:autoSpaceDE/>
        <w:autoSpaceDN/>
        <w:bidi w:val="0"/>
        <w:adjustRightInd/>
        <w:spacing w:line="40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其他违反法律法规和</w:t>
      </w:r>
      <w:r>
        <w:rPr>
          <w:rFonts w:hint="default" w:ascii="Times New Roman" w:hAnsi="Times New Roman" w:eastAsia="仿宋_GB2312" w:cs="Times New Roman"/>
          <w:color w:val="auto"/>
          <w:sz w:val="32"/>
          <w:szCs w:val="32"/>
          <w:highlight w:val="none"/>
          <w:lang w:eastAsia="zh-CN"/>
        </w:rPr>
        <w:t>规定</w:t>
      </w:r>
      <w:r>
        <w:rPr>
          <w:rFonts w:hint="default" w:ascii="Times New Roman" w:hAnsi="Times New Roman" w:eastAsia="仿宋_GB2312" w:cs="Times New Roman"/>
          <w:color w:val="auto"/>
          <w:sz w:val="32"/>
          <w:szCs w:val="32"/>
          <w:highlight w:val="none"/>
        </w:rPr>
        <w:t>的行为。</w:t>
      </w:r>
    </w:p>
    <w:p w14:paraId="67C07C3D">
      <w:pPr>
        <w:keepNext w:val="0"/>
        <w:keepLines w:val="0"/>
        <w:pageBreakBefore w:val="0"/>
        <w:kinsoku/>
        <w:wordWrap/>
        <w:overflowPunct/>
        <w:topLinePunct w:val="0"/>
        <w:autoSpaceDE/>
        <w:autoSpaceDN/>
        <w:bidi w:val="0"/>
        <w:adjustRightInd/>
        <w:spacing w:line="400" w:lineRule="exact"/>
        <w:ind w:left="0" w:leftChars="0" w:firstLine="643" w:firstLineChars="200"/>
        <w:jc w:val="left"/>
        <w:textAlignment w:val="auto"/>
        <w:rPr>
          <w:rFonts w:hint="default" w:ascii="Times New Roman" w:hAnsi="Times New Roman" w:eastAsia="黑体" w:cs="Times New Roman"/>
          <w:color w:val="auto"/>
          <w:sz w:val="32"/>
          <w:szCs w:val="32"/>
          <w:highlight w:val="none"/>
        </w:rPr>
      </w:pPr>
      <w:r>
        <w:rPr>
          <w:rFonts w:hint="default" w:ascii="Times New Roman" w:hAnsi="Times New Roman" w:eastAsia="仿宋_GB2312" w:cs="Times New Roman"/>
          <w:b/>
          <w:bCs/>
          <w:color w:val="auto"/>
          <w:sz w:val="32"/>
          <w:szCs w:val="32"/>
          <w:highlight w:val="none"/>
        </w:rPr>
        <w:t>第</w:t>
      </w:r>
      <w:r>
        <w:rPr>
          <w:rFonts w:hint="eastAsia" w:eastAsia="仿宋_GB2312" w:cs="Times New Roman"/>
          <w:b/>
          <w:bCs/>
          <w:color w:val="auto"/>
          <w:sz w:val="32"/>
          <w:szCs w:val="32"/>
          <w:highlight w:val="none"/>
          <w:lang w:val="en-US" w:eastAsia="zh-CN"/>
        </w:rPr>
        <w:t>二十八</w:t>
      </w:r>
      <w:r>
        <w:rPr>
          <w:rFonts w:hint="default" w:ascii="Times New Roman" w:hAnsi="Times New Roman" w:eastAsia="仿宋_GB2312" w:cs="Times New Roman"/>
          <w:b/>
          <w:bCs/>
          <w:color w:val="auto"/>
          <w:sz w:val="32"/>
          <w:szCs w:val="32"/>
          <w:highlight w:val="none"/>
        </w:rPr>
        <w:t>条</w:t>
      </w:r>
      <w:r>
        <w:rPr>
          <w:rFonts w:hint="default" w:ascii="Times New Roman" w:hAnsi="Times New Roman" w:eastAsia="仿宋_GB2312" w:cs="Times New Roman"/>
          <w:color w:val="auto"/>
          <w:sz w:val="32"/>
          <w:szCs w:val="32"/>
          <w:highlight w:val="none"/>
        </w:rPr>
        <w:t xml:space="preserve"> </w:t>
      </w:r>
      <w:r>
        <w:rPr>
          <w:rFonts w:hint="default" w:ascii="Times New Roman" w:hAnsi="Times New Roman" w:eastAsia="仿宋_GB2312" w:cs="Times New Roman"/>
          <w:color w:val="auto"/>
          <w:sz w:val="32"/>
          <w:szCs w:val="32"/>
          <w:highlight w:val="none"/>
          <w:lang w:val="en-US" w:eastAsia="zh-CN"/>
        </w:rPr>
        <w:t xml:space="preserve"> 造价企业存在转包、违法分包等行为的，</w:t>
      </w:r>
      <w:r>
        <w:rPr>
          <w:rFonts w:hint="default" w:ascii="Times New Roman" w:hAnsi="Times New Roman" w:eastAsia="仿宋_GB2312" w:cs="Times New Roman"/>
          <w:color w:val="auto"/>
          <w:sz w:val="32"/>
          <w:szCs w:val="32"/>
          <w:highlight w:val="none"/>
        </w:rPr>
        <w:t>无证人员执业、挂靠执业、执业人员不到岗等违反相关</w:t>
      </w:r>
      <w:r>
        <w:rPr>
          <w:rFonts w:hint="default" w:ascii="Times New Roman" w:hAnsi="Times New Roman" w:eastAsia="仿宋_GB2312" w:cs="Times New Roman"/>
          <w:color w:val="auto"/>
          <w:sz w:val="32"/>
          <w:szCs w:val="32"/>
          <w:highlight w:val="none"/>
          <w:lang w:eastAsia="zh-CN"/>
        </w:rPr>
        <w:t>法规的，将按相关法规进行处罚，终止</w:t>
      </w:r>
      <w:r>
        <w:rPr>
          <w:rFonts w:hint="default" w:ascii="Times New Roman" w:hAnsi="Times New Roman" w:eastAsia="仿宋_GB2312" w:cs="Times New Roman"/>
          <w:color w:val="auto"/>
          <w:sz w:val="32"/>
          <w:szCs w:val="32"/>
          <w:highlight w:val="none"/>
        </w:rPr>
        <w:t>委托业务。</w:t>
      </w:r>
    </w:p>
    <w:p w14:paraId="655D6EDD">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9"/>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黑体" w:cs="Times New Roman"/>
          <w:color w:val="auto"/>
          <w:sz w:val="32"/>
          <w:szCs w:val="32"/>
          <w:highlight w:val="none"/>
        </w:rPr>
        <w:t>第八章 附则</w:t>
      </w:r>
    </w:p>
    <w:p w14:paraId="0ABC3C35">
      <w:pPr>
        <w:keepNext w:val="0"/>
        <w:keepLines w:val="0"/>
        <w:pageBreakBefore w:val="0"/>
        <w:kinsoku/>
        <w:wordWrap/>
        <w:overflowPunct/>
        <w:topLinePunct w:val="0"/>
        <w:autoSpaceDE/>
        <w:autoSpaceDN/>
        <w:bidi w:val="0"/>
        <w:adjustRightInd/>
        <w:snapToGrid w:val="0"/>
        <w:spacing w:line="400" w:lineRule="exact"/>
        <w:ind w:left="0" w:leftChars="0" w:firstLine="643" w:firstLineChars="200"/>
        <w:jc w:val="left"/>
        <w:textAlignment w:val="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b/>
          <w:bCs/>
          <w:color w:val="auto"/>
          <w:sz w:val="32"/>
          <w:szCs w:val="32"/>
          <w:highlight w:val="none"/>
          <w:lang w:val="en-US" w:eastAsia="zh-CN"/>
        </w:rPr>
        <w:t>第</w:t>
      </w:r>
      <w:r>
        <w:rPr>
          <w:rFonts w:hint="eastAsia" w:eastAsia="仿宋_GB2312" w:cs="Times New Roman"/>
          <w:b/>
          <w:bCs/>
          <w:color w:val="auto"/>
          <w:sz w:val="32"/>
          <w:szCs w:val="32"/>
          <w:highlight w:val="none"/>
          <w:lang w:val="en-US" w:eastAsia="zh-CN"/>
        </w:rPr>
        <w:t>二十九</w:t>
      </w:r>
      <w:r>
        <w:rPr>
          <w:rFonts w:hint="default" w:ascii="Times New Roman" w:hAnsi="Times New Roman" w:eastAsia="仿宋_GB2312" w:cs="Times New Roman"/>
          <w:b/>
          <w:bCs/>
          <w:color w:val="auto"/>
          <w:sz w:val="32"/>
          <w:szCs w:val="32"/>
          <w:highlight w:val="none"/>
          <w:lang w:val="en-US" w:eastAsia="zh-CN"/>
        </w:rPr>
        <w:t>条</w:t>
      </w:r>
      <w:r>
        <w:rPr>
          <w:rFonts w:hint="default" w:ascii="Times New Roman" w:hAnsi="Times New Roman" w:eastAsia="仿宋_GB2312" w:cs="Times New Roman"/>
          <w:color w:val="auto"/>
          <w:sz w:val="32"/>
          <w:szCs w:val="32"/>
          <w:highlight w:val="none"/>
          <w:lang w:val="en-US" w:eastAsia="zh-CN"/>
        </w:rPr>
        <w:t xml:space="preserve">  对</w:t>
      </w:r>
      <w:r>
        <w:rPr>
          <w:rFonts w:hint="default" w:ascii="Times New Roman" w:hAnsi="Times New Roman" w:eastAsia="仿宋_GB2312" w:cs="Times New Roman"/>
          <w:color w:val="auto"/>
          <w:sz w:val="32"/>
          <w:szCs w:val="32"/>
          <w:highlight w:val="none"/>
          <w:lang w:eastAsia="zh-CN"/>
        </w:rPr>
        <w:t>清单编制企业的处罚，由工程建设科牵头，召集设计、清单编制、施工、监理、跟踪审计、工程监管科、综合计划科，并提出处理意见，经项目分管领导批准后，工程建设科报主任办公会研究，工程监管科落实处罚。</w:t>
      </w:r>
    </w:p>
    <w:p w14:paraId="4DDC8025">
      <w:pPr>
        <w:keepNext w:val="0"/>
        <w:keepLines w:val="0"/>
        <w:pageBreakBefore w:val="0"/>
        <w:kinsoku/>
        <w:wordWrap/>
        <w:overflowPunct/>
        <w:topLinePunct w:val="0"/>
        <w:autoSpaceDE/>
        <w:autoSpaceDN/>
        <w:bidi w:val="0"/>
        <w:adjustRightInd/>
        <w:snapToGrid w:val="0"/>
        <w:spacing w:line="400" w:lineRule="exact"/>
        <w:ind w:left="0" w:leftChars="0" w:firstLine="643"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b/>
          <w:bCs/>
          <w:color w:val="auto"/>
          <w:sz w:val="32"/>
          <w:szCs w:val="32"/>
          <w:highlight w:val="none"/>
          <w:lang w:val="en-US" w:eastAsia="zh-CN"/>
        </w:rPr>
        <w:t>第三十条</w:t>
      </w:r>
      <w:r>
        <w:rPr>
          <w:rFonts w:hint="default" w:ascii="Times New Roman" w:hAnsi="Times New Roman" w:eastAsia="仿宋_GB2312" w:cs="Times New Roman"/>
          <w:color w:val="auto"/>
          <w:sz w:val="32"/>
          <w:szCs w:val="32"/>
          <w:highlight w:val="none"/>
          <w:lang w:val="en-US" w:eastAsia="zh-CN"/>
        </w:rPr>
        <w:t xml:space="preserve">  </w:t>
      </w:r>
      <w:r>
        <w:rPr>
          <w:rFonts w:hint="default" w:ascii="Times New Roman" w:hAnsi="Times New Roman" w:eastAsia="仿宋_GB2312" w:cs="Times New Roman"/>
          <w:color w:val="auto"/>
          <w:sz w:val="32"/>
          <w:szCs w:val="32"/>
          <w:highlight w:val="none"/>
        </w:rPr>
        <w:t>考核由综合计划科负责</w:t>
      </w:r>
      <w:r>
        <w:rPr>
          <w:rFonts w:hint="default" w:ascii="Times New Roman" w:hAnsi="Times New Roman" w:eastAsia="仿宋_GB2312" w:cs="Times New Roman"/>
          <w:color w:val="auto"/>
          <w:sz w:val="32"/>
          <w:szCs w:val="32"/>
          <w:highlight w:val="none"/>
          <w:lang w:eastAsia="zh-CN"/>
        </w:rPr>
        <w:t>实施</w:t>
      </w:r>
      <w:r>
        <w:rPr>
          <w:rFonts w:hint="default" w:ascii="Times New Roman" w:hAnsi="Times New Roman" w:eastAsia="仿宋_GB2312" w:cs="Times New Roman"/>
          <w:color w:val="auto"/>
          <w:sz w:val="32"/>
          <w:szCs w:val="32"/>
          <w:highlight w:val="none"/>
        </w:rPr>
        <w:t>，工程建设相关科室配合</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b w:val="0"/>
          <w:bCs w:val="0"/>
          <w:color w:val="auto"/>
          <w:sz w:val="32"/>
          <w:szCs w:val="32"/>
          <w:highlight w:val="none"/>
        </w:rPr>
        <w:t>考核结果</w:t>
      </w:r>
      <w:r>
        <w:rPr>
          <w:rFonts w:hint="default" w:ascii="Times New Roman" w:hAnsi="Times New Roman" w:eastAsia="仿宋_GB2312" w:cs="Times New Roman"/>
          <w:b w:val="0"/>
          <w:bCs w:val="0"/>
          <w:color w:val="auto"/>
          <w:sz w:val="32"/>
          <w:szCs w:val="32"/>
          <w:highlight w:val="none"/>
          <w:lang w:eastAsia="zh-CN"/>
        </w:rPr>
        <w:t>经</w:t>
      </w:r>
      <w:r>
        <w:rPr>
          <w:rFonts w:hint="default" w:ascii="Times New Roman" w:hAnsi="Times New Roman" w:eastAsia="仿宋_GB2312" w:cs="Times New Roman"/>
          <w:b w:val="0"/>
          <w:bCs w:val="0"/>
          <w:color w:val="auto"/>
          <w:sz w:val="32"/>
          <w:szCs w:val="32"/>
          <w:highlight w:val="none"/>
        </w:rPr>
        <w:t>综合计划科分管领导</w:t>
      </w:r>
      <w:r>
        <w:rPr>
          <w:rFonts w:hint="default" w:ascii="Times New Roman" w:hAnsi="Times New Roman" w:eastAsia="仿宋_GB2312" w:cs="Times New Roman"/>
          <w:b w:val="0"/>
          <w:bCs w:val="0"/>
          <w:color w:val="auto"/>
          <w:sz w:val="32"/>
          <w:szCs w:val="32"/>
          <w:highlight w:val="none"/>
          <w:lang w:eastAsia="zh-CN"/>
        </w:rPr>
        <w:t>审核</w:t>
      </w:r>
      <w:r>
        <w:rPr>
          <w:rFonts w:hint="default" w:ascii="Times New Roman" w:hAnsi="Times New Roman" w:eastAsia="仿宋_GB2312" w:cs="Times New Roman"/>
          <w:b w:val="0"/>
          <w:bCs w:val="0"/>
          <w:color w:val="auto"/>
          <w:sz w:val="32"/>
          <w:szCs w:val="32"/>
          <w:highlight w:val="none"/>
        </w:rPr>
        <w:t>，</w:t>
      </w:r>
      <w:r>
        <w:rPr>
          <w:rFonts w:hint="default" w:ascii="Times New Roman" w:hAnsi="Times New Roman" w:eastAsia="仿宋_GB2312" w:cs="Times New Roman"/>
          <w:color w:val="auto"/>
          <w:sz w:val="32"/>
          <w:szCs w:val="32"/>
          <w:highlight w:val="none"/>
        </w:rPr>
        <w:t>综合计划科</w:t>
      </w:r>
      <w:r>
        <w:rPr>
          <w:rFonts w:hint="default" w:ascii="Times New Roman" w:hAnsi="Times New Roman" w:eastAsia="仿宋_GB2312" w:cs="Times New Roman"/>
          <w:b w:val="0"/>
          <w:bCs w:val="0"/>
          <w:color w:val="auto"/>
          <w:sz w:val="32"/>
          <w:szCs w:val="32"/>
          <w:highlight w:val="none"/>
          <w:lang w:eastAsia="zh-CN"/>
        </w:rPr>
        <w:t>报</w:t>
      </w:r>
      <w:r>
        <w:rPr>
          <w:rFonts w:hint="default" w:ascii="Times New Roman" w:hAnsi="Times New Roman" w:eastAsia="仿宋_GB2312" w:cs="Times New Roman"/>
          <w:b w:val="0"/>
          <w:bCs w:val="0"/>
          <w:color w:val="auto"/>
          <w:sz w:val="32"/>
          <w:szCs w:val="32"/>
          <w:highlight w:val="none"/>
        </w:rPr>
        <w:t>主任办公会</w:t>
      </w:r>
      <w:r>
        <w:rPr>
          <w:rFonts w:hint="default" w:ascii="Times New Roman" w:hAnsi="Times New Roman" w:eastAsia="仿宋_GB2312" w:cs="Times New Roman"/>
          <w:b w:val="0"/>
          <w:bCs w:val="0"/>
          <w:color w:val="auto"/>
          <w:sz w:val="32"/>
          <w:szCs w:val="32"/>
          <w:highlight w:val="none"/>
          <w:lang w:eastAsia="zh-CN"/>
        </w:rPr>
        <w:t>研究，</w:t>
      </w:r>
      <w:r>
        <w:rPr>
          <w:rFonts w:hint="default" w:ascii="Times New Roman" w:hAnsi="Times New Roman" w:eastAsia="仿宋_GB2312" w:cs="Times New Roman"/>
          <w:color w:val="auto"/>
          <w:sz w:val="32"/>
          <w:szCs w:val="32"/>
          <w:highlight w:val="none"/>
          <w:lang w:eastAsia="zh-CN"/>
        </w:rPr>
        <w:t>工程监管科</w:t>
      </w:r>
      <w:r>
        <w:rPr>
          <w:rFonts w:hint="default" w:ascii="Times New Roman" w:hAnsi="Times New Roman" w:eastAsia="仿宋_GB2312" w:cs="Times New Roman"/>
          <w:b w:val="0"/>
          <w:bCs w:val="0"/>
          <w:color w:val="auto"/>
          <w:sz w:val="32"/>
          <w:szCs w:val="32"/>
          <w:highlight w:val="none"/>
          <w:lang w:eastAsia="zh-CN"/>
        </w:rPr>
        <w:t>落实</w:t>
      </w:r>
      <w:r>
        <w:rPr>
          <w:rFonts w:hint="default" w:ascii="Times New Roman" w:hAnsi="Times New Roman" w:eastAsia="仿宋_GB2312" w:cs="Times New Roman"/>
          <w:color w:val="auto"/>
          <w:sz w:val="32"/>
          <w:szCs w:val="32"/>
          <w:highlight w:val="none"/>
          <w:lang w:eastAsia="zh-CN"/>
        </w:rPr>
        <w:t>处罚</w:t>
      </w:r>
      <w:r>
        <w:rPr>
          <w:rFonts w:hint="default" w:ascii="Times New Roman" w:hAnsi="Times New Roman" w:eastAsia="仿宋_GB2312" w:cs="Times New Roman"/>
          <w:b w:val="0"/>
          <w:bCs w:val="0"/>
          <w:color w:val="auto"/>
          <w:sz w:val="32"/>
          <w:szCs w:val="32"/>
          <w:highlight w:val="none"/>
          <w:lang w:eastAsia="zh-CN"/>
        </w:rPr>
        <w:t>。</w:t>
      </w:r>
    </w:p>
    <w:p w14:paraId="1E3C456B">
      <w:pPr>
        <w:keepNext w:val="0"/>
        <w:keepLines w:val="0"/>
        <w:pageBreakBefore w:val="0"/>
        <w:kinsoku/>
        <w:wordWrap/>
        <w:overflowPunct/>
        <w:topLinePunct w:val="0"/>
        <w:autoSpaceDE/>
        <w:autoSpaceDN/>
        <w:bidi w:val="0"/>
        <w:adjustRightInd/>
        <w:spacing w:line="400" w:lineRule="exact"/>
        <w:ind w:firstLine="645"/>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b/>
          <w:bCs/>
          <w:color w:val="auto"/>
          <w:sz w:val="32"/>
          <w:szCs w:val="32"/>
          <w:highlight w:val="none"/>
        </w:rPr>
        <w:t>第</w:t>
      </w:r>
      <w:r>
        <w:rPr>
          <w:rFonts w:hint="default" w:ascii="Times New Roman" w:hAnsi="Times New Roman" w:eastAsia="仿宋_GB2312" w:cs="Times New Roman"/>
          <w:b/>
          <w:bCs/>
          <w:color w:val="auto"/>
          <w:sz w:val="32"/>
          <w:szCs w:val="32"/>
          <w:highlight w:val="none"/>
          <w:lang w:eastAsia="zh-CN"/>
        </w:rPr>
        <w:t>三十</w:t>
      </w:r>
      <w:r>
        <w:rPr>
          <w:rFonts w:hint="eastAsia" w:eastAsia="仿宋_GB2312" w:cs="Times New Roman"/>
          <w:b/>
          <w:bCs/>
          <w:color w:val="auto"/>
          <w:sz w:val="32"/>
          <w:szCs w:val="32"/>
          <w:highlight w:val="none"/>
          <w:lang w:val="en-US" w:eastAsia="zh-CN"/>
        </w:rPr>
        <w:t>一</w:t>
      </w:r>
      <w:r>
        <w:rPr>
          <w:rFonts w:hint="default" w:ascii="Times New Roman" w:hAnsi="Times New Roman" w:eastAsia="仿宋_GB2312" w:cs="Times New Roman"/>
          <w:b/>
          <w:bCs/>
          <w:color w:val="auto"/>
          <w:sz w:val="32"/>
          <w:szCs w:val="32"/>
          <w:highlight w:val="none"/>
        </w:rPr>
        <w:t>条</w:t>
      </w:r>
      <w:r>
        <w:rPr>
          <w:rFonts w:hint="default" w:ascii="Times New Roman" w:hAnsi="Times New Roman" w:eastAsia="仿宋_GB2312" w:cs="Times New Roman"/>
          <w:color w:val="auto"/>
          <w:sz w:val="32"/>
          <w:szCs w:val="32"/>
          <w:highlight w:val="none"/>
        </w:rPr>
        <w:t xml:space="preserve"> </w:t>
      </w:r>
      <w:r>
        <w:rPr>
          <w:rFonts w:hint="default" w:ascii="Times New Roman" w:hAnsi="Times New Roman" w:eastAsia="仿宋_GB2312" w:cs="Times New Roman"/>
          <w:color w:val="auto"/>
          <w:sz w:val="32"/>
          <w:szCs w:val="32"/>
          <w:highlight w:val="none"/>
          <w:lang w:val="en-US" w:eastAsia="zh-CN"/>
        </w:rPr>
        <w:t xml:space="preserve"> 暂停业务范围包括清单编制、跟踪审计和结算审核等，暂停时间自</w:t>
      </w:r>
      <w:r>
        <w:rPr>
          <w:rFonts w:hint="default" w:ascii="Times New Roman" w:hAnsi="Times New Roman" w:eastAsia="仿宋_GB2312" w:cs="Times New Roman"/>
          <w:b w:val="0"/>
          <w:bCs w:val="0"/>
          <w:color w:val="auto"/>
          <w:sz w:val="32"/>
          <w:szCs w:val="32"/>
          <w:highlight w:val="none"/>
          <w:lang w:val="en-US" w:eastAsia="zh-CN"/>
        </w:rPr>
        <w:t>主任办公会研究通过之日起计算。</w:t>
      </w:r>
    </w:p>
    <w:p w14:paraId="2A947C18">
      <w:pPr>
        <w:keepNext w:val="0"/>
        <w:keepLines w:val="0"/>
        <w:pageBreakBefore w:val="0"/>
        <w:kinsoku/>
        <w:wordWrap/>
        <w:overflowPunct/>
        <w:topLinePunct w:val="0"/>
        <w:autoSpaceDE/>
        <w:autoSpaceDN/>
        <w:bidi w:val="0"/>
        <w:adjustRightInd/>
        <w:spacing w:line="400" w:lineRule="exact"/>
        <w:ind w:firstLine="645"/>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b/>
          <w:bCs/>
          <w:color w:val="auto"/>
          <w:sz w:val="32"/>
          <w:szCs w:val="32"/>
          <w:highlight w:val="none"/>
        </w:rPr>
        <w:t>第</w:t>
      </w:r>
      <w:r>
        <w:rPr>
          <w:rFonts w:hint="default" w:ascii="Times New Roman" w:hAnsi="Times New Roman" w:eastAsia="仿宋_GB2312" w:cs="Times New Roman"/>
          <w:b/>
          <w:bCs/>
          <w:color w:val="auto"/>
          <w:sz w:val="32"/>
          <w:szCs w:val="32"/>
          <w:highlight w:val="none"/>
          <w:lang w:eastAsia="zh-CN"/>
        </w:rPr>
        <w:t>三十</w:t>
      </w:r>
      <w:r>
        <w:rPr>
          <w:rFonts w:hint="eastAsia" w:eastAsia="仿宋_GB2312" w:cs="Times New Roman"/>
          <w:b/>
          <w:bCs/>
          <w:color w:val="auto"/>
          <w:sz w:val="32"/>
          <w:szCs w:val="32"/>
          <w:highlight w:val="none"/>
          <w:lang w:val="en-US" w:eastAsia="zh-CN"/>
        </w:rPr>
        <w:t>二</w:t>
      </w:r>
      <w:r>
        <w:rPr>
          <w:rFonts w:hint="default" w:ascii="Times New Roman" w:hAnsi="Times New Roman" w:eastAsia="仿宋_GB2312" w:cs="Times New Roman"/>
          <w:b/>
          <w:bCs/>
          <w:color w:val="auto"/>
          <w:sz w:val="32"/>
          <w:szCs w:val="32"/>
          <w:highlight w:val="none"/>
        </w:rPr>
        <w:t>条</w:t>
      </w:r>
      <w:r>
        <w:rPr>
          <w:rFonts w:hint="default" w:ascii="Times New Roman" w:hAnsi="Times New Roman" w:eastAsia="仿宋_GB2312" w:cs="Times New Roman"/>
          <w:color w:val="auto"/>
          <w:sz w:val="32"/>
          <w:szCs w:val="32"/>
          <w:highlight w:val="none"/>
        </w:rPr>
        <w:t xml:space="preserve"> </w:t>
      </w:r>
      <w:r>
        <w:rPr>
          <w:rFonts w:hint="default" w:ascii="Times New Roman" w:hAnsi="Times New Roman" w:eastAsia="仿宋_GB2312" w:cs="Times New Roman"/>
          <w:color w:val="auto"/>
          <w:sz w:val="32"/>
          <w:szCs w:val="32"/>
          <w:highlight w:val="none"/>
          <w:lang w:val="en-US" w:eastAsia="zh-CN"/>
        </w:rPr>
        <w:t xml:space="preserve"> </w:t>
      </w:r>
      <w:r>
        <w:rPr>
          <w:rFonts w:hint="default" w:ascii="Times New Roman" w:hAnsi="Times New Roman" w:eastAsia="仿宋_GB2312" w:cs="Times New Roman"/>
          <w:color w:val="auto"/>
          <w:sz w:val="32"/>
          <w:szCs w:val="32"/>
          <w:highlight w:val="none"/>
        </w:rPr>
        <w:t>本办法自</w:t>
      </w:r>
      <w:r>
        <w:rPr>
          <w:rFonts w:hint="default" w:ascii="Times New Roman" w:hAnsi="Times New Roman" w:eastAsia="仿宋_GB2312" w:cs="Times New Roman"/>
          <w:color w:val="auto"/>
          <w:sz w:val="32"/>
          <w:szCs w:val="32"/>
          <w:highlight w:val="none"/>
          <w:lang w:val="en-US" w:eastAsia="zh-CN"/>
        </w:rPr>
        <w:t>2022年</w:t>
      </w:r>
      <w:r>
        <w:rPr>
          <w:rFonts w:hint="eastAsia" w:ascii="Times New Roman" w:hAnsi="Times New Roman" w:eastAsia="仿宋_GB2312" w:cs="Times New Roman"/>
          <w:color w:val="auto"/>
          <w:sz w:val="32"/>
          <w:szCs w:val="32"/>
          <w:highlight w:val="none"/>
          <w:lang w:val="en-US" w:eastAsia="zh-CN"/>
        </w:rPr>
        <w:t>9</w:t>
      </w:r>
      <w:r>
        <w:rPr>
          <w:rFonts w:hint="default" w:ascii="Times New Roman" w:hAnsi="Times New Roman" w:eastAsia="仿宋_GB2312" w:cs="Times New Roman"/>
          <w:color w:val="auto"/>
          <w:sz w:val="32"/>
          <w:szCs w:val="32"/>
          <w:highlight w:val="none"/>
          <w:lang w:val="en-US" w:eastAsia="zh-CN"/>
        </w:rPr>
        <w:t>月</w:t>
      </w:r>
      <w:r>
        <w:rPr>
          <w:rFonts w:hint="eastAsia" w:ascii="Times New Roman" w:hAnsi="Times New Roman" w:eastAsia="仿宋_GB2312" w:cs="Times New Roman"/>
          <w:color w:val="auto"/>
          <w:sz w:val="32"/>
          <w:szCs w:val="32"/>
          <w:highlight w:val="none"/>
          <w:lang w:val="en-US" w:eastAsia="zh-CN"/>
        </w:rPr>
        <w:t>1</w:t>
      </w:r>
      <w:r>
        <w:rPr>
          <w:rFonts w:hint="default" w:ascii="Times New Roman" w:hAnsi="Times New Roman" w:eastAsia="仿宋_GB2312" w:cs="Times New Roman"/>
          <w:color w:val="auto"/>
          <w:sz w:val="32"/>
          <w:szCs w:val="32"/>
          <w:highlight w:val="none"/>
          <w:lang w:val="en-US" w:eastAsia="zh-CN"/>
        </w:rPr>
        <w:t>日</w:t>
      </w:r>
      <w:r>
        <w:rPr>
          <w:rFonts w:hint="default" w:ascii="Times New Roman" w:hAnsi="Times New Roman" w:eastAsia="仿宋_GB2312" w:cs="Times New Roman"/>
          <w:color w:val="auto"/>
          <w:sz w:val="32"/>
          <w:szCs w:val="32"/>
          <w:highlight w:val="none"/>
        </w:rPr>
        <w:t>起施行，处属各中心可参照执行</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z w:val="32"/>
          <w:szCs w:val="32"/>
          <w:highlight w:val="none"/>
        </w:rPr>
        <w:t>《工程造价咨询服务管理办法</w:t>
      </w:r>
      <w:r>
        <w:rPr>
          <w:rFonts w:hint="default" w:ascii="Times New Roman" w:hAnsi="Times New Roman" w:eastAsia="仿宋_GB2312" w:cs="Times New Roman"/>
          <w:color w:val="auto"/>
          <w:sz w:val="32"/>
          <w:szCs w:val="32"/>
          <w:highlight w:val="none"/>
          <w:lang w:eastAsia="zh-CN"/>
        </w:rPr>
        <w:t>（试行）</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val="en-US" w:eastAsia="zh-CN"/>
        </w:rPr>
        <w:t>(</w:t>
      </w:r>
      <w:r>
        <w:rPr>
          <w:rFonts w:hint="default" w:ascii="Times New Roman" w:hAnsi="Times New Roman" w:eastAsia="仿宋_GB2312" w:cs="Times New Roman"/>
          <w:color w:val="auto"/>
          <w:sz w:val="32"/>
          <w:szCs w:val="32"/>
          <w:highlight w:val="none"/>
        </w:rPr>
        <w:t>滁重〔</w:t>
      </w:r>
      <w:r>
        <w:rPr>
          <w:rFonts w:hint="default" w:ascii="Times New Roman" w:hAnsi="Times New Roman" w:eastAsia="仿宋_GB2312" w:cs="Times New Roman"/>
          <w:color w:val="auto"/>
          <w:sz w:val="32"/>
          <w:szCs w:val="32"/>
          <w:highlight w:val="none"/>
          <w:lang w:eastAsia="zh-CN"/>
        </w:rPr>
        <w:t>20</w:t>
      </w:r>
      <w:r>
        <w:rPr>
          <w:rFonts w:hint="default" w:ascii="Times New Roman" w:hAnsi="Times New Roman" w:eastAsia="仿宋_GB2312" w:cs="Times New Roman"/>
          <w:color w:val="auto"/>
          <w:sz w:val="32"/>
          <w:szCs w:val="32"/>
          <w:highlight w:val="none"/>
          <w:lang w:val="en-US" w:eastAsia="zh-CN"/>
        </w:rPr>
        <w:t>20</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 w:cs="Times New Roman"/>
          <w:color w:val="auto"/>
          <w:sz w:val="32"/>
          <w:szCs w:val="32"/>
          <w:highlight w:val="none"/>
          <w:shd w:val="clear" w:color="auto" w:fill="auto"/>
          <w:lang w:val="en-US" w:eastAsia="zh-CN"/>
        </w:rPr>
        <w:t>61</w:t>
      </w:r>
      <w:r>
        <w:rPr>
          <w:rFonts w:hint="default" w:ascii="Times New Roman" w:hAnsi="Times New Roman" w:eastAsia="仿宋_GB2312" w:cs="Times New Roman"/>
          <w:color w:val="auto"/>
          <w:sz w:val="32"/>
          <w:szCs w:val="32"/>
          <w:highlight w:val="none"/>
        </w:rPr>
        <w:t>号</w:t>
      </w:r>
      <w:r>
        <w:rPr>
          <w:rFonts w:hint="default" w:ascii="Times New Roman" w:hAnsi="Times New Roman" w:eastAsia="仿宋_GB2312" w:cs="Times New Roman"/>
          <w:color w:val="auto"/>
          <w:sz w:val="32"/>
          <w:szCs w:val="32"/>
          <w:highlight w:val="none"/>
          <w:lang w:val="en-US" w:eastAsia="zh-CN"/>
        </w:rPr>
        <w:t>)、</w:t>
      </w:r>
      <w:r>
        <w:rPr>
          <w:rFonts w:hint="default" w:ascii="Times New Roman" w:hAnsi="Times New Roman" w:eastAsia="仿宋_GB2312" w:cs="Times New Roman"/>
          <w:color w:val="auto"/>
          <w:sz w:val="32"/>
          <w:szCs w:val="32"/>
          <w:highlight w:val="none"/>
        </w:rPr>
        <w:t>《工程</w:t>
      </w:r>
      <w:r>
        <w:rPr>
          <w:rFonts w:hint="default" w:ascii="Times New Roman" w:hAnsi="Times New Roman" w:eastAsia="仿宋_GB2312" w:cs="Times New Roman"/>
          <w:color w:val="auto"/>
          <w:sz w:val="32"/>
          <w:szCs w:val="32"/>
          <w:highlight w:val="none"/>
          <w:lang w:eastAsia="zh-CN"/>
        </w:rPr>
        <w:t>量清单及最高投标限价编制管理办法</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val="en-US" w:eastAsia="zh-CN"/>
        </w:rPr>
        <w:t>(</w:t>
      </w:r>
      <w:r>
        <w:rPr>
          <w:rFonts w:hint="default" w:ascii="Times New Roman" w:hAnsi="Times New Roman" w:eastAsia="仿宋_GB2312" w:cs="Times New Roman"/>
          <w:color w:val="auto"/>
          <w:sz w:val="32"/>
          <w:szCs w:val="32"/>
          <w:highlight w:val="none"/>
        </w:rPr>
        <w:t>滁重〔</w:t>
      </w:r>
      <w:r>
        <w:rPr>
          <w:rFonts w:hint="default" w:ascii="Times New Roman" w:hAnsi="Times New Roman" w:eastAsia="仿宋_GB2312" w:cs="Times New Roman"/>
          <w:color w:val="auto"/>
          <w:sz w:val="32"/>
          <w:szCs w:val="32"/>
          <w:highlight w:val="none"/>
          <w:lang w:eastAsia="zh-CN"/>
        </w:rPr>
        <w:t>20</w:t>
      </w:r>
      <w:r>
        <w:rPr>
          <w:rFonts w:hint="default" w:ascii="Times New Roman" w:hAnsi="Times New Roman" w:eastAsia="仿宋_GB2312" w:cs="Times New Roman"/>
          <w:color w:val="auto"/>
          <w:sz w:val="32"/>
          <w:szCs w:val="32"/>
          <w:highlight w:val="none"/>
          <w:lang w:val="en-US" w:eastAsia="zh-CN"/>
        </w:rPr>
        <w:t>19</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val="en-US" w:eastAsia="zh-CN"/>
        </w:rPr>
        <w:t>46</w:t>
      </w:r>
      <w:r>
        <w:rPr>
          <w:rFonts w:hint="default" w:ascii="Times New Roman" w:hAnsi="Times New Roman" w:eastAsia="仿宋_GB2312" w:cs="Times New Roman"/>
          <w:color w:val="auto"/>
          <w:sz w:val="32"/>
          <w:szCs w:val="32"/>
          <w:highlight w:val="none"/>
        </w:rPr>
        <w:t>号</w:t>
      </w:r>
      <w:r>
        <w:rPr>
          <w:rFonts w:hint="default" w:ascii="Times New Roman" w:hAnsi="Times New Roman" w:eastAsia="仿宋_GB2312" w:cs="Times New Roman"/>
          <w:color w:val="auto"/>
          <w:sz w:val="32"/>
          <w:szCs w:val="32"/>
          <w:highlight w:val="none"/>
          <w:lang w:val="en-US" w:eastAsia="zh-CN"/>
        </w:rPr>
        <w:t xml:space="preserve">) </w:t>
      </w:r>
      <w:r>
        <w:rPr>
          <w:rFonts w:hint="default" w:ascii="Times New Roman" w:hAnsi="Times New Roman" w:eastAsia="仿宋_GB2312" w:cs="Times New Roman"/>
          <w:color w:val="auto"/>
          <w:sz w:val="32"/>
          <w:szCs w:val="32"/>
          <w:highlight w:val="none"/>
        </w:rPr>
        <w:t>废止。</w:t>
      </w:r>
    </w:p>
    <w:p w14:paraId="60AF424E">
      <w:pPr>
        <w:keepNext w:val="0"/>
        <w:keepLines w:val="0"/>
        <w:pageBreakBefore w:val="0"/>
        <w:kinsoku/>
        <w:wordWrap/>
        <w:overflowPunct/>
        <w:topLinePunct w:val="0"/>
        <w:autoSpaceDE/>
        <w:autoSpaceDN/>
        <w:bidi w:val="0"/>
        <w:adjustRightInd/>
        <w:spacing w:line="400" w:lineRule="exact"/>
        <w:textAlignment w:val="auto"/>
        <w:rPr>
          <w:rFonts w:hint="default" w:ascii="Times New Roman" w:hAnsi="Times New Roman" w:cs="Times New Roman"/>
          <w:color w:val="auto"/>
          <w:sz w:val="32"/>
          <w:szCs w:val="32"/>
          <w:highlight w:val="none"/>
        </w:rPr>
      </w:pPr>
    </w:p>
    <w:p w14:paraId="2C957A05">
      <w:pPr>
        <w:keepNext w:val="0"/>
        <w:keepLines w:val="0"/>
        <w:pageBreakBefore w:val="0"/>
        <w:widowControl w:val="0"/>
        <w:kinsoku/>
        <w:wordWrap/>
        <w:overflowPunct/>
        <w:topLinePunct w:val="0"/>
        <w:autoSpaceDE/>
        <w:autoSpaceDN/>
        <w:bidi w:val="0"/>
        <w:adjustRightInd/>
        <w:snapToGrid/>
        <w:spacing w:line="400" w:lineRule="exact"/>
        <w:ind w:left="1700" w:leftChars="200" w:hanging="1280" w:hangingChars="400"/>
        <w:jc w:val="both"/>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附件</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z w:val="32"/>
          <w:szCs w:val="32"/>
          <w:highlight w:val="none"/>
          <w:lang w:val="en-US" w:eastAsia="zh-CN"/>
        </w:rPr>
        <w:t>1.</w:t>
      </w:r>
      <w:r>
        <w:rPr>
          <w:rFonts w:hint="default" w:ascii="Times New Roman" w:hAnsi="Times New Roman" w:eastAsia="仿宋_GB2312" w:cs="Times New Roman"/>
          <w:color w:val="auto"/>
          <w:sz w:val="32"/>
          <w:szCs w:val="32"/>
          <w:highlight w:val="none"/>
        </w:rPr>
        <w:t>《滁州市重点工程建设管理处工程量清单</w:t>
      </w:r>
      <w:r>
        <w:rPr>
          <w:rFonts w:hint="default" w:ascii="Times New Roman" w:hAnsi="Times New Roman" w:eastAsia="仿宋_GB2312" w:cs="Times New Roman"/>
          <w:color w:val="auto"/>
          <w:sz w:val="32"/>
          <w:szCs w:val="32"/>
          <w:highlight w:val="none"/>
          <w:lang w:eastAsia="zh-CN"/>
        </w:rPr>
        <w:t>及</w:t>
      </w:r>
      <w:r>
        <w:rPr>
          <w:rFonts w:hint="default" w:ascii="Times New Roman" w:hAnsi="Times New Roman" w:eastAsia="仿宋_GB2312" w:cs="Times New Roman"/>
          <w:color w:val="auto"/>
          <w:sz w:val="32"/>
          <w:szCs w:val="32"/>
          <w:highlight w:val="none"/>
        </w:rPr>
        <w:t>最高投标限价编制质量考核表》</w:t>
      </w:r>
    </w:p>
    <w:p w14:paraId="32F88BDE">
      <w:pPr>
        <w:keepNext w:val="0"/>
        <w:keepLines w:val="0"/>
        <w:pageBreakBefore w:val="0"/>
        <w:widowControl w:val="0"/>
        <w:kinsoku/>
        <w:wordWrap/>
        <w:overflowPunct/>
        <w:topLinePunct w:val="0"/>
        <w:autoSpaceDE/>
        <w:autoSpaceDN/>
        <w:bidi w:val="0"/>
        <w:adjustRightInd/>
        <w:snapToGrid/>
        <w:spacing w:line="400" w:lineRule="exact"/>
        <w:ind w:left="1370" w:leftChars="500" w:hanging="320" w:hangingChars="100"/>
        <w:jc w:val="both"/>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lang w:val="en-US" w:eastAsia="zh-CN"/>
        </w:rPr>
        <w:t>2.</w:t>
      </w:r>
      <w:r>
        <w:rPr>
          <w:rFonts w:hint="default" w:ascii="Times New Roman" w:hAnsi="Times New Roman" w:eastAsia="仿宋_GB2312" w:cs="Times New Roman"/>
          <w:color w:val="auto"/>
          <w:sz w:val="32"/>
          <w:szCs w:val="32"/>
          <w:highlight w:val="none"/>
        </w:rPr>
        <w:t>《滁州市重点工程建设管理处</w:t>
      </w:r>
      <w:r>
        <w:rPr>
          <w:rFonts w:hint="default" w:ascii="Times New Roman" w:hAnsi="Times New Roman" w:eastAsia="仿宋_GB2312" w:cs="Times New Roman"/>
          <w:color w:val="auto"/>
          <w:sz w:val="32"/>
          <w:szCs w:val="32"/>
          <w:highlight w:val="none"/>
          <w:lang w:eastAsia="zh-CN"/>
        </w:rPr>
        <w:t>跟踪</w:t>
      </w:r>
      <w:r>
        <w:rPr>
          <w:rStyle w:val="155"/>
          <w:rFonts w:hint="default" w:ascii="Times New Roman" w:hAnsi="Times New Roman" w:eastAsia="仿宋_GB2312" w:cs="Times New Roman"/>
          <w:b w:val="0"/>
          <w:color w:val="auto"/>
          <w:sz w:val="32"/>
          <w:szCs w:val="32"/>
          <w:highlight w:val="none"/>
          <w:lang w:bidi="ar"/>
        </w:rPr>
        <w:t>审计服务质量日常考核表</w:t>
      </w:r>
      <w:r>
        <w:rPr>
          <w:rFonts w:hint="default" w:ascii="Times New Roman" w:hAnsi="Times New Roman" w:eastAsia="仿宋_GB2312" w:cs="Times New Roman"/>
          <w:color w:val="auto"/>
          <w:sz w:val="32"/>
          <w:szCs w:val="32"/>
          <w:highlight w:val="none"/>
        </w:rPr>
        <w:t>》</w:t>
      </w:r>
    </w:p>
    <w:tbl>
      <w:tblPr>
        <w:tblStyle w:val="46"/>
        <w:tblpPr w:leftFromText="180" w:rightFromText="180" w:vertAnchor="text" w:horzAnchor="page" w:tblpXSpec="center" w:tblpY="1462"/>
        <w:tblOverlap w:val="never"/>
        <w:tblW w:w="0" w:type="auto"/>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9354"/>
      </w:tblGrid>
      <w:tr w14:paraId="61D5DAC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9354" w:type="dxa"/>
            <w:tcBorders>
              <w:top w:val="single" w:color="auto" w:sz="12" w:space="0"/>
              <w:bottom w:val="single" w:color="auto" w:sz="4" w:space="0"/>
              <w:tl2br w:val="nil"/>
              <w:tr2bl w:val="nil"/>
            </w:tcBorders>
            <w:noWrap w:val="0"/>
            <w:vAlign w:val="top"/>
          </w:tcPr>
          <w:p w14:paraId="7C672631">
            <w:pPr>
              <w:keepNext w:val="0"/>
              <w:keepLines w:val="0"/>
              <w:pageBreakBefore w:val="0"/>
              <w:widowControl w:val="0"/>
              <w:kinsoku/>
              <w:wordWrap/>
              <w:overflowPunct/>
              <w:topLinePunct w:val="0"/>
              <w:autoSpaceDE/>
              <w:autoSpaceDN/>
              <w:bidi w:val="0"/>
              <w:adjustRightInd/>
              <w:snapToGrid/>
              <w:spacing w:line="400" w:lineRule="exact"/>
              <w:ind w:left="0" w:leftChars="0"/>
              <w:jc w:val="both"/>
              <w:textAlignment w:val="auto"/>
              <w:rPr>
                <w:rFonts w:hint="default" w:ascii="Times New Roman" w:hAnsi="Times New Roman" w:eastAsia="仿宋_GB2312" w:cs="Times New Roman"/>
                <w:b w:val="0"/>
                <w:bCs w:val="0"/>
                <w:color w:val="auto"/>
                <w:sz w:val="32"/>
                <w:szCs w:val="32"/>
                <w:highlight w:val="none"/>
                <w:vertAlign w:val="baseline"/>
                <w:lang w:val="en-US" w:eastAsia="zh-CN"/>
              </w:rPr>
            </w:pPr>
            <w:r>
              <w:rPr>
                <w:rFonts w:hint="default" w:ascii="Times New Roman" w:hAnsi="Times New Roman" w:eastAsia="仿宋_GB2312" w:cs="Times New Roman"/>
                <w:color w:val="auto"/>
                <w:kern w:val="0"/>
                <w:sz w:val="32"/>
                <w:szCs w:val="32"/>
                <w:highlight w:val="none"/>
              </w:rPr>
              <w:t>抄送：市审计局，市住建局，市财政局，市公管局</w:t>
            </w:r>
          </w:p>
        </w:tc>
      </w:tr>
      <w:tr w14:paraId="68E654E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354" w:type="dxa"/>
            <w:tcBorders>
              <w:top w:val="single" w:color="auto" w:sz="4" w:space="0"/>
              <w:bottom w:val="single" w:color="auto" w:sz="12" w:space="0"/>
              <w:tl2br w:val="nil"/>
              <w:tr2bl w:val="nil"/>
            </w:tcBorders>
            <w:noWrap w:val="0"/>
            <w:vAlign w:val="top"/>
          </w:tcPr>
          <w:p w14:paraId="5838EF69">
            <w:pPr>
              <w:pStyle w:val="27"/>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both"/>
              <w:textAlignment w:val="auto"/>
              <w:rPr>
                <w:rFonts w:hint="default" w:ascii="Times New Roman" w:hAnsi="Times New Roman" w:eastAsia="仿宋_GB2312" w:cs="Times New Roman"/>
                <w:b w:val="0"/>
                <w:bCs w:val="0"/>
                <w:color w:val="auto"/>
                <w:sz w:val="32"/>
                <w:szCs w:val="32"/>
                <w:highlight w:val="none"/>
                <w:vertAlign w:val="baseline"/>
                <w:lang w:val="en-US" w:eastAsia="zh-CN"/>
              </w:rPr>
            </w:pPr>
            <w:r>
              <w:rPr>
                <w:rFonts w:hint="default" w:ascii="Times New Roman" w:hAnsi="Times New Roman" w:eastAsia="仿宋_GB2312" w:cs="Times New Roman"/>
                <w:b w:val="0"/>
                <w:bCs w:val="0"/>
                <w:color w:val="auto"/>
                <w:sz w:val="32"/>
                <w:szCs w:val="32"/>
                <w:highlight w:val="none"/>
                <w:lang w:val="en-US" w:eastAsia="zh-CN"/>
              </w:rPr>
              <w:t>滁州市重点工程建设管理处办公室        2022年9月5日印发</w:t>
            </w:r>
          </w:p>
        </w:tc>
      </w:tr>
    </w:tbl>
    <w:p w14:paraId="61EE92E7">
      <w:pPr>
        <w:pStyle w:val="44"/>
        <w:keepNext w:val="0"/>
        <w:keepLines w:val="0"/>
        <w:pageBreakBefore w:val="0"/>
        <w:widowControl w:val="0"/>
        <w:kinsoku/>
        <w:wordWrap/>
        <w:overflowPunct/>
        <w:topLinePunct w:val="0"/>
        <w:autoSpaceDE/>
        <w:autoSpaceDN/>
        <w:bidi w:val="0"/>
        <w:adjustRightInd/>
        <w:snapToGrid/>
        <w:spacing w:after="0" w:line="400" w:lineRule="exact"/>
        <w:ind w:left="1370" w:leftChars="500" w:hanging="320" w:hangingChars="100"/>
        <w:jc w:val="both"/>
        <w:textAlignment w:val="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t>3.</w:t>
      </w:r>
      <w:r>
        <w:rPr>
          <w:rFonts w:hint="default" w:ascii="Times New Roman" w:hAnsi="Times New Roman" w:eastAsia="仿宋_GB2312" w:cs="Times New Roman"/>
          <w:color w:val="auto"/>
          <w:sz w:val="32"/>
          <w:szCs w:val="32"/>
          <w:highlight w:val="none"/>
        </w:rPr>
        <w:t>《滁州市重点工程建设管理处结算审</w:t>
      </w:r>
      <w:r>
        <w:rPr>
          <w:rFonts w:hint="default" w:ascii="Times New Roman" w:hAnsi="Times New Roman" w:eastAsia="仿宋_GB2312" w:cs="Times New Roman"/>
          <w:color w:val="auto"/>
          <w:sz w:val="32"/>
          <w:szCs w:val="32"/>
          <w:highlight w:val="none"/>
          <w:lang w:eastAsia="zh-CN"/>
        </w:rPr>
        <w:t>（复）</w:t>
      </w:r>
      <w:r>
        <w:rPr>
          <w:rFonts w:hint="default" w:ascii="Times New Roman" w:hAnsi="Times New Roman" w:eastAsia="仿宋_GB2312" w:cs="Times New Roman"/>
          <w:color w:val="auto"/>
          <w:sz w:val="32"/>
          <w:szCs w:val="32"/>
          <w:highlight w:val="none"/>
        </w:rPr>
        <w:t>核</w:t>
      </w:r>
      <w:r>
        <w:rPr>
          <w:rFonts w:hint="default" w:ascii="Times New Roman" w:hAnsi="Times New Roman" w:eastAsia="仿宋_GB2312" w:cs="Times New Roman"/>
          <w:color w:val="auto"/>
          <w:sz w:val="32"/>
          <w:szCs w:val="32"/>
          <w:highlight w:val="none"/>
          <w:lang w:eastAsia="zh-CN"/>
        </w:rPr>
        <w:t>成果质量</w:t>
      </w:r>
      <w:r>
        <w:rPr>
          <w:rFonts w:hint="default" w:ascii="Times New Roman" w:hAnsi="Times New Roman" w:eastAsia="仿宋_GB2312" w:cs="Times New Roman"/>
          <w:color w:val="auto"/>
          <w:sz w:val="32"/>
          <w:szCs w:val="32"/>
          <w:highlight w:val="none"/>
        </w:rPr>
        <w:t>考核表》</w:t>
      </w:r>
    </w:p>
    <w:p w14:paraId="6DD092C6">
      <w:pPr>
        <w:pStyle w:val="27"/>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textAlignment w:val="auto"/>
        <w:rPr>
          <w:rFonts w:hint="default" w:ascii="Times New Roman" w:hAnsi="Times New Roman" w:eastAsia="仿宋_GB2312" w:cs="Times New Roman"/>
          <w:color w:val="auto"/>
          <w:sz w:val="32"/>
          <w:szCs w:val="32"/>
          <w:highlight w:val="none"/>
          <w:lang w:val="en-US" w:eastAsia="zh-CN"/>
        </w:rPr>
        <w:sectPr>
          <w:footerReference r:id="rId7" w:type="default"/>
          <w:pgSz w:w="11906" w:h="16838"/>
          <w:pgMar w:top="1417" w:right="1417" w:bottom="1134" w:left="1417" w:header="680" w:footer="680" w:gutter="0"/>
          <w:pgBorders w:offsetFrom="page">
            <w:top w:val="none" w:sz="0" w:space="0"/>
            <w:left w:val="none" w:sz="0" w:space="0"/>
            <w:bottom w:val="none" w:sz="0" w:space="0"/>
            <w:right w:val="none" w:sz="0" w:space="0"/>
          </w:pgBorders>
          <w:pgNumType w:fmt="decimal"/>
          <w:cols w:space="0" w:num="1"/>
          <w:rtlGutter w:val="0"/>
          <w:docGrid w:type="lines" w:linePitch="318" w:charSpace="0"/>
        </w:sectPr>
      </w:pPr>
    </w:p>
    <w:p w14:paraId="777E6047">
      <w:pPr>
        <w:pStyle w:val="44"/>
        <w:spacing w:line="240" w:lineRule="auto"/>
        <w:ind w:left="0" w:leftChars="0" w:firstLine="0" w:firstLineChars="0"/>
        <w:rPr>
          <w:rFonts w:hint="eastAsia" w:ascii="宋体" w:hAnsi="宋体" w:eastAsia="宋体" w:cs="宋体"/>
          <w:color w:val="auto"/>
          <w:highlight w:val="none"/>
        </w:rPr>
      </w:pPr>
      <w:r>
        <w:rPr>
          <w:rFonts w:hint="eastAsia" w:ascii="宋体" w:hAnsi="宋体" w:eastAsia="宋体" w:cs="宋体"/>
          <w:color w:val="auto"/>
          <w:sz w:val="32"/>
          <w:szCs w:val="32"/>
          <w:highlight w:val="none"/>
        </w:rPr>
        <w:t>附件</w:t>
      </w:r>
      <w:r>
        <w:rPr>
          <w:rFonts w:hint="eastAsia" w:ascii="宋体" w:hAnsi="宋体" w:eastAsia="宋体" w:cs="宋体"/>
          <w:color w:val="auto"/>
          <w:sz w:val="32"/>
          <w:szCs w:val="32"/>
          <w:highlight w:val="none"/>
          <w:lang w:val="en-US" w:eastAsia="zh-CN"/>
        </w:rPr>
        <w:t>1</w:t>
      </w:r>
      <w:r>
        <w:rPr>
          <w:rFonts w:hint="eastAsia" w:ascii="宋体" w:hAnsi="宋体" w:eastAsia="宋体" w:cs="宋体"/>
          <w:color w:val="auto"/>
          <w:sz w:val="32"/>
          <w:szCs w:val="32"/>
          <w:highlight w:val="none"/>
        </w:rPr>
        <w:t>：</w:t>
      </w:r>
    </w:p>
    <w:tbl>
      <w:tblPr>
        <w:tblStyle w:val="45"/>
        <w:tblpPr w:leftFromText="180" w:rightFromText="180" w:vertAnchor="text" w:horzAnchor="page" w:tblpX="795" w:tblpY="744"/>
        <w:tblOverlap w:val="never"/>
        <w:tblW w:w="10412" w:type="dxa"/>
        <w:jc w:val="center"/>
        <w:tblLayout w:type="fixed"/>
        <w:tblCellMar>
          <w:top w:w="0" w:type="dxa"/>
          <w:left w:w="0" w:type="dxa"/>
          <w:bottom w:w="0" w:type="dxa"/>
          <w:right w:w="0" w:type="dxa"/>
        </w:tblCellMar>
      </w:tblPr>
      <w:tblGrid>
        <w:gridCol w:w="640"/>
        <w:gridCol w:w="689"/>
        <w:gridCol w:w="2928"/>
        <w:gridCol w:w="566"/>
        <w:gridCol w:w="702"/>
        <w:gridCol w:w="1030"/>
        <w:gridCol w:w="3857"/>
      </w:tblGrid>
      <w:tr w14:paraId="681CBC87">
        <w:tblPrEx>
          <w:tblCellMar>
            <w:top w:w="0" w:type="dxa"/>
            <w:left w:w="0" w:type="dxa"/>
            <w:bottom w:w="0" w:type="dxa"/>
            <w:right w:w="0" w:type="dxa"/>
          </w:tblCellMar>
        </w:tblPrEx>
        <w:trPr>
          <w:trHeight w:val="435" w:hRule="atLeast"/>
          <w:jc w:val="center"/>
        </w:trPr>
        <w:tc>
          <w:tcPr>
            <w:tcW w:w="10412" w:type="dxa"/>
            <w:gridSpan w:val="7"/>
            <w:tcBorders>
              <w:top w:val="nil"/>
              <w:left w:val="nil"/>
              <w:bottom w:val="single" w:color="000000" w:sz="4" w:space="0"/>
              <w:right w:val="nil"/>
            </w:tcBorders>
            <w:noWrap w:val="0"/>
            <w:tcMar>
              <w:top w:w="15" w:type="dxa"/>
              <w:left w:w="15" w:type="dxa"/>
              <w:right w:w="15" w:type="dxa"/>
            </w:tcMar>
            <w:vAlign w:val="center"/>
          </w:tcPr>
          <w:p w14:paraId="2ACCBD75">
            <w:pPr>
              <w:widowControl/>
              <w:jc w:val="center"/>
              <w:textAlignment w:val="center"/>
              <w:rPr>
                <w:rFonts w:hint="eastAsia" w:ascii="宋体" w:hAnsi="宋体" w:eastAsia="宋体" w:cs="宋体"/>
                <w:b/>
                <w:color w:val="auto"/>
                <w:szCs w:val="32"/>
                <w:highlight w:val="none"/>
              </w:rPr>
            </w:pPr>
            <w:r>
              <w:rPr>
                <w:rFonts w:hint="eastAsia" w:ascii="宋体" w:hAnsi="宋体" w:eastAsia="宋体" w:cs="宋体"/>
                <w:b/>
                <w:color w:val="auto"/>
                <w:kern w:val="0"/>
                <w:szCs w:val="32"/>
                <w:highlight w:val="none"/>
                <w:u w:val="single"/>
                <w:lang w:bidi="ar"/>
              </w:rPr>
              <w:t xml:space="preserve">                      </w:t>
            </w:r>
            <w:r>
              <w:rPr>
                <w:rStyle w:val="149"/>
                <w:rFonts w:hint="eastAsia" w:ascii="宋体" w:hAnsi="宋体" w:eastAsia="宋体" w:cs="宋体"/>
                <w:b w:val="0"/>
                <w:color w:val="auto"/>
                <w:highlight w:val="none"/>
                <w:lang w:bidi="ar"/>
              </w:rPr>
              <w:t>项目工程量清单</w:t>
            </w:r>
            <w:r>
              <w:rPr>
                <w:rStyle w:val="149"/>
                <w:rFonts w:hint="eastAsia" w:ascii="宋体" w:hAnsi="宋体" w:eastAsia="宋体" w:cs="宋体"/>
                <w:b w:val="0"/>
                <w:color w:val="auto"/>
                <w:highlight w:val="none"/>
                <w:lang w:eastAsia="zh-CN" w:bidi="ar"/>
              </w:rPr>
              <w:t>及</w:t>
            </w:r>
            <w:r>
              <w:rPr>
                <w:rStyle w:val="149"/>
                <w:rFonts w:hint="eastAsia" w:ascii="宋体" w:hAnsi="宋体" w:eastAsia="宋体" w:cs="宋体"/>
                <w:b w:val="0"/>
                <w:color w:val="auto"/>
                <w:highlight w:val="none"/>
                <w:lang w:bidi="ar"/>
              </w:rPr>
              <w:t xml:space="preserve">最高投标限价编制质量考核表 </w:t>
            </w:r>
          </w:p>
        </w:tc>
      </w:tr>
      <w:tr w14:paraId="44391DF3">
        <w:tblPrEx>
          <w:tblCellMar>
            <w:top w:w="0" w:type="dxa"/>
            <w:left w:w="0" w:type="dxa"/>
            <w:bottom w:w="0" w:type="dxa"/>
            <w:right w:w="0" w:type="dxa"/>
          </w:tblCellMar>
        </w:tblPrEx>
        <w:trPr>
          <w:trHeight w:val="503" w:hRule="atLeast"/>
          <w:jc w:val="center"/>
        </w:trPr>
        <w:tc>
          <w:tcPr>
            <w:tcW w:w="6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DD15BEC">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b/>
                <w:color w:val="auto"/>
                <w:sz w:val="22"/>
                <w:szCs w:val="22"/>
                <w:highlight w:val="none"/>
                <w:lang w:val="en-US" w:eastAsia="zh-CN"/>
              </w:rPr>
            </w:pPr>
            <w:r>
              <w:rPr>
                <w:rFonts w:hint="eastAsia" w:ascii="宋体" w:hAnsi="宋体" w:eastAsia="宋体" w:cs="宋体"/>
                <w:b/>
                <w:color w:val="auto"/>
                <w:kern w:val="0"/>
                <w:sz w:val="22"/>
                <w:szCs w:val="22"/>
                <w:highlight w:val="none"/>
                <w:lang w:eastAsia="zh-CN" w:bidi="ar"/>
              </w:rPr>
              <w:t>序号</w:t>
            </w:r>
          </w:p>
        </w:tc>
        <w:tc>
          <w:tcPr>
            <w:tcW w:w="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1A13EC2">
            <w:pPr>
              <w:widowControl/>
              <w:jc w:val="center"/>
              <w:textAlignment w:val="center"/>
              <w:rPr>
                <w:rFonts w:hint="eastAsia" w:ascii="宋体" w:hAnsi="宋体" w:eastAsia="宋体" w:cs="宋体"/>
                <w:b/>
                <w:color w:val="auto"/>
                <w:sz w:val="22"/>
                <w:szCs w:val="22"/>
                <w:highlight w:val="none"/>
              </w:rPr>
            </w:pPr>
            <w:r>
              <w:rPr>
                <w:rFonts w:hint="eastAsia" w:ascii="宋体" w:hAnsi="宋体" w:eastAsia="宋体" w:cs="宋体"/>
                <w:b/>
                <w:color w:val="auto"/>
                <w:kern w:val="0"/>
                <w:sz w:val="22"/>
                <w:szCs w:val="22"/>
                <w:highlight w:val="none"/>
                <w:lang w:bidi="ar"/>
              </w:rPr>
              <w:t>指标</w:t>
            </w:r>
          </w:p>
        </w:tc>
        <w:tc>
          <w:tcPr>
            <w:tcW w:w="29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8991050">
            <w:pPr>
              <w:widowControl/>
              <w:jc w:val="center"/>
              <w:textAlignment w:val="center"/>
              <w:rPr>
                <w:rFonts w:hint="eastAsia" w:ascii="宋体" w:hAnsi="宋体" w:eastAsia="宋体" w:cs="宋体"/>
                <w:b/>
                <w:color w:val="auto"/>
                <w:sz w:val="22"/>
                <w:szCs w:val="22"/>
                <w:highlight w:val="none"/>
              </w:rPr>
            </w:pPr>
            <w:r>
              <w:rPr>
                <w:rFonts w:hint="eastAsia" w:ascii="宋体" w:hAnsi="宋体" w:eastAsia="宋体" w:cs="宋体"/>
                <w:b/>
                <w:color w:val="auto"/>
                <w:kern w:val="0"/>
                <w:sz w:val="22"/>
                <w:szCs w:val="22"/>
                <w:highlight w:val="none"/>
                <w:lang w:bidi="ar"/>
              </w:rPr>
              <w:t>内容</w:t>
            </w:r>
          </w:p>
        </w:tc>
        <w:tc>
          <w:tcPr>
            <w:tcW w:w="5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EB47E06">
            <w:pPr>
              <w:widowControl/>
              <w:jc w:val="center"/>
              <w:textAlignment w:val="center"/>
              <w:rPr>
                <w:rFonts w:hint="eastAsia" w:ascii="宋体" w:hAnsi="宋体" w:eastAsia="宋体" w:cs="宋体"/>
                <w:b/>
                <w:color w:val="auto"/>
                <w:sz w:val="22"/>
                <w:szCs w:val="22"/>
                <w:highlight w:val="none"/>
              </w:rPr>
            </w:pPr>
            <w:r>
              <w:rPr>
                <w:rFonts w:hint="eastAsia" w:ascii="宋体" w:hAnsi="宋体" w:eastAsia="宋体" w:cs="宋体"/>
                <w:b/>
                <w:color w:val="auto"/>
                <w:kern w:val="0"/>
                <w:sz w:val="22"/>
                <w:szCs w:val="22"/>
                <w:highlight w:val="none"/>
                <w:lang w:bidi="ar"/>
              </w:rPr>
              <w:t>总分</w:t>
            </w:r>
          </w:p>
        </w:tc>
        <w:tc>
          <w:tcPr>
            <w:tcW w:w="7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C108D9E">
            <w:pPr>
              <w:widowControl/>
              <w:jc w:val="center"/>
              <w:textAlignment w:val="center"/>
              <w:rPr>
                <w:rFonts w:hint="eastAsia" w:ascii="宋体" w:hAnsi="宋体" w:eastAsia="宋体" w:cs="宋体"/>
                <w:b/>
                <w:color w:val="auto"/>
                <w:sz w:val="22"/>
                <w:szCs w:val="22"/>
                <w:highlight w:val="none"/>
              </w:rPr>
            </w:pPr>
            <w:r>
              <w:rPr>
                <w:rFonts w:hint="eastAsia" w:ascii="宋体" w:hAnsi="宋体" w:eastAsia="宋体" w:cs="宋体"/>
                <w:b/>
                <w:color w:val="auto"/>
                <w:kern w:val="0"/>
                <w:sz w:val="22"/>
                <w:szCs w:val="22"/>
                <w:highlight w:val="none"/>
                <w:lang w:bidi="ar"/>
              </w:rPr>
              <w:t>得分</w:t>
            </w:r>
          </w:p>
        </w:tc>
        <w:tc>
          <w:tcPr>
            <w:tcW w:w="10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B03C774">
            <w:pPr>
              <w:widowControl/>
              <w:jc w:val="center"/>
              <w:textAlignment w:val="center"/>
              <w:rPr>
                <w:rFonts w:hint="eastAsia" w:ascii="宋体" w:hAnsi="宋体" w:eastAsia="宋体" w:cs="宋体"/>
                <w:b/>
                <w:color w:val="auto"/>
                <w:sz w:val="22"/>
                <w:szCs w:val="22"/>
                <w:highlight w:val="none"/>
              </w:rPr>
            </w:pPr>
            <w:r>
              <w:rPr>
                <w:rFonts w:hint="eastAsia" w:ascii="宋体" w:hAnsi="宋体" w:eastAsia="宋体" w:cs="宋体"/>
                <w:b/>
                <w:color w:val="auto"/>
                <w:kern w:val="0"/>
                <w:sz w:val="22"/>
                <w:szCs w:val="22"/>
                <w:highlight w:val="none"/>
                <w:lang w:bidi="ar"/>
              </w:rPr>
              <w:t>打分说明</w:t>
            </w:r>
          </w:p>
        </w:tc>
        <w:tc>
          <w:tcPr>
            <w:tcW w:w="385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CF172B0">
            <w:pPr>
              <w:widowControl/>
              <w:jc w:val="center"/>
              <w:textAlignment w:val="center"/>
              <w:rPr>
                <w:rFonts w:hint="eastAsia" w:ascii="宋体" w:hAnsi="宋体" w:eastAsia="宋体" w:cs="宋体"/>
                <w:b/>
                <w:color w:val="auto"/>
                <w:sz w:val="22"/>
                <w:szCs w:val="22"/>
                <w:highlight w:val="none"/>
              </w:rPr>
            </w:pPr>
            <w:r>
              <w:rPr>
                <w:rFonts w:hint="eastAsia" w:ascii="宋体" w:hAnsi="宋体" w:eastAsia="宋体" w:cs="宋体"/>
                <w:b/>
                <w:color w:val="auto"/>
                <w:kern w:val="0"/>
                <w:sz w:val="22"/>
                <w:szCs w:val="22"/>
                <w:highlight w:val="none"/>
                <w:lang w:bidi="ar"/>
              </w:rPr>
              <w:t>备注</w:t>
            </w:r>
          </w:p>
        </w:tc>
      </w:tr>
      <w:tr w14:paraId="66430B05">
        <w:tblPrEx>
          <w:tblCellMar>
            <w:top w:w="0" w:type="dxa"/>
            <w:left w:w="0" w:type="dxa"/>
            <w:bottom w:w="0" w:type="dxa"/>
            <w:right w:w="0" w:type="dxa"/>
          </w:tblCellMar>
        </w:tblPrEx>
        <w:trPr>
          <w:trHeight w:val="90" w:hRule="atLeast"/>
          <w:jc w:val="center"/>
        </w:trPr>
        <w:tc>
          <w:tcPr>
            <w:tcW w:w="640" w:type="dxa"/>
            <w:vMerge w:val="restart"/>
            <w:tcBorders>
              <w:top w:val="single" w:color="000000" w:sz="4" w:space="0"/>
              <w:left w:val="single" w:color="000000" w:sz="4" w:space="0"/>
              <w:right w:val="single" w:color="000000" w:sz="4" w:space="0"/>
            </w:tcBorders>
            <w:noWrap w:val="0"/>
            <w:tcMar>
              <w:top w:w="15" w:type="dxa"/>
              <w:left w:w="15" w:type="dxa"/>
              <w:right w:w="15" w:type="dxa"/>
            </w:tcMar>
            <w:vAlign w:val="center"/>
          </w:tcPr>
          <w:p w14:paraId="224D9DC1">
            <w:pPr>
              <w:widowControl/>
              <w:jc w:val="center"/>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eastAsia="zh-CN" w:bidi="ar"/>
              </w:rPr>
              <w:t>一</w:t>
            </w:r>
          </w:p>
        </w:tc>
        <w:tc>
          <w:tcPr>
            <w:tcW w:w="689" w:type="dxa"/>
            <w:vMerge w:val="restart"/>
            <w:tcBorders>
              <w:top w:val="single" w:color="000000" w:sz="4" w:space="0"/>
              <w:left w:val="single" w:color="000000" w:sz="4" w:space="0"/>
              <w:right w:val="single" w:color="000000" w:sz="4" w:space="0"/>
            </w:tcBorders>
            <w:noWrap w:val="0"/>
            <w:tcMar>
              <w:top w:w="15" w:type="dxa"/>
              <w:left w:w="15" w:type="dxa"/>
              <w:right w:w="15" w:type="dxa"/>
            </w:tcMar>
            <w:vAlign w:val="center"/>
          </w:tcPr>
          <w:p w14:paraId="1393DAC8">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基本考核分</w:t>
            </w:r>
          </w:p>
        </w:tc>
        <w:tc>
          <w:tcPr>
            <w:tcW w:w="29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9B7CADC">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w:t>
            </w:r>
            <w:r>
              <w:rPr>
                <w:rFonts w:hint="eastAsia" w:ascii="宋体" w:hAnsi="宋体" w:eastAsia="宋体" w:cs="宋体"/>
                <w:color w:val="auto"/>
                <w:kern w:val="0"/>
                <w:sz w:val="24"/>
                <w:szCs w:val="24"/>
                <w:highlight w:val="none"/>
                <w:lang w:bidi="ar"/>
              </w:rPr>
              <w:t>人员能力是否具备胜任本项目需要</w:t>
            </w:r>
          </w:p>
        </w:tc>
        <w:tc>
          <w:tcPr>
            <w:tcW w:w="5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6B6AFDF">
            <w:pPr>
              <w:widowControl/>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20</w:t>
            </w:r>
          </w:p>
        </w:tc>
        <w:tc>
          <w:tcPr>
            <w:tcW w:w="7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C1CC66E">
            <w:pPr>
              <w:jc w:val="left"/>
              <w:rPr>
                <w:rFonts w:hint="eastAsia" w:ascii="宋体" w:hAnsi="宋体" w:eastAsia="宋体" w:cs="宋体"/>
                <w:color w:val="auto"/>
                <w:sz w:val="24"/>
                <w:szCs w:val="24"/>
                <w:highlight w:val="none"/>
              </w:rPr>
            </w:pPr>
          </w:p>
        </w:tc>
        <w:tc>
          <w:tcPr>
            <w:tcW w:w="10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B24BAC4">
            <w:pPr>
              <w:jc w:val="left"/>
              <w:rPr>
                <w:rFonts w:hint="eastAsia" w:ascii="宋体" w:hAnsi="宋体" w:eastAsia="宋体" w:cs="宋体"/>
                <w:color w:val="auto"/>
                <w:sz w:val="24"/>
                <w:szCs w:val="24"/>
                <w:highlight w:val="none"/>
              </w:rPr>
            </w:pPr>
          </w:p>
        </w:tc>
        <w:tc>
          <w:tcPr>
            <w:tcW w:w="385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DB288AA">
            <w:pPr>
              <w:widowControl/>
              <w:jc w:val="left"/>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eastAsia="zh-CN" w:bidi="ar"/>
              </w:rPr>
              <w:t>需在项目开始编制前向综合计划科报送编制审核组成员任命文件：</w:t>
            </w:r>
            <w:r>
              <w:rPr>
                <w:rFonts w:hint="eastAsia" w:ascii="宋体" w:hAnsi="宋体" w:eastAsia="宋体" w:cs="宋体"/>
                <w:color w:val="auto"/>
                <w:kern w:val="0"/>
                <w:sz w:val="24"/>
                <w:szCs w:val="24"/>
                <w:highlight w:val="none"/>
                <w:lang w:val="en-US" w:eastAsia="zh-CN" w:bidi="ar"/>
              </w:rPr>
              <w:t>5分</w:t>
            </w:r>
          </w:p>
          <w:p w14:paraId="0E5634A6">
            <w:pPr>
              <w:widowControl/>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编制</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bidi="ar"/>
              </w:rPr>
              <w:t xml:space="preserve">复核人员资格：5分                                      </w:t>
            </w:r>
          </w:p>
          <w:p w14:paraId="28A6FD10">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会审汇报人员资格 ：</w:t>
            </w:r>
            <w:r>
              <w:rPr>
                <w:rFonts w:hint="eastAsia" w:ascii="宋体" w:hAnsi="宋体" w:eastAsia="宋体" w:cs="宋体"/>
                <w:color w:val="auto"/>
                <w:kern w:val="0"/>
                <w:sz w:val="24"/>
                <w:szCs w:val="24"/>
                <w:highlight w:val="none"/>
                <w:lang w:val="en-US" w:eastAsia="zh-CN" w:bidi="ar"/>
              </w:rPr>
              <w:t>10</w:t>
            </w:r>
            <w:r>
              <w:rPr>
                <w:rFonts w:hint="eastAsia" w:ascii="宋体" w:hAnsi="宋体" w:eastAsia="宋体" w:cs="宋体"/>
                <w:color w:val="auto"/>
                <w:kern w:val="0"/>
                <w:sz w:val="24"/>
                <w:szCs w:val="24"/>
                <w:highlight w:val="none"/>
                <w:lang w:bidi="ar"/>
              </w:rPr>
              <w:t xml:space="preserve">分                  </w:t>
            </w:r>
          </w:p>
        </w:tc>
      </w:tr>
      <w:tr w14:paraId="6ACC7F94">
        <w:tblPrEx>
          <w:tblCellMar>
            <w:top w:w="0" w:type="dxa"/>
            <w:left w:w="0" w:type="dxa"/>
            <w:bottom w:w="0" w:type="dxa"/>
            <w:right w:w="0" w:type="dxa"/>
          </w:tblCellMar>
        </w:tblPrEx>
        <w:trPr>
          <w:trHeight w:val="541" w:hRule="atLeast"/>
          <w:jc w:val="center"/>
        </w:trPr>
        <w:tc>
          <w:tcPr>
            <w:tcW w:w="640" w:type="dxa"/>
            <w:vMerge w:val="continue"/>
            <w:tcBorders>
              <w:left w:val="single" w:color="000000" w:sz="4" w:space="0"/>
              <w:right w:val="single" w:color="000000" w:sz="4" w:space="0"/>
            </w:tcBorders>
            <w:noWrap w:val="0"/>
            <w:tcMar>
              <w:top w:w="15" w:type="dxa"/>
              <w:left w:w="15" w:type="dxa"/>
              <w:right w:w="15" w:type="dxa"/>
            </w:tcMar>
            <w:vAlign w:val="center"/>
          </w:tcPr>
          <w:p w14:paraId="1093071F">
            <w:pPr>
              <w:jc w:val="center"/>
              <w:rPr>
                <w:rFonts w:hint="eastAsia" w:ascii="宋体" w:hAnsi="宋体" w:eastAsia="宋体" w:cs="宋体"/>
                <w:color w:val="auto"/>
                <w:sz w:val="24"/>
                <w:szCs w:val="24"/>
                <w:highlight w:val="none"/>
              </w:rPr>
            </w:pPr>
          </w:p>
        </w:tc>
        <w:tc>
          <w:tcPr>
            <w:tcW w:w="689" w:type="dxa"/>
            <w:vMerge w:val="continue"/>
            <w:tcBorders>
              <w:left w:val="single" w:color="000000" w:sz="4" w:space="0"/>
              <w:right w:val="single" w:color="000000" w:sz="4" w:space="0"/>
            </w:tcBorders>
            <w:noWrap w:val="0"/>
            <w:tcMar>
              <w:top w:w="15" w:type="dxa"/>
              <w:left w:w="15" w:type="dxa"/>
              <w:right w:w="15" w:type="dxa"/>
            </w:tcMar>
            <w:vAlign w:val="center"/>
          </w:tcPr>
          <w:p w14:paraId="79A61B04">
            <w:pPr>
              <w:jc w:val="center"/>
              <w:rPr>
                <w:rFonts w:hint="eastAsia" w:ascii="宋体" w:hAnsi="宋体" w:eastAsia="宋体" w:cs="宋体"/>
                <w:color w:val="auto"/>
                <w:sz w:val="24"/>
                <w:szCs w:val="24"/>
                <w:highlight w:val="none"/>
              </w:rPr>
            </w:pPr>
          </w:p>
        </w:tc>
        <w:tc>
          <w:tcPr>
            <w:tcW w:w="29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1C8FDF1">
            <w:pPr>
              <w:widowControl/>
              <w:numPr>
                <w:ilvl w:val="0"/>
                <w:numId w:val="0"/>
              </w:numPr>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2.</w:t>
            </w:r>
            <w:r>
              <w:rPr>
                <w:rFonts w:hint="eastAsia" w:ascii="宋体" w:hAnsi="宋体" w:eastAsia="宋体" w:cs="宋体"/>
                <w:color w:val="auto"/>
                <w:kern w:val="0"/>
                <w:sz w:val="24"/>
                <w:szCs w:val="24"/>
                <w:highlight w:val="none"/>
                <w:lang w:bidi="ar"/>
              </w:rPr>
              <w:t>现场踏勘</w:t>
            </w:r>
          </w:p>
        </w:tc>
        <w:tc>
          <w:tcPr>
            <w:tcW w:w="5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2F56976">
            <w:pPr>
              <w:widowControl/>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10</w:t>
            </w:r>
          </w:p>
        </w:tc>
        <w:tc>
          <w:tcPr>
            <w:tcW w:w="7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784B645">
            <w:pPr>
              <w:jc w:val="left"/>
              <w:rPr>
                <w:rFonts w:hint="eastAsia" w:ascii="宋体" w:hAnsi="宋体" w:eastAsia="宋体" w:cs="宋体"/>
                <w:color w:val="auto"/>
                <w:sz w:val="24"/>
                <w:szCs w:val="24"/>
                <w:highlight w:val="none"/>
              </w:rPr>
            </w:pPr>
          </w:p>
        </w:tc>
        <w:tc>
          <w:tcPr>
            <w:tcW w:w="10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BF71B2D">
            <w:pPr>
              <w:jc w:val="left"/>
              <w:rPr>
                <w:rFonts w:hint="eastAsia" w:ascii="宋体" w:hAnsi="宋体" w:eastAsia="宋体" w:cs="宋体"/>
                <w:color w:val="auto"/>
                <w:sz w:val="24"/>
                <w:szCs w:val="24"/>
                <w:highlight w:val="none"/>
              </w:rPr>
            </w:pPr>
          </w:p>
        </w:tc>
        <w:tc>
          <w:tcPr>
            <w:tcW w:w="385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162A79B">
            <w:pPr>
              <w:widowControl/>
              <w:jc w:val="left"/>
              <w:textAlignment w:val="center"/>
              <w:rPr>
                <w:rFonts w:hint="eastAsia" w:ascii="宋体" w:hAnsi="宋体" w:eastAsia="宋体" w:cs="宋体"/>
                <w:color w:val="auto"/>
                <w:sz w:val="24"/>
                <w:szCs w:val="24"/>
                <w:highlight w:val="none"/>
                <w:lang w:val="en-US" w:eastAsia="zh-CN"/>
              </w:rPr>
            </w:pPr>
          </w:p>
        </w:tc>
      </w:tr>
      <w:tr w14:paraId="71E84BD2">
        <w:tblPrEx>
          <w:tblCellMar>
            <w:top w:w="0" w:type="dxa"/>
            <w:left w:w="0" w:type="dxa"/>
            <w:bottom w:w="0" w:type="dxa"/>
            <w:right w:w="0" w:type="dxa"/>
          </w:tblCellMar>
        </w:tblPrEx>
        <w:trPr>
          <w:trHeight w:val="1710" w:hRule="atLeast"/>
          <w:jc w:val="center"/>
        </w:trPr>
        <w:tc>
          <w:tcPr>
            <w:tcW w:w="640" w:type="dxa"/>
            <w:vMerge w:val="continue"/>
            <w:tcBorders>
              <w:left w:val="single" w:color="000000" w:sz="4" w:space="0"/>
              <w:right w:val="single" w:color="000000" w:sz="4" w:space="0"/>
            </w:tcBorders>
            <w:noWrap w:val="0"/>
            <w:tcMar>
              <w:top w:w="15" w:type="dxa"/>
              <w:left w:w="15" w:type="dxa"/>
              <w:right w:w="15" w:type="dxa"/>
            </w:tcMar>
            <w:vAlign w:val="center"/>
          </w:tcPr>
          <w:p w14:paraId="1AE10F43">
            <w:pPr>
              <w:jc w:val="center"/>
              <w:rPr>
                <w:rFonts w:hint="eastAsia" w:ascii="宋体" w:hAnsi="宋体" w:eastAsia="宋体" w:cs="宋体"/>
                <w:color w:val="auto"/>
                <w:sz w:val="24"/>
                <w:szCs w:val="24"/>
                <w:highlight w:val="none"/>
              </w:rPr>
            </w:pPr>
          </w:p>
        </w:tc>
        <w:tc>
          <w:tcPr>
            <w:tcW w:w="689" w:type="dxa"/>
            <w:vMerge w:val="continue"/>
            <w:tcBorders>
              <w:left w:val="single" w:color="000000" w:sz="4" w:space="0"/>
              <w:right w:val="single" w:color="000000" w:sz="4" w:space="0"/>
            </w:tcBorders>
            <w:noWrap w:val="0"/>
            <w:tcMar>
              <w:top w:w="15" w:type="dxa"/>
              <w:left w:w="15" w:type="dxa"/>
              <w:right w:w="15" w:type="dxa"/>
            </w:tcMar>
            <w:vAlign w:val="center"/>
          </w:tcPr>
          <w:p w14:paraId="30B4BB49">
            <w:pPr>
              <w:jc w:val="center"/>
              <w:rPr>
                <w:rFonts w:hint="eastAsia" w:ascii="宋体" w:hAnsi="宋体" w:eastAsia="宋体" w:cs="宋体"/>
                <w:color w:val="auto"/>
                <w:sz w:val="24"/>
                <w:szCs w:val="24"/>
                <w:highlight w:val="none"/>
              </w:rPr>
            </w:pPr>
          </w:p>
        </w:tc>
        <w:tc>
          <w:tcPr>
            <w:tcW w:w="29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A0535C3">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3.是否按时完成清单编制</w:t>
            </w:r>
            <w:r>
              <w:rPr>
                <w:rFonts w:hint="eastAsia" w:ascii="宋体" w:hAnsi="宋体" w:eastAsia="宋体" w:cs="宋体"/>
                <w:color w:val="auto"/>
                <w:kern w:val="0"/>
                <w:sz w:val="24"/>
                <w:szCs w:val="24"/>
                <w:highlight w:val="none"/>
                <w:lang w:bidi="ar"/>
              </w:rPr>
              <w:t>清单</w:t>
            </w:r>
          </w:p>
        </w:tc>
        <w:tc>
          <w:tcPr>
            <w:tcW w:w="5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FAECB75">
            <w:pPr>
              <w:widowControl/>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20</w:t>
            </w:r>
          </w:p>
        </w:tc>
        <w:tc>
          <w:tcPr>
            <w:tcW w:w="7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1918B2B">
            <w:pPr>
              <w:jc w:val="left"/>
              <w:rPr>
                <w:rFonts w:hint="eastAsia" w:ascii="宋体" w:hAnsi="宋体" w:eastAsia="宋体" w:cs="宋体"/>
                <w:color w:val="auto"/>
                <w:sz w:val="24"/>
                <w:szCs w:val="24"/>
                <w:highlight w:val="none"/>
              </w:rPr>
            </w:pPr>
          </w:p>
        </w:tc>
        <w:tc>
          <w:tcPr>
            <w:tcW w:w="10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8475735">
            <w:pPr>
              <w:jc w:val="left"/>
              <w:rPr>
                <w:rFonts w:hint="eastAsia" w:ascii="宋体" w:hAnsi="宋体" w:eastAsia="宋体" w:cs="宋体"/>
                <w:color w:val="auto"/>
                <w:sz w:val="24"/>
                <w:szCs w:val="24"/>
                <w:highlight w:val="none"/>
              </w:rPr>
            </w:pPr>
          </w:p>
        </w:tc>
        <w:tc>
          <w:tcPr>
            <w:tcW w:w="385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F3BB2E3">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原则上</w:t>
            </w:r>
            <w:r>
              <w:rPr>
                <w:rStyle w:val="151"/>
                <w:rFonts w:hint="eastAsia" w:ascii="宋体" w:hAnsi="宋体" w:eastAsia="宋体" w:cs="宋体"/>
                <w:color w:val="auto"/>
                <w:sz w:val="24"/>
                <w:szCs w:val="24"/>
                <w:highlight w:val="none"/>
                <w:lang w:bidi="ar"/>
              </w:rPr>
              <w:t>500</w:t>
            </w:r>
            <w:r>
              <w:rPr>
                <w:rStyle w:val="152"/>
                <w:rFonts w:hint="eastAsia" w:ascii="宋体" w:hAnsi="宋体" w:eastAsia="宋体" w:cs="宋体"/>
                <w:color w:val="auto"/>
                <w:sz w:val="24"/>
                <w:szCs w:val="24"/>
                <w:highlight w:val="none"/>
                <w:lang w:bidi="ar"/>
              </w:rPr>
              <w:t>万元以下项目编制时间为</w:t>
            </w:r>
            <w:r>
              <w:rPr>
                <w:rStyle w:val="151"/>
                <w:rFonts w:hint="eastAsia" w:ascii="宋体" w:hAnsi="宋体" w:eastAsia="宋体" w:cs="宋体"/>
                <w:color w:val="auto"/>
                <w:sz w:val="24"/>
                <w:szCs w:val="24"/>
                <w:highlight w:val="none"/>
                <w:lang w:bidi="ar"/>
              </w:rPr>
              <w:t>7</w:t>
            </w:r>
            <w:r>
              <w:rPr>
                <w:rStyle w:val="152"/>
                <w:rFonts w:hint="eastAsia" w:ascii="宋体" w:hAnsi="宋体" w:eastAsia="宋体" w:cs="宋体"/>
                <w:color w:val="auto"/>
                <w:sz w:val="24"/>
                <w:szCs w:val="24"/>
                <w:highlight w:val="none"/>
                <w:lang w:bidi="ar"/>
              </w:rPr>
              <w:t>天,</w:t>
            </w:r>
            <w:r>
              <w:rPr>
                <w:rStyle w:val="151"/>
                <w:rFonts w:hint="eastAsia" w:ascii="宋体" w:hAnsi="宋体" w:eastAsia="宋体" w:cs="宋体"/>
                <w:color w:val="auto"/>
                <w:sz w:val="24"/>
                <w:szCs w:val="24"/>
                <w:highlight w:val="none"/>
                <w:lang w:bidi="ar"/>
              </w:rPr>
              <w:t>500-1000</w:t>
            </w:r>
            <w:r>
              <w:rPr>
                <w:rStyle w:val="152"/>
                <w:rFonts w:hint="eastAsia" w:ascii="宋体" w:hAnsi="宋体" w:eastAsia="宋体" w:cs="宋体"/>
                <w:color w:val="auto"/>
                <w:sz w:val="24"/>
                <w:szCs w:val="24"/>
                <w:highlight w:val="none"/>
                <w:lang w:bidi="ar"/>
              </w:rPr>
              <w:t>万元项目</w:t>
            </w:r>
            <w:r>
              <w:rPr>
                <w:rStyle w:val="151"/>
                <w:rFonts w:hint="eastAsia" w:ascii="宋体" w:hAnsi="宋体" w:eastAsia="宋体" w:cs="宋体"/>
                <w:color w:val="auto"/>
                <w:sz w:val="24"/>
                <w:szCs w:val="24"/>
                <w:highlight w:val="none"/>
                <w:lang w:bidi="ar"/>
              </w:rPr>
              <w:t>15</w:t>
            </w:r>
            <w:r>
              <w:rPr>
                <w:rStyle w:val="152"/>
                <w:rFonts w:hint="eastAsia" w:ascii="宋体" w:hAnsi="宋体" w:eastAsia="宋体" w:cs="宋体"/>
                <w:color w:val="auto"/>
                <w:sz w:val="24"/>
                <w:szCs w:val="24"/>
                <w:highlight w:val="none"/>
                <w:lang w:bidi="ar"/>
              </w:rPr>
              <w:t>天，</w:t>
            </w:r>
            <w:r>
              <w:rPr>
                <w:rStyle w:val="151"/>
                <w:rFonts w:hint="eastAsia" w:ascii="宋体" w:hAnsi="宋体" w:eastAsia="宋体" w:cs="宋体"/>
                <w:color w:val="auto"/>
                <w:sz w:val="24"/>
                <w:szCs w:val="24"/>
                <w:highlight w:val="none"/>
                <w:lang w:bidi="ar"/>
              </w:rPr>
              <w:t>1000</w:t>
            </w:r>
            <w:r>
              <w:rPr>
                <w:rStyle w:val="152"/>
                <w:rFonts w:hint="eastAsia" w:ascii="宋体" w:hAnsi="宋体" w:eastAsia="宋体" w:cs="宋体"/>
                <w:color w:val="auto"/>
                <w:sz w:val="24"/>
                <w:szCs w:val="24"/>
                <w:highlight w:val="none"/>
                <w:lang w:bidi="ar"/>
              </w:rPr>
              <w:t>万元</w:t>
            </w:r>
            <w:r>
              <w:rPr>
                <w:rStyle w:val="151"/>
                <w:rFonts w:hint="eastAsia" w:ascii="宋体" w:hAnsi="宋体" w:eastAsia="宋体" w:cs="宋体"/>
                <w:color w:val="auto"/>
                <w:sz w:val="24"/>
                <w:szCs w:val="24"/>
                <w:highlight w:val="none"/>
                <w:lang w:bidi="ar"/>
              </w:rPr>
              <w:t>-5000</w:t>
            </w:r>
            <w:r>
              <w:rPr>
                <w:rStyle w:val="152"/>
                <w:rFonts w:hint="eastAsia" w:ascii="宋体" w:hAnsi="宋体" w:eastAsia="宋体" w:cs="宋体"/>
                <w:color w:val="auto"/>
                <w:sz w:val="24"/>
                <w:szCs w:val="24"/>
                <w:highlight w:val="none"/>
                <w:lang w:bidi="ar"/>
              </w:rPr>
              <w:t>万元项目</w:t>
            </w:r>
            <w:r>
              <w:rPr>
                <w:rStyle w:val="151"/>
                <w:rFonts w:hint="eastAsia" w:ascii="宋体" w:hAnsi="宋体" w:eastAsia="宋体" w:cs="宋体"/>
                <w:color w:val="auto"/>
                <w:sz w:val="24"/>
                <w:szCs w:val="24"/>
                <w:highlight w:val="none"/>
                <w:lang w:bidi="ar"/>
              </w:rPr>
              <w:t>20</w:t>
            </w:r>
            <w:r>
              <w:rPr>
                <w:rStyle w:val="152"/>
                <w:rFonts w:hint="eastAsia" w:ascii="宋体" w:hAnsi="宋体" w:eastAsia="宋体" w:cs="宋体"/>
                <w:color w:val="auto"/>
                <w:sz w:val="24"/>
                <w:szCs w:val="24"/>
                <w:highlight w:val="none"/>
                <w:lang w:bidi="ar"/>
              </w:rPr>
              <w:t>天，</w:t>
            </w:r>
            <w:r>
              <w:rPr>
                <w:rStyle w:val="151"/>
                <w:rFonts w:hint="eastAsia" w:ascii="宋体" w:hAnsi="宋体" w:eastAsia="宋体" w:cs="宋体"/>
                <w:color w:val="auto"/>
                <w:sz w:val="24"/>
                <w:szCs w:val="24"/>
                <w:highlight w:val="none"/>
                <w:lang w:bidi="ar"/>
              </w:rPr>
              <w:t>5000</w:t>
            </w:r>
            <w:r>
              <w:rPr>
                <w:rStyle w:val="152"/>
                <w:rFonts w:hint="eastAsia" w:ascii="宋体" w:hAnsi="宋体" w:eastAsia="宋体" w:cs="宋体"/>
                <w:color w:val="auto"/>
                <w:sz w:val="24"/>
                <w:szCs w:val="24"/>
                <w:highlight w:val="none"/>
                <w:lang w:bidi="ar"/>
              </w:rPr>
              <w:t>万元</w:t>
            </w:r>
            <w:r>
              <w:rPr>
                <w:rStyle w:val="151"/>
                <w:rFonts w:hint="eastAsia" w:ascii="宋体" w:hAnsi="宋体" w:eastAsia="宋体" w:cs="宋体"/>
                <w:color w:val="auto"/>
                <w:sz w:val="24"/>
                <w:szCs w:val="24"/>
                <w:highlight w:val="none"/>
                <w:lang w:bidi="ar"/>
              </w:rPr>
              <w:t>-1</w:t>
            </w:r>
            <w:r>
              <w:rPr>
                <w:rStyle w:val="152"/>
                <w:rFonts w:hint="eastAsia" w:ascii="宋体" w:hAnsi="宋体" w:eastAsia="宋体" w:cs="宋体"/>
                <w:color w:val="auto"/>
                <w:sz w:val="24"/>
                <w:szCs w:val="24"/>
                <w:highlight w:val="none"/>
                <w:lang w:bidi="ar"/>
              </w:rPr>
              <w:t>亿元项目</w:t>
            </w:r>
            <w:r>
              <w:rPr>
                <w:rStyle w:val="151"/>
                <w:rFonts w:hint="eastAsia" w:ascii="宋体" w:hAnsi="宋体" w:eastAsia="宋体" w:cs="宋体"/>
                <w:color w:val="auto"/>
                <w:sz w:val="24"/>
                <w:szCs w:val="24"/>
                <w:highlight w:val="none"/>
                <w:lang w:bidi="ar"/>
              </w:rPr>
              <w:t>25</w:t>
            </w:r>
            <w:r>
              <w:rPr>
                <w:rStyle w:val="152"/>
                <w:rFonts w:hint="eastAsia" w:ascii="宋体" w:hAnsi="宋体" w:eastAsia="宋体" w:cs="宋体"/>
                <w:color w:val="auto"/>
                <w:sz w:val="24"/>
                <w:szCs w:val="24"/>
                <w:highlight w:val="none"/>
                <w:lang w:bidi="ar"/>
              </w:rPr>
              <w:t>天，</w:t>
            </w:r>
            <w:r>
              <w:rPr>
                <w:rStyle w:val="151"/>
                <w:rFonts w:hint="eastAsia" w:ascii="宋体" w:hAnsi="宋体" w:eastAsia="宋体" w:cs="宋体"/>
                <w:color w:val="auto"/>
                <w:sz w:val="24"/>
                <w:szCs w:val="24"/>
                <w:highlight w:val="none"/>
                <w:lang w:bidi="ar"/>
              </w:rPr>
              <w:t>1</w:t>
            </w:r>
            <w:r>
              <w:rPr>
                <w:rStyle w:val="152"/>
                <w:rFonts w:hint="eastAsia" w:ascii="宋体" w:hAnsi="宋体" w:eastAsia="宋体" w:cs="宋体"/>
                <w:color w:val="auto"/>
                <w:sz w:val="24"/>
                <w:szCs w:val="24"/>
                <w:highlight w:val="none"/>
                <w:lang w:bidi="ar"/>
              </w:rPr>
              <w:t>亿元以上项目不低于</w:t>
            </w:r>
            <w:r>
              <w:rPr>
                <w:rStyle w:val="151"/>
                <w:rFonts w:hint="eastAsia" w:ascii="宋体" w:hAnsi="宋体" w:eastAsia="宋体" w:cs="宋体"/>
                <w:color w:val="auto"/>
                <w:sz w:val="24"/>
                <w:szCs w:val="24"/>
                <w:highlight w:val="none"/>
                <w:lang w:bidi="ar"/>
              </w:rPr>
              <w:t>30</w:t>
            </w:r>
            <w:r>
              <w:rPr>
                <w:rStyle w:val="152"/>
                <w:rFonts w:hint="eastAsia" w:ascii="宋体" w:hAnsi="宋体" w:eastAsia="宋体" w:cs="宋体"/>
                <w:color w:val="auto"/>
                <w:sz w:val="24"/>
                <w:szCs w:val="24"/>
                <w:highlight w:val="none"/>
                <w:lang w:bidi="ar"/>
              </w:rPr>
              <w:t>天，特殊项目经处领导同意可以适当缩短或延长编制时间</w:t>
            </w:r>
            <w:r>
              <w:rPr>
                <w:rStyle w:val="152"/>
                <w:rFonts w:hint="eastAsia" w:ascii="宋体" w:hAnsi="宋体" w:eastAsia="宋体" w:cs="宋体"/>
                <w:color w:val="auto"/>
                <w:sz w:val="24"/>
                <w:szCs w:val="24"/>
                <w:highlight w:val="none"/>
                <w:lang w:eastAsia="zh-CN" w:bidi="ar"/>
              </w:rPr>
              <w:t>。每延误</w:t>
            </w:r>
            <w:r>
              <w:rPr>
                <w:rStyle w:val="152"/>
                <w:rFonts w:hint="eastAsia" w:ascii="宋体" w:hAnsi="宋体" w:eastAsia="宋体" w:cs="宋体"/>
                <w:color w:val="auto"/>
                <w:sz w:val="24"/>
                <w:szCs w:val="24"/>
                <w:highlight w:val="none"/>
                <w:lang w:val="en-US" w:eastAsia="zh-CN" w:bidi="ar"/>
              </w:rPr>
              <w:t>1</w:t>
            </w:r>
            <w:r>
              <w:rPr>
                <w:rStyle w:val="152"/>
                <w:rFonts w:hint="eastAsia" w:ascii="宋体" w:hAnsi="宋体" w:eastAsia="宋体" w:cs="宋体"/>
                <w:color w:val="auto"/>
                <w:sz w:val="24"/>
                <w:szCs w:val="24"/>
                <w:highlight w:val="none"/>
                <w:lang w:eastAsia="zh-CN" w:bidi="ar"/>
              </w:rPr>
              <w:t>天扣</w:t>
            </w:r>
            <w:r>
              <w:rPr>
                <w:rStyle w:val="152"/>
                <w:rFonts w:hint="eastAsia" w:ascii="宋体" w:hAnsi="宋体" w:eastAsia="宋体" w:cs="宋体"/>
                <w:color w:val="auto"/>
                <w:sz w:val="24"/>
                <w:szCs w:val="24"/>
                <w:highlight w:val="none"/>
                <w:lang w:val="en-US" w:eastAsia="zh-CN" w:bidi="ar"/>
              </w:rPr>
              <w:t>1分，扣完为止。</w:t>
            </w:r>
          </w:p>
        </w:tc>
      </w:tr>
      <w:tr w14:paraId="51F6AAFA">
        <w:tblPrEx>
          <w:tblCellMar>
            <w:top w:w="0" w:type="dxa"/>
            <w:left w:w="0" w:type="dxa"/>
            <w:bottom w:w="0" w:type="dxa"/>
            <w:right w:w="0" w:type="dxa"/>
          </w:tblCellMar>
        </w:tblPrEx>
        <w:trPr>
          <w:trHeight w:val="480" w:hRule="atLeast"/>
          <w:jc w:val="center"/>
        </w:trPr>
        <w:tc>
          <w:tcPr>
            <w:tcW w:w="640" w:type="dxa"/>
            <w:vMerge w:val="continue"/>
            <w:tcBorders>
              <w:left w:val="single" w:color="000000" w:sz="4" w:space="0"/>
              <w:right w:val="single" w:color="000000" w:sz="4" w:space="0"/>
            </w:tcBorders>
            <w:noWrap w:val="0"/>
            <w:tcMar>
              <w:top w:w="15" w:type="dxa"/>
              <w:left w:w="15" w:type="dxa"/>
              <w:right w:w="15" w:type="dxa"/>
            </w:tcMar>
            <w:vAlign w:val="center"/>
          </w:tcPr>
          <w:p w14:paraId="5C5976F3">
            <w:pPr>
              <w:jc w:val="center"/>
              <w:rPr>
                <w:rFonts w:hint="eastAsia" w:ascii="宋体" w:hAnsi="宋体" w:eastAsia="宋体" w:cs="宋体"/>
                <w:color w:val="auto"/>
                <w:sz w:val="24"/>
                <w:szCs w:val="24"/>
                <w:highlight w:val="none"/>
              </w:rPr>
            </w:pPr>
          </w:p>
        </w:tc>
        <w:tc>
          <w:tcPr>
            <w:tcW w:w="689" w:type="dxa"/>
            <w:vMerge w:val="continue"/>
            <w:tcBorders>
              <w:left w:val="single" w:color="000000" w:sz="4" w:space="0"/>
              <w:right w:val="single" w:color="000000" w:sz="4" w:space="0"/>
            </w:tcBorders>
            <w:noWrap w:val="0"/>
            <w:tcMar>
              <w:top w:w="15" w:type="dxa"/>
              <w:left w:w="15" w:type="dxa"/>
              <w:right w:w="15" w:type="dxa"/>
            </w:tcMar>
            <w:vAlign w:val="center"/>
          </w:tcPr>
          <w:p w14:paraId="45665FCB">
            <w:pPr>
              <w:jc w:val="center"/>
              <w:rPr>
                <w:rFonts w:hint="eastAsia" w:ascii="宋体" w:hAnsi="宋体" w:eastAsia="宋体" w:cs="宋体"/>
                <w:color w:val="auto"/>
                <w:sz w:val="24"/>
                <w:szCs w:val="24"/>
                <w:highlight w:val="none"/>
              </w:rPr>
            </w:pPr>
          </w:p>
        </w:tc>
        <w:tc>
          <w:tcPr>
            <w:tcW w:w="29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517F0DF">
            <w:pPr>
              <w:widowControl/>
              <w:jc w:val="left"/>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val="en-US" w:eastAsia="zh-CN" w:bidi="ar"/>
              </w:rPr>
              <w:t>4.</w:t>
            </w:r>
            <w:r>
              <w:rPr>
                <w:rFonts w:hint="eastAsia" w:ascii="宋体" w:hAnsi="宋体" w:eastAsia="宋体" w:cs="宋体"/>
                <w:color w:val="auto"/>
                <w:kern w:val="0"/>
                <w:sz w:val="24"/>
                <w:szCs w:val="24"/>
                <w:highlight w:val="none"/>
                <w:lang w:bidi="ar"/>
              </w:rPr>
              <w:t>会审发现错漏情况</w:t>
            </w:r>
          </w:p>
        </w:tc>
        <w:tc>
          <w:tcPr>
            <w:tcW w:w="5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29815B9">
            <w:pPr>
              <w:widowControl/>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20</w:t>
            </w:r>
          </w:p>
        </w:tc>
        <w:tc>
          <w:tcPr>
            <w:tcW w:w="7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B1A53B9">
            <w:pPr>
              <w:jc w:val="left"/>
              <w:rPr>
                <w:rFonts w:hint="eastAsia" w:ascii="宋体" w:hAnsi="宋体" w:eastAsia="宋体" w:cs="宋体"/>
                <w:color w:val="auto"/>
                <w:sz w:val="24"/>
                <w:szCs w:val="24"/>
                <w:highlight w:val="none"/>
              </w:rPr>
            </w:pPr>
          </w:p>
        </w:tc>
        <w:tc>
          <w:tcPr>
            <w:tcW w:w="10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36D491F">
            <w:pPr>
              <w:jc w:val="left"/>
              <w:rPr>
                <w:rFonts w:hint="eastAsia" w:ascii="宋体" w:hAnsi="宋体" w:eastAsia="宋体" w:cs="宋体"/>
                <w:color w:val="auto"/>
                <w:sz w:val="24"/>
                <w:szCs w:val="24"/>
                <w:highlight w:val="none"/>
              </w:rPr>
            </w:pPr>
          </w:p>
        </w:tc>
        <w:tc>
          <w:tcPr>
            <w:tcW w:w="385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940C9C1">
            <w:pPr>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本项基本分</w:t>
            </w:r>
            <w:r>
              <w:rPr>
                <w:rFonts w:hint="eastAsia" w:ascii="宋体" w:hAnsi="宋体" w:eastAsia="宋体" w:cs="宋体"/>
                <w:color w:val="auto"/>
                <w:kern w:val="0"/>
                <w:sz w:val="24"/>
                <w:szCs w:val="24"/>
                <w:highlight w:val="none"/>
                <w:lang w:val="en-US" w:eastAsia="zh-CN" w:bidi="ar"/>
              </w:rPr>
              <w:t>20</w:t>
            </w:r>
            <w:r>
              <w:rPr>
                <w:rFonts w:hint="eastAsia" w:ascii="宋体" w:hAnsi="宋体" w:eastAsia="宋体" w:cs="宋体"/>
                <w:color w:val="auto"/>
                <w:kern w:val="0"/>
                <w:sz w:val="24"/>
                <w:szCs w:val="24"/>
                <w:highlight w:val="none"/>
                <w:lang w:bidi="ar"/>
              </w:rPr>
              <w:t>分，出现</w:t>
            </w:r>
            <w:r>
              <w:rPr>
                <w:rFonts w:hint="eastAsia" w:ascii="宋体" w:hAnsi="宋体" w:eastAsia="宋体" w:cs="宋体"/>
                <w:color w:val="auto"/>
                <w:kern w:val="0"/>
                <w:sz w:val="24"/>
                <w:szCs w:val="24"/>
                <w:highlight w:val="none"/>
                <w:lang w:eastAsia="zh-CN" w:bidi="ar"/>
              </w:rPr>
              <w:t>单项</w:t>
            </w:r>
            <w:r>
              <w:rPr>
                <w:rFonts w:hint="eastAsia" w:ascii="宋体" w:hAnsi="宋体" w:eastAsia="宋体" w:cs="宋体"/>
                <w:color w:val="auto"/>
                <w:kern w:val="0"/>
                <w:sz w:val="24"/>
                <w:szCs w:val="24"/>
                <w:highlight w:val="none"/>
                <w:lang w:bidi="ar"/>
              </w:rPr>
              <w:t>工程量计算误差超过15%每项扣1分，清单描述错误或未描述或描述不清楚或组价错误每项扣2分，取费错误每项扣5分，扣完为止</w:t>
            </w:r>
          </w:p>
        </w:tc>
      </w:tr>
      <w:tr w14:paraId="309F01E5">
        <w:tblPrEx>
          <w:tblCellMar>
            <w:top w:w="0" w:type="dxa"/>
            <w:left w:w="0" w:type="dxa"/>
            <w:bottom w:w="0" w:type="dxa"/>
            <w:right w:w="0" w:type="dxa"/>
          </w:tblCellMar>
        </w:tblPrEx>
        <w:trPr>
          <w:trHeight w:val="932" w:hRule="atLeast"/>
          <w:jc w:val="center"/>
        </w:trPr>
        <w:tc>
          <w:tcPr>
            <w:tcW w:w="640" w:type="dxa"/>
            <w:vMerge w:val="continue"/>
            <w:tcBorders>
              <w:left w:val="single" w:color="000000" w:sz="4" w:space="0"/>
              <w:right w:val="single" w:color="000000" w:sz="4" w:space="0"/>
            </w:tcBorders>
            <w:noWrap w:val="0"/>
            <w:tcMar>
              <w:top w:w="15" w:type="dxa"/>
              <w:left w:w="15" w:type="dxa"/>
              <w:right w:w="15" w:type="dxa"/>
            </w:tcMar>
            <w:vAlign w:val="center"/>
          </w:tcPr>
          <w:p w14:paraId="178380BC">
            <w:pPr>
              <w:jc w:val="center"/>
              <w:rPr>
                <w:rFonts w:hint="eastAsia" w:ascii="宋体" w:hAnsi="宋体" w:eastAsia="宋体" w:cs="宋体"/>
                <w:color w:val="auto"/>
                <w:sz w:val="24"/>
                <w:szCs w:val="24"/>
                <w:highlight w:val="none"/>
              </w:rPr>
            </w:pPr>
          </w:p>
        </w:tc>
        <w:tc>
          <w:tcPr>
            <w:tcW w:w="689" w:type="dxa"/>
            <w:vMerge w:val="continue"/>
            <w:tcBorders>
              <w:left w:val="single" w:color="000000" w:sz="4" w:space="0"/>
              <w:right w:val="single" w:color="000000" w:sz="4" w:space="0"/>
            </w:tcBorders>
            <w:noWrap w:val="0"/>
            <w:tcMar>
              <w:top w:w="15" w:type="dxa"/>
              <w:left w:w="15" w:type="dxa"/>
              <w:right w:w="15" w:type="dxa"/>
            </w:tcMar>
            <w:vAlign w:val="center"/>
          </w:tcPr>
          <w:p w14:paraId="5E8AF4BE">
            <w:pPr>
              <w:jc w:val="center"/>
              <w:rPr>
                <w:rFonts w:hint="eastAsia" w:ascii="宋体" w:hAnsi="宋体" w:eastAsia="宋体" w:cs="宋体"/>
                <w:color w:val="auto"/>
                <w:sz w:val="24"/>
                <w:szCs w:val="24"/>
                <w:highlight w:val="none"/>
              </w:rPr>
            </w:pPr>
          </w:p>
        </w:tc>
        <w:tc>
          <w:tcPr>
            <w:tcW w:w="29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04516EF">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5.</w:t>
            </w:r>
            <w:r>
              <w:rPr>
                <w:rFonts w:hint="eastAsia" w:ascii="宋体" w:hAnsi="宋体" w:eastAsia="宋体" w:cs="宋体"/>
                <w:color w:val="auto"/>
                <w:kern w:val="0"/>
                <w:sz w:val="24"/>
                <w:szCs w:val="24"/>
                <w:highlight w:val="none"/>
                <w:lang w:bidi="ar"/>
              </w:rPr>
              <w:t>成果文件修改定稿时间满足会议要求</w:t>
            </w:r>
          </w:p>
        </w:tc>
        <w:tc>
          <w:tcPr>
            <w:tcW w:w="5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2C8526C">
            <w:pPr>
              <w:widowControl/>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10</w:t>
            </w:r>
          </w:p>
        </w:tc>
        <w:tc>
          <w:tcPr>
            <w:tcW w:w="7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5DA33EC">
            <w:pPr>
              <w:jc w:val="left"/>
              <w:rPr>
                <w:rFonts w:hint="eastAsia" w:ascii="宋体" w:hAnsi="宋体" w:eastAsia="宋体" w:cs="宋体"/>
                <w:color w:val="auto"/>
                <w:sz w:val="24"/>
                <w:szCs w:val="24"/>
                <w:highlight w:val="none"/>
              </w:rPr>
            </w:pPr>
          </w:p>
        </w:tc>
        <w:tc>
          <w:tcPr>
            <w:tcW w:w="10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694B524">
            <w:pPr>
              <w:jc w:val="left"/>
              <w:rPr>
                <w:rFonts w:hint="eastAsia" w:ascii="宋体" w:hAnsi="宋体" w:eastAsia="宋体" w:cs="宋体"/>
                <w:color w:val="auto"/>
                <w:sz w:val="24"/>
                <w:szCs w:val="24"/>
                <w:highlight w:val="none"/>
              </w:rPr>
            </w:pPr>
          </w:p>
        </w:tc>
        <w:tc>
          <w:tcPr>
            <w:tcW w:w="385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1207A4D">
            <w:pPr>
              <w:jc w:val="left"/>
              <w:rPr>
                <w:rFonts w:hint="eastAsia" w:ascii="宋体" w:hAnsi="宋体" w:eastAsia="宋体" w:cs="宋体"/>
                <w:color w:val="auto"/>
                <w:sz w:val="24"/>
                <w:szCs w:val="24"/>
                <w:highlight w:val="none"/>
              </w:rPr>
            </w:pPr>
          </w:p>
        </w:tc>
      </w:tr>
      <w:tr w14:paraId="6DB27192">
        <w:tblPrEx>
          <w:tblCellMar>
            <w:top w:w="0" w:type="dxa"/>
            <w:left w:w="0" w:type="dxa"/>
            <w:bottom w:w="0" w:type="dxa"/>
            <w:right w:w="0" w:type="dxa"/>
          </w:tblCellMar>
        </w:tblPrEx>
        <w:trPr>
          <w:trHeight w:val="872" w:hRule="atLeast"/>
          <w:jc w:val="center"/>
        </w:trPr>
        <w:tc>
          <w:tcPr>
            <w:tcW w:w="640" w:type="dxa"/>
            <w:vMerge w:val="continue"/>
            <w:tcBorders>
              <w:left w:val="single" w:color="000000" w:sz="4" w:space="0"/>
              <w:right w:val="single" w:color="000000" w:sz="4" w:space="0"/>
            </w:tcBorders>
            <w:noWrap w:val="0"/>
            <w:tcMar>
              <w:top w:w="15" w:type="dxa"/>
              <w:left w:w="15" w:type="dxa"/>
              <w:right w:w="15" w:type="dxa"/>
            </w:tcMar>
            <w:vAlign w:val="center"/>
          </w:tcPr>
          <w:p w14:paraId="4EFD5C08">
            <w:pPr>
              <w:jc w:val="center"/>
              <w:rPr>
                <w:rFonts w:hint="eastAsia" w:ascii="宋体" w:hAnsi="宋体" w:eastAsia="宋体" w:cs="宋体"/>
                <w:color w:val="auto"/>
                <w:sz w:val="24"/>
                <w:szCs w:val="24"/>
                <w:highlight w:val="none"/>
              </w:rPr>
            </w:pPr>
          </w:p>
        </w:tc>
        <w:tc>
          <w:tcPr>
            <w:tcW w:w="689" w:type="dxa"/>
            <w:vMerge w:val="continue"/>
            <w:tcBorders>
              <w:left w:val="single" w:color="000000" w:sz="4" w:space="0"/>
              <w:right w:val="single" w:color="000000" w:sz="4" w:space="0"/>
            </w:tcBorders>
            <w:noWrap w:val="0"/>
            <w:tcMar>
              <w:top w:w="15" w:type="dxa"/>
              <w:left w:w="15" w:type="dxa"/>
              <w:right w:w="15" w:type="dxa"/>
            </w:tcMar>
            <w:vAlign w:val="center"/>
          </w:tcPr>
          <w:p w14:paraId="7F8537A7">
            <w:pPr>
              <w:jc w:val="center"/>
              <w:rPr>
                <w:rFonts w:hint="eastAsia" w:ascii="宋体" w:hAnsi="宋体" w:eastAsia="宋体" w:cs="宋体"/>
                <w:color w:val="auto"/>
                <w:sz w:val="24"/>
                <w:szCs w:val="24"/>
                <w:highlight w:val="none"/>
              </w:rPr>
            </w:pPr>
          </w:p>
        </w:tc>
        <w:tc>
          <w:tcPr>
            <w:tcW w:w="29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4FC02E5">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6.</w:t>
            </w:r>
            <w:r>
              <w:rPr>
                <w:rFonts w:hint="eastAsia" w:ascii="宋体" w:hAnsi="宋体" w:eastAsia="宋体" w:cs="宋体"/>
                <w:color w:val="auto"/>
                <w:kern w:val="0"/>
                <w:sz w:val="24"/>
                <w:szCs w:val="24"/>
                <w:highlight w:val="none"/>
                <w:lang w:eastAsia="zh-CN" w:bidi="ar"/>
              </w:rPr>
              <w:t>备忘录（</w:t>
            </w:r>
            <w:r>
              <w:rPr>
                <w:rFonts w:hint="eastAsia" w:ascii="宋体" w:hAnsi="宋体" w:eastAsia="宋体" w:cs="宋体"/>
                <w:color w:val="auto"/>
                <w:kern w:val="0"/>
                <w:sz w:val="24"/>
                <w:szCs w:val="24"/>
                <w:highlight w:val="none"/>
                <w:lang w:bidi="ar"/>
              </w:rPr>
              <w:t>编制说明</w:t>
            </w:r>
            <w:r>
              <w:rPr>
                <w:rFonts w:hint="eastAsia" w:ascii="宋体" w:hAnsi="宋体" w:eastAsia="宋体" w:cs="宋体"/>
                <w:color w:val="auto"/>
                <w:kern w:val="0"/>
                <w:sz w:val="24"/>
                <w:szCs w:val="24"/>
                <w:highlight w:val="none"/>
                <w:lang w:eastAsia="zh-CN" w:bidi="ar"/>
              </w:rPr>
              <w:t>）</w:t>
            </w:r>
          </w:p>
        </w:tc>
        <w:tc>
          <w:tcPr>
            <w:tcW w:w="5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6210E4D">
            <w:pPr>
              <w:widowControl/>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10</w:t>
            </w:r>
          </w:p>
        </w:tc>
        <w:tc>
          <w:tcPr>
            <w:tcW w:w="7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09A71A5">
            <w:pPr>
              <w:jc w:val="left"/>
              <w:rPr>
                <w:rFonts w:hint="eastAsia" w:ascii="宋体" w:hAnsi="宋体" w:eastAsia="宋体" w:cs="宋体"/>
                <w:b/>
                <w:color w:val="auto"/>
                <w:sz w:val="24"/>
                <w:szCs w:val="24"/>
                <w:highlight w:val="none"/>
              </w:rPr>
            </w:pPr>
          </w:p>
        </w:tc>
        <w:tc>
          <w:tcPr>
            <w:tcW w:w="10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23B976F">
            <w:pPr>
              <w:jc w:val="left"/>
              <w:rPr>
                <w:rFonts w:hint="eastAsia" w:ascii="宋体" w:hAnsi="宋体" w:eastAsia="宋体" w:cs="宋体"/>
                <w:b/>
                <w:color w:val="auto"/>
                <w:sz w:val="24"/>
                <w:szCs w:val="24"/>
                <w:highlight w:val="none"/>
              </w:rPr>
            </w:pPr>
          </w:p>
        </w:tc>
        <w:tc>
          <w:tcPr>
            <w:tcW w:w="385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B3E0EDB">
            <w:pPr>
              <w:jc w:val="left"/>
              <w:rPr>
                <w:rFonts w:hint="eastAsia" w:ascii="宋体" w:hAnsi="宋体" w:eastAsia="宋体" w:cs="宋体"/>
                <w:color w:val="auto"/>
                <w:sz w:val="24"/>
                <w:szCs w:val="24"/>
                <w:highlight w:val="none"/>
              </w:rPr>
            </w:pPr>
          </w:p>
        </w:tc>
      </w:tr>
      <w:tr w14:paraId="5775DAA0">
        <w:tblPrEx>
          <w:tblCellMar>
            <w:top w:w="0" w:type="dxa"/>
            <w:left w:w="0" w:type="dxa"/>
            <w:bottom w:w="0" w:type="dxa"/>
            <w:right w:w="0" w:type="dxa"/>
          </w:tblCellMar>
        </w:tblPrEx>
        <w:trPr>
          <w:trHeight w:val="90" w:hRule="atLeast"/>
          <w:jc w:val="center"/>
        </w:trPr>
        <w:tc>
          <w:tcPr>
            <w:tcW w:w="640" w:type="dxa"/>
            <w:vMerge w:val="continue"/>
            <w:tcBorders>
              <w:left w:val="single" w:color="000000" w:sz="4" w:space="0"/>
              <w:bottom w:val="single" w:color="auto" w:sz="4" w:space="0"/>
              <w:right w:val="single" w:color="000000" w:sz="4" w:space="0"/>
            </w:tcBorders>
            <w:noWrap w:val="0"/>
            <w:tcMar>
              <w:top w:w="15" w:type="dxa"/>
              <w:left w:w="15" w:type="dxa"/>
              <w:right w:w="15" w:type="dxa"/>
            </w:tcMar>
            <w:vAlign w:val="center"/>
          </w:tcPr>
          <w:p w14:paraId="54F66D9B">
            <w:pPr>
              <w:jc w:val="center"/>
              <w:rPr>
                <w:rFonts w:hint="eastAsia" w:ascii="宋体" w:hAnsi="宋体" w:eastAsia="宋体" w:cs="宋体"/>
                <w:color w:val="auto"/>
                <w:sz w:val="24"/>
                <w:szCs w:val="24"/>
                <w:highlight w:val="none"/>
              </w:rPr>
            </w:pPr>
          </w:p>
        </w:tc>
        <w:tc>
          <w:tcPr>
            <w:tcW w:w="689" w:type="dxa"/>
            <w:vMerge w:val="continue"/>
            <w:tcBorders>
              <w:left w:val="single" w:color="000000" w:sz="4" w:space="0"/>
              <w:bottom w:val="single" w:color="auto" w:sz="4" w:space="0"/>
              <w:right w:val="single" w:color="000000" w:sz="4" w:space="0"/>
            </w:tcBorders>
            <w:noWrap w:val="0"/>
            <w:tcMar>
              <w:top w:w="15" w:type="dxa"/>
              <w:left w:w="15" w:type="dxa"/>
              <w:right w:w="15" w:type="dxa"/>
            </w:tcMar>
            <w:vAlign w:val="center"/>
          </w:tcPr>
          <w:p w14:paraId="1336D4F2">
            <w:pPr>
              <w:jc w:val="center"/>
              <w:rPr>
                <w:rFonts w:hint="eastAsia" w:ascii="宋体" w:hAnsi="宋体" w:eastAsia="宋体" w:cs="宋体"/>
                <w:color w:val="auto"/>
                <w:sz w:val="24"/>
                <w:szCs w:val="24"/>
                <w:highlight w:val="none"/>
              </w:rPr>
            </w:pPr>
          </w:p>
        </w:tc>
        <w:tc>
          <w:tcPr>
            <w:tcW w:w="2928"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3C67EA44">
            <w:pPr>
              <w:widowControl/>
              <w:jc w:val="left"/>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7.业主综合评价</w:t>
            </w:r>
          </w:p>
        </w:tc>
        <w:tc>
          <w:tcPr>
            <w:tcW w:w="5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25A1261">
            <w:pPr>
              <w:widowControl/>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10</w:t>
            </w:r>
          </w:p>
        </w:tc>
        <w:tc>
          <w:tcPr>
            <w:tcW w:w="7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5F55E1B">
            <w:pPr>
              <w:jc w:val="left"/>
              <w:rPr>
                <w:rFonts w:hint="eastAsia" w:ascii="宋体" w:hAnsi="宋体" w:eastAsia="宋体" w:cs="宋体"/>
                <w:b/>
                <w:color w:val="auto"/>
                <w:sz w:val="24"/>
                <w:szCs w:val="24"/>
                <w:highlight w:val="none"/>
              </w:rPr>
            </w:pPr>
          </w:p>
        </w:tc>
        <w:tc>
          <w:tcPr>
            <w:tcW w:w="10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004FF4E">
            <w:pPr>
              <w:jc w:val="left"/>
              <w:rPr>
                <w:rFonts w:hint="eastAsia" w:ascii="宋体" w:hAnsi="宋体" w:eastAsia="宋体" w:cs="宋体"/>
                <w:b/>
                <w:color w:val="auto"/>
                <w:sz w:val="24"/>
                <w:szCs w:val="24"/>
                <w:highlight w:val="none"/>
              </w:rPr>
            </w:pPr>
          </w:p>
        </w:tc>
        <w:tc>
          <w:tcPr>
            <w:tcW w:w="385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243E003">
            <w:pPr>
              <w:jc w:val="left"/>
              <w:rPr>
                <w:rFonts w:hint="eastAsia" w:ascii="宋体" w:hAnsi="宋体" w:eastAsia="宋体" w:cs="宋体"/>
                <w:color w:val="auto"/>
                <w:sz w:val="24"/>
                <w:szCs w:val="24"/>
                <w:highlight w:val="none"/>
              </w:rPr>
            </w:pPr>
          </w:p>
        </w:tc>
      </w:tr>
      <w:tr w14:paraId="7415EC50">
        <w:tblPrEx>
          <w:tblCellMar>
            <w:top w:w="0" w:type="dxa"/>
            <w:left w:w="0" w:type="dxa"/>
            <w:bottom w:w="0" w:type="dxa"/>
            <w:right w:w="0" w:type="dxa"/>
          </w:tblCellMar>
        </w:tblPrEx>
        <w:trPr>
          <w:trHeight w:val="1400" w:hRule="atLeast"/>
          <w:jc w:val="center"/>
        </w:trPr>
        <w:tc>
          <w:tcPr>
            <w:tcW w:w="640" w:type="dxa"/>
            <w:vMerge w:val="restart"/>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4BF372A1">
            <w:pPr>
              <w:widowControl/>
              <w:jc w:val="center"/>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eastAsia="zh-CN" w:bidi="ar"/>
              </w:rPr>
              <w:t>二</w:t>
            </w:r>
          </w:p>
        </w:tc>
        <w:tc>
          <w:tcPr>
            <w:tcW w:w="689" w:type="dxa"/>
            <w:vMerge w:val="restart"/>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507A8936">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扣分项</w:t>
            </w:r>
          </w:p>
        </w:tc>
        <w:tc>
          <w:tcPr>
            <w:tcW w:w="2928"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6B04EDCF">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8.</w:t>
            </w:r>
            <w:r>
              <w:rPr>
                <w:rFonts w:hint="eastAsia" w:ascii="宋体" w:hAnsi="宋体" w:eastAsia="宋体" w:cs="宋体"/>
                <w:color w:val="auto"/>
                <w:kern w:val="0"/>
                <w:sz w:val="24"/>
                <w:szCs w:val="24"/>
                <w:highlight w:val="none"/>
                <w:lang w:bidi="ar"/>
              </w:rPr>
              <w:t>存在转包、违法分包嫌疑</w:t>
            </w:r>
          </w:p>
        </w:tc>
        <w:tc>
          <w:tcPr>
            <w:tcW w:w="566"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62ED75EF">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 xml:space="preserve"> </w:t>
            </w:r>
          </w:p>
        </w:tc>
        <w:tc>
          <w:tcPr>
            <w:tcW w:w="7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A7EC1DC">
            <w:pPr>
              <w:jc w:val="left"/>
              <w:rPr>
                <w:rFonts w:hint="eastAsia" w:ascii="宋体" w:hAnsi="宋体" w:eastAsia="宋体" w:cs="宋体"/>
                <w:color w:val="auto"/>
                <w:sz w:val="24"/>
                <w:szCs w:val="24"/>
                <w:highlight w:val="none"/>
              </w:rPr>
            </w:pPr>
          </w:p>
        </w:tc>
        <w:tc>
          <w:tcPr>
            <w:tcW w:w="10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86A3976">
            <w:pPr>
              <w:jc w:val="left"/>
              <w:rPr>
                <w:rFonts w:hint="eastAsia" w:ascii="宋体" w:hAnsi="宋体" w:eastAsia="宋体" w:cs="宋体"/>
                <w:color w:val="auto"/>
                <w:sz w:val="24"/>
                <w:szCs w:val="24"/>
                <w:highlight w:val="none"/>
              </w:rPr>
            </w:pPr>
          </w:p>
        </w:tc>
        <w:tc>
          <w:tcPr>
            <w:tcW w:w="385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2F8ECC7">
            <w:pPr>
              <w:widowControl/>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bidi="ar"/>
              </w:rPr>
              <w:t>编制人员与投标</w:t>
            </w:r>
            <w:r>
              <w:rPr>
                <w:rFonts w:hint="eastAsia" w:ascii="宋体" w:hAnsi="宋体" w:eastAsia="宋体" w:cs="宋体"/>
                <w:color w:val="auto"/>
                <w:kern w:val="0"/>
                <w:sz w:val="24"/>
                <w:szCs w:val="24"/>
                <w:highlight w:val="none"/>
                <w:lang w:eastAsia="zh-CN" w:bidi="ar"/>
              </w:rPr>
              <w:t>时</w:t>
            </w:r>
            <w:r>
              <w:rPr>
                <w:rFonts w:hint="eastAsia" w:ascii="宋体" w:hAnsi="宋体" w:eastAsia="宋体" w:cs="宋体"/>
                <w:color w:val="auto"/>
                <w:kern w:val="0"/>
                <w:sz w:val="24"/>
                <w:szCs w:val="24"/>
                <w:highlight w:val="none"/>
                <w:lang w:bidi="ar"/>
              </w:rPr>
              <w:t>人员一致；成果文件签章人员与实际编制人员一致；人员变更报送批准，且变更人员符合项目招标时人员配备要求，不符合要求</w:t>
            </w:r>
            <w:r>
              <w:rPr>
                <w:rFonts w:hint="eastAsia" w:ascii="宋体" w:hAnsi="宋体" w:eastAsia="宋体" w:cs="宋体"/>
                <w:color w:val="auto"/>
                <w:kern w:val="0"/>
                <w:sz w:val="24"/>
                <w:szCs w:val="24"/>
                <w:highlight w:val="none"/>
                <w:lang w:eastAsia="zh-CN" w:bidi="ar"/>
              </w:rPr>
              <w:t>的每项</w:t>
            </w:r>
            <w:r>
              <w:rPr>
                <w:rFonts w:hint="eastAsia" w:ascii="宋体" w:hAnsi="宋体" w:eastAsia="宋体" w:cs="宋体"/>
                <w:color w:val="auto"/>
                <w:kern w:val="0"/>
                <w:sz w:val="24"/>
                <w:szCs w:val="24"/>
                <w:highlight w:val="none"/>
                <w:lang w:bidi="ar"/>
              </w:rPr>
              <w:t>扣10分</w:t>
            </w:r>
          </w:p>
        </w:tc>
      </w:tr>
      <w:tr w14:paraId="4C5FDEF2">
        <w:tblPrEx>
          <w:tblCellMar>
            <w:top w:w="0" w:type="dxa"/>
            <w:left w:w="0" w:type="dxa"/>
            <w:bottom w:w="0" w:type="dxa"/>
            <w:right w:w="0" w:type="dxa"/>
          </w:tblCellMar>
        </w:tblPrEx>
        <w:trPr>
          <w:trHeight w:val="1061" w:hRule="atLeast"/>
          <w:jc w:val="center"/>
        </w:trPr>
        <w:tc>
          <w:tcPr>
            <w:tcW w:w="640" w:type="dxa"/>
            <w:vMerge w:val="continue"/>
            <w:tcBorders>
              <w:top w:val="single" w:color="auto" w:sz="4" w:space="0"/>
              <w:left w:val="single" w:color="auto" w:sz="4" w:space="0"/>
              <w:right w:val="single" w:color="000000" w:sz="4" w:space="0"/>
            </w:tcBorders>
            <w:noWrap w:val="0"/>
            <w:tcMar>
              <w:top w:w="15" w:type="dxa"/>
              <w:left w:w="15" w:type="dxa"/>
              <w:right w:w="15" w:type="dxa"/>
            </w:tcMar>
            <w:vAlign w:val="center"/>
          </w:tcPr>
          <w:p w14:paraId="52A9D0E5">
            <w:pPr>
              <w:jc w:val="center"/>
              <w:rPr>
                <w:rFonts w:hint="eastAsia" w:ascii="宋体" w:hAnsi="宋体" w:eastAsia="宋体" w:cs="宋体"/>
                <w:color w:val="auto"/>
                <w:sz w:val="24"/>
                <w:szCs w:val="24"/>
                <w:highlight w:val="none"/>
              </w:rPr>
            </w:pPr>
          </w:p>
        </w:tc>
        <w:tc>
          <w:tcPr>
            <w:tcW w:w="689" w:type="dxa"/>
            <w:vMerge w:val="continue"/>
            <w:tcBorders>
              <w:top w:val="single" w:color="auto" w:sz="4" w:space="0"/>
              <w:left w:val="single" w:color="000000" w:sz="4" w:space="0"/>
              <w:right w:val="single" w:color="000000" w:sz="4" w:space="0"/>
            </w:tcBorders>
            <w:noWrap w:val="0"/>
            <w:tcMar>
              <w:top w:w="15" w:type="dxa"/>
              <w:left w:w="15" w:type="dxa"/>
              <w:right w:w="15" w:type="dxa"/>
            </w:tcMar>
            <w:vAlign w:val="center"/>
          </w:tcPr>
          <w:p w14:paraId="0D2717B6">
            <w:pPr>
              <w:jc w:val="center"/>
              <w:rPr>
                <w:rFonts w:hint="eastAsia" w:ascii="宋体" w:hAnsi="宋体" w:eastAsia="宋体" w:cs="宋体"/>
                <w:color w:val="auto"/>
                <w:sz w:val="24"/>
                <w:szCs w:val="24"/>
                <w:highlight w:val="none"/>
              </w:rPr>
            </w:pPr>
          </w:p>
        </w:tc>
        <w:tc>
          <w:tcPr>
            <w:tcW w:w="2928" w:type="dxa"/>
            <w:tcBorders>
              <w:top w:val="single" w:color="auto"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A16519A">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9.</w:t>
            </w:r>
            <w:r>
              <w:rPr>
                <w:rFonts w:hint="eastAsia" w:ascii="宋体" w:hAnsi="宋体" w:eastAsia="宋体" w:cs="宋体"/>
                <w:color w:val="auto"/>
                <w:kern w:val="0"/>
                <w:sz w:val="24"/>
                <w:szCs w:val="24"/>
                <w:highlight w:val="none"/>
                <w:lang w:bidi="ar"/>
              </w:rPr>
              <w:t>施工过程中发现清单错漏单项</w:t>
            </w:r>
            <w:r>
              <w:rPr>
                <w:rFonts w:hint="eastAsia" w:ascii="宋体" w:hAnsi="宋体" w:eastAsia="宋体" w:cs="宋体"/>
                <w:color w:val="auto"/>
                <w:kern w:val="0"/>
                <w:sz w:val="24"/>
                <w:szCs w:val="24"/>
                <w:highlight w:val="none"/>
                <w:lang w:val="en-US" w:eastAsia="zh-CN" w:bidi="ar"/>
              </w:rPr>
              <w:t>5万元（含）-30万元（不含）的</w:t>
            </w:r>
          </w:p>
        </w:tc>
        <w:tc>
          <w:tcPr>
            <w:tcW w:w="5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CDF7EE9">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 xml:space="preserve"> </w:t>
            </w:r>
          </w:p>
        </w:tc>
        <w:tc>
          <w:tcPr>
            <w:tcW w:w="7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5878B7D">
            <w:pPr>
              <w:jc w:val="left"/>
              <w:rPr>
                <w:rFonts w:hint="eastAsia" w:ascii="宋体" w:hAnsi="宋体" w:eastAsia="宋体" w:cs="宋体"/>
                <w:color w:val="auto"/>
                <w:sz w:val="24"/>
                <w:szCs w:val="24"/>
                <w:highlight w:val="none"/>
              </w:rPr>
            </w:pPr>
          </w:p>
        </w:tc>
        <w:tc>
          <w:tcPr>
            <w:tcW w:w="10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1FA1D42">
            <w:pPr>
              <w:jc w:val="left"/>
              <w:rPr>
                <w:rFonts w:hint="eastAsia" w:ascii="宋体" w:hAnsi="宋体" w:eastAsia="宋体" w:cs="宋体"/>
                <w:color w:val="auto"/>
                <w:sz w:val="24"/>
                <w:szCs w:val="24"/>
                <w:highlight w:val="none"/>
              </w:rPr>
            </w:pPr>
          </w:p>
        </w:tc>
        <w:tc>
          <w:tcPr>
            <w:tcW w:w="385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B388771">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每次扣5分</w:t>
            </w:r>
          </w:p>
        </w:tc>
      </w:tr>
      <w:tr w14:paraId="6FDD9F37">
        <w:tblPrEx>
          <w:tblCellMar>
            <w:top w:w="0" w:type="dxa"/>
            <w:left w:w="0" w:type="dxa"/>
            <w:bottom w:w="0" w:type="dxa"/>
            <w:right w:w="0" w:type="dxa"/>
          </w:tblCellMar>
        </w:tblPrEx>
        <w:trPr>
          <w:trHeight w:val="1061" w:hRule="atLeast"/>
          <w:jc w:val="center"/>
        </w:trPr>
        <w:tc>
          <w:tcPr>
            <w:tcW w:w="640" w:type="dxa"/>
            <w:vMerge w:val="continue"/>
            <w:tcBorders>
              <w:left w:val="single" w:color="auto" w:sz="4" w:space="0"/>
              <w:right w:val="single" w:color="000000" w:sz="4" w:space="0"/>
            </w:tcBorders>
            <w:noWrap w:val="0"/>
            <w:tcMar>
              <w:top w:w="15" w:type="dxa"/>
              <w:left w:w="15" w:type="dxa"/>
              <w:right w:w="15" w:type="dxa"/>
            </w:tcMar>
            <w:vAlign w:val="center"/>
          </w:tcPr>
          <w:p w14:paraId="5FB92806">
            <w:pPr>
              <w:jc w:val="center"/>
              <w:rPr>
                <w:rFonts w:hint="eastAsia" w:ascii="宋体" w:hAnsi="宋体" w:eastAsia="宋体" w:cs="宋体"/>
                <w:color w:val="auto"/>
                <w:sz w:val="24"/>
                <w:szCs w:val="24"/>
                <w:highlight w:val="none"/>
              </w:rPr>
            </w:pPr>
          </w:p>
        </w:tc>
        <w:tc>
          <w:tcPr>
            <w:tcW w:w="689" w:type="dxa"/>
            <w:vMerge w:val="continue"/>
            <w:tcBorders>
              <w:left w:val="single" w:color="000000" w:sz="4" w:space="0"/>
              <w:right w:val="single" w:color="000000" w:sz="4" w:space="0"/>
            </w:tcBorders>
            <w:noWrap w:val="0"/>
            <w:tcMar>
              <w:top w:w="15" w:type="dxa"/>
              <w:left w:w="15" w:type="dxa"/>
              <w:right w:w="15" w:type="dxa"/>
            </w:tcMar>
            <w:vAlign w:val="center"/>
          </w:tcPr>
          <w:p w14:paraId="5D2B7EE6">
            <w:pPr>
              <w:jc w:val="center"/>
              <w:rPr>
                <w:rFonts w:hint="eastAsia" w:ascii="宋体" w:hAnsi="宋体" w:eastAsia="宋体" w:cs="宋体"/>
                <w:color w:val="auto"/>
                <w:sz w:val="24"/>
                <w:szCs w:val="24"/>
                <w:highlight w:val="none"/>
              </w:rPr>
            </w:pPr>
          </w:p>
        </w:tc>
        <w:tc>
          <w:tcPr>
            <w:tcW w:w="29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EF58212">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10.</w:t>
            </w:r>
            <w:r>
              <w:rPr>
                <w:rFonts w:hint="eastAsia" w:ascii="宋体" w:hAnsi="宋体" w:eastAsia="宋体" w:cs="宋体"/>
                <w:color w:val="auto"/>
                <w:kern w:val="0"/>
                <w:sz w:val="24"/>
                <w:szCs w:val="24"/>
                <w:highlight w:val="none"/>
                <w:lang w:bidi="ar"/>
              </w:rPr>
              <w:t>施工过程中发现清单错漏</w:t>
            </w:r>
            <w:r>
              <w:rPr>
                <w:rFonts w:hint="eastAsia" w:ascii="宋体" w:hAnsi="宋体" w:eastAsia="宋体" w:cs="宋体"/>
                <w:color w:val="auto"/>
                <w:kern w:val="0"/>
                <w:sz w:val="24"/>
                <w:szCs w:val="24"/>
                <w:highlight w:val="none"/>
                <w:lang w:eastAsia="zh-CN" w:bidi="ar"/>
              </w:rPr>
              <w:t>累计</w:t>
            </w:r>
            <w:r>
              <w:rPr>
                <w:rFonts w:hint="eastAsia" w:ascii="宋体" w:hAnsi="宋体" w:eastAsia="宋体" w:cs="宋体"/>
                <w:color w:val="auto"/>
                <w:kern w:val="0"/>
                <w:sz w:val="24"/>
                <w:szCs w:val="24"/>
                <w:highlight w:val="none"/>
                <w:lang w:val="en-US" w:eastAsia="zh-CN" w:bidi="ar"/>
              </w:rPr>
              <w:t>30万元（含）-50万元（不含）的</w:t>
            </w:r>
          </w:p>
        </w:tc>
        <w:tc>
          <w:tcPr>
            <w:tcW w:w="5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B74DF5E">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 xml:space="preserve"> </w:t>
            </w:r>
          </w:p>
        </w:tc>
        <w:tc>
          <w:tcPr>
            <w:tcW w:w="7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9B04291">
            <w:pPr>
              <w:jc w:val="left"/>
              <w:rPr>
                <w:rFonts w:hint="eastAsia" w:ascii="宋体" w:hAnsi="宋体" w:eastAsia="宋体" w:cs="宋体"/>
                <w:color w:val="auto"/>
                <w:sz w:val="24"/>
                <w:szCs w:val="24"/>
                <w:highlight w:val="none"/>
              </w:rPr>
            </w:pPr>
          </w:p>
        </w:tc>
        <w:tc>
          <w:tcPr>
            <w:tcW w:w="10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DBEF5B1">
            <w:pPr>
              <w:jc w:val="left"/>
              <w:rPr>
                <w:rFonts w:hint="eastAsia" w:ascii="宋体" w:hAnsi="宋体" w:eastAsia="宋体" w:cs="宋体"/>
                <w:color w:val="auto"/>
                <w:sz w:val="24"/>
                <w:szCs w:val="24"/>
                <w:highlight w:val="none"/>
              </w:rPr>
            </w:pPr>
          </w:p>
        </w:tc>
        <w:tc>
          <w:tcPr>
            <w:tcW w:w="385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0D2EDDD">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扣</w:t>
            </w:r>
            <w:r>
              <w:rPr>
                <w:rFonts w:hint="eastAsia" w:ascii="宋体" w:hAnsi="宋体" w:eastAsia="宋体" w:cs="宋体"/>
                <w:color w:val="auto"/>
                <w:kern w:val="0"/>
                <w:sz w:val="24"/>
                <w:szCs w:val="24"/>
                <w:highlight w:val="none"/>
                <w:lang w:val="en-US" w:eastAsia="zh-CN" w:bidi="ar"/>
              </w:rPr>
              <w:t>10</w:t>
            </w:r>
            <w:r>
              <w:rPr>
                <w:rFonts w:hint="eastAsia" w:ascii="宋体" w:hAnsi="宋体" w:eastAsia="宋体" w:cs="宋体"/>
                <w:color w:val="auto"/>
                <w:kern w:val="0"/>
                <w:sz w:val="24"/>
                <w:szCs w:val="24"/>
                <w:highlight w:val="none"/>
                <w:lang w:bidi="ar"/>
              </w:rPr>
              <w:t>分</w:t>
            </w:r>
          </w:p>
        </w:tc>
      </w:tr>
      <w:tr w14:paraId="4AD2A937">
        <w:tblPrEx>
          <w:tblCellMar>
            <w:top w:w="0" w:type="dxa"/>
            <w:left w:w="0" w:type="dxa"/>
            <w:bottom w:w="0" w:type="dxa"/>
            <w:right w:w="0" w:type="dxa"/>
          </w:tblCellMar>
        </w:tblPrEx>
        <w:trPr>
          <w:trHeight w:val="1061" w:hRule="atLeast"/>
          <w:jc w:val="center"/>
        </w:trPr>
        <w:tc>
          <w:tcPr>
            <w:tcW w:w="640" w:type="dxa"/>
            <w:vMerge w:val="continue"/>
            <w:tcBorders>
              <w:left w:val="single" w:color="auto" w:sz="4" w:space="0"/>
              <w:right w:val="single" w:color="000000" w:sz="4" w:space="0"/>
            </w:tcBorders>
            <w:noWrap w:val="0"/>
            <w:tcMar>
              <w:top w:w="15" w:type="dxa"/>
              <w:left w:w="15" w:type="dxa"/>
              <w:right w:w="15" w:type="dxa"/>
            </w:tcMar>
            <w:vAlign w:val="center"/>
          </w:tcPr>
          <w:p w14:paraId="2F59AC67">
            <w:pPr>
              <w:jc w:val="center"/>
              <w:rPr>
                <w:rFonts w:hint="eastAsia" w:ascii="宋体" w:hAnsi="宋体" w:eastAsia="宋体" w:cs="宋体"/>
                <w:color w:val="auto"/>
                <w:sz w:val="24"/>
                <w:szCs w:val="24"/>
                <w:highlight w:val="none"/>
              </w:rPr>
            </w:pPr>
          </w:p>
        </w:tc>
        <w:tc>
          <w:tcPr>
            <w:tcW w:w="689" w:type="dxa"/>
            <w:vMerge w:val="continue"/>
            <w:tcBorders>
              <w:left w:val="single" w:color="000000" w:sz="4" w:space="0"/>
              <w:right w:val="single" w:color="000000" w:sz="4" w:space="0"/>
            </w:tcBorders>
            <w:noWrap w:val="0"/>
            <w:tcMar>
              <w:top w:w="15" w:type="dxa"/>
              <w:left w:w="15" w:type="dxa"/>
              <w:right w:w="15" w:type="dxa"/>
            </w:tcMar>
            <w:vAlign w:val="center"/>
          </w:tcPr>
          <w:p w14:paraId="0AF90F2C">
            <w:pPr>
              <w:jc w:val="center"/>
              <w:rPr>
                <w:rFonts w:hint="eastAsia" w:ascii="宋体" w:hAnsi="宋体" w:eastAsia="宋体" w:cs="宋体"/>
                <w:color w:val="auto"/>
                <w:sz w:val="24"/>
                <w:szCs w:val="24"/>
                <w:highlight w:val="none"/>
              </w:rPr>
            </w:pPr>
          </w:p>
        </w:tc>
        <w:tc>
          <w:tcPr>
            <w:tcW w:w="29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37E576E">
            <w:pPr>
              <w:widowControl/>
              <w:jc w:val="left"/>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11.</w:t>
            </w:r>
            <w:r>
              <w:rPr>
                <w:rFonts w:hint="eastAsia" w:ascii="宋体" w:hAnsi="宋体" w:eastAsia="宋体" w:cs="宋体"/>
                <w:color w:val="auto"/>
                <w:kern w:val="0"/>
                <w:sz w:val="24"/>
                <w:szCs w:val="24"/>
                <w:highlight w:val="none"/>
                <w:lang w:bidi="ar"/>
              </w:rPr>
              <w:t>施工过程中发现清单错漏</w:t>
            </w:r>
            <w:r>
              <w:rPr>
                <w:rFonts w:hint="eastAsia" w:ascii="宋体" w:hAnsi="宋体" w:eastAsia="宋体" w:cs="宋体"/>
                <w:color w:val="auto"/>
                <w:kern w:val="0"/>
                <w:sz w:val="24"/>
                <w:szCs w:val="24"/>
                <w:highlight w:val="none"/>
                <w:lang w:eastAsia="zh-CN" w:bidi="ar"/>
              </w:rPr>
              <w:t>累计</w:t>
            </w:r>
            <w:r>
              <w:rPr>
                <w:rFonts w:hint="eastAsia" w:ascii="宋体" w:hAnsi="宋体" w:eastAsia="宋体" w:cs="宋体"/>
                <w:color w:val="auto"/>
                <w:kern w:val="0"/>
                <w:sz w:val="24"/>
                <w:szCs w:val="24"/>
                <w:highlight w:val="none"/>
                <w:lang w:val="en-US" w:eastAsia="zh-CN" w:bidi="ar"/>
              </w:rPr>
              <w:t>50万元（含）-100万元（不含）的</w:t>
            </w:r>
          </w:p>
        </w:tc>
        <w:tc>
          <w:tcPr>
            <w:tcW w:w="5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8B76989">
            <w:pPr>
              <w:widowControl/>
              <w:jc w:val="center"/>
              <w:textAlignment w:val="center"/>
              <w:rPr>
                <w:rFonts w:hint="eastAsia" w:ascii="宋体" w:hAnsi="宋体" w:eastAsia="宋体" w:cs="宋体"/>
                <w:color w:val="auto"/>
                <w:kern w:val="0"/>
                <w:sz w:val="24"/>
                <w:szCs w:val="24"/>
                <w:highlight w:val="none"/>
                <w:lang w:bidi="ar"/>
              </w:rPr>
            </w:pPr>
          </w:p>
        </w:tc>
        <w:tc>
          <w:tcPr>
            <w:tcW w:w="7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2B81CCC">
            <w:pPr>
              <w:jc w:val="left"/>
              <w:rPr>
                <w:rFonts w:hint="eastAsia" w:ascii="宋体" w:hAnsi="宋体" w:eastAsia="宋体" w:cs="宋体"/>
                <w:color w:val="auto"/>
                <w:sz w:val="24"/>
                <w:szCs w:val="24"/>
                <w:highlight w:val="none"/>
              </w:rPr>
            </w:pPr>
          </w:p>
        </w:tc>
        <w:tc>
          <w:tcPr>
            <w:tcW w:w="10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98AAFA1">
            <w:pPr>
              <w:jc w:val="left"/>
              <w:rPr>
                <w:rFonts w:hint="eastAsia" w:ascii="宋体" w:hAnsi="宋体" w:eastAsia="宋体" w:cs="宋体"/>
                <w:color w:val="auto"/>
                <w:sz w:val="24"/>
                <w:szCs w:val="24"/>
                <w:highlight w:val="none"/>
              </w:rPr>
            </w:pPr>
          </w:p>
        </w:tc>
        <w:tc>
          <w:tcPr>
            <w:tcW w:w="385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DE31586">
            <w:pPr>
              <w:widowControl/>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扣</w:t>
            </w:r>
            <w:r>
              <w:rPr>
                <w:rFonts w:hint="eastAsia" w:ascii="宋体" w:hAnsi="宋体" w:eastAsia="宋体" w:cs="宋体"/>
                <w:color w:val="auto"/>
                <w:kern w:val="0"/>
                <w:sz w:val="24"/>
                <w:szCs w:val="24"/>
                <w:highlight w:val="none"/>
                <w:lang w:val="en-US" w:eastAsia="zh-CN" w:bidi="ar"/>
              </w:rPr>
              <w:t>20</w:t>
            </w:r>
            <w:r>
              <w:rPr>
                <w:rFonts w:hint="eastAsia" w:ascii="宋体" w:hAnsi="宋体" w:eastAsia="宋体" w:cs="宋体"/>
                <w:color w:val="auto"/>
                <w:kern w:val="0"/>
                <w:sz w:val="24"/>
                <w:szCs w:val="24"/>
                <w:highlight w:val="none"/>
                <w:lang w:bidi="ar"/>
              </w:rPr>
              <w:t>分</w:t>
            </w:r>
          </w:p>
        </w:tc>
      </w:tr>
      <w:tr w14:paraId="0C72417B">
        <w:tblPrEx>
          <w:tblCellMar>
            <w:top w:w="0" w:type="dxa"/>
            <w:left w:w="0" w:type="dxa"/>
            <w:bottom w:w="0" w:type="dxa"/>
            <w:right w:w="0" w:type="dxa"/>
          </w:tblCellMar>
        </w:tblPrEx>
        <w:trPr>
          <w:trHeight w:val="1169" w:hRule="atLeast"/>
          <w:jc w:val="center"/>
        </w:trPr>
        <w:tc>
          <w:tcPr>
            <w:tcW w:w="640" w:type="dxa"/>
            <w:vMerge w:val="continue"/>
            <w:tcBorders>
              <w:left w:val="single" w:color="auto" w:sz="4" w:space="0"/>
              <w:right w:val="single" w:color="000000" w:sz="4" w:space="0"/>
            </w:tcBorders>
            <w:noWrap w:val="0"/>
            <w:tcMar>
              <w:top w:w="15" w:type="dxa"/>
              <w:left w:w="15" w:type="dxa"/>
              <w:right w:w="15" w:type="dxa"/>
            </w:tcMar>
            <w:vAlign w:val="center"/>
          </w:tcPr>
          <w:p w14:paraId="6CCD0FA0">
            <w:pPr>
              <w:jc w:val="center"/>
              <w:rPr>
                <w:rFonts w:hint="eastAsia" w:ascii="宋体" w:hAnsi="宋体" w:eastAsia="宋体" w:cs="宋体"/>
                <w:color w:val="auto"/>
                <w:sz w:val="24"/>
                <w:szCs w:val="24"/>
                <w:highlight w:val="none"/>
              </w:rPr>
            </w:pPr>
          </w:p>
        </w:tc>
        <w:tc>
          <w:tcPr>
            <w:tcW w:w="689" w:type="dxa"/>
            <w:vMerge w:val="continue"/>
            <w:tcBorders>
              <w:left w:val="single" w:color="000000" w:sz="4" w:space="0"/>
              <w:right w:val="single" w:color="000000" w:sz="4" w:space="0"/>
            </w:tcBorders>
            <w:noWrap w:val="0"/>
            <w:tcMar>
              <w:top w:w="15" w:type="dxa"/>
              <w:left w:w="15" w:type="dxa"/>
              <w:right w:w="15" w:type="dxa"/>
            </w:tcMar>
            <w:vAlign w:val="center"/>
          </w:tcPr>
          <w:p w14:paraId="698E7BA6">
            <w:pPr>
              <w:jc w:val="center"/>
              <w:rPr>
                <w:rFonts w:hint="eastAsia" w:ascii="宋体" w:hAnsi="宋体" w:eastAsia="宋体" w:cs="宋体"/>
                <w:color w:val="auto"/>
                <w:sz w:val="24"/>
                <w:szCs w:val="24"/>
                <w:highlight w:val="none"/>
              </w:rPr>
            </w:pPr>
          </w:p>
        </w:tc>
        <w:tc>
          <w:tcPr>
            <w:tcW w:w="29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7C972C8">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12.</w:t>
            </w:r>
            <w:r>
              <w:rPr>
                <w:rFonts w:hint="eastAsia" w:ascii="宋体" w:hAnsi="宋体" w:eastAsia="宋体" w:cs="宋体"/>
                <w:color w:val="auto"/>
                <w:kern w:val="0"/>
                <w:sz w:val="24"/>
                <w:szCs w:val="24"/>
                <w:highlight w:val="none"/>
                <w:lang w:bidi="ar"/>
              </w:rPr>
              <w:t>施工过程中发现清单错漏</w:t>
            </w:r>
            <w:r>
              <w:rPr>
                <w:rFonts w:hint="eastAsia" w:ascii="宋体" w:hAnsi="宋体" w:eastAsia="宋体" w:cs="宋体"/>
                <w:color w:val="auto"/>
                <w:kern w:val="0"/>
                <w:sz w:val="24"/>
                <w:szCs w:val="24"/>
                <w:highlight w:val="none"/>
                <w:lang w:eastAsia="zh-CN" w:bidi="ar"/>
              </w:rPr>
              <w:t>累计</w:t>
            </w:r>
            <w:r>
              <w:rPr>
                <w:rFonts w:hint="eastAsia" w:ascii="宋体" w:hAnsi="宋体" w:eastAsia="宋体" w:cs="宋体"/>
                <w:color w:val="auto"/>
                <w:kern w:val="0"/>
                <w:sz w:val="24"/>
                <w:szCs w:val="24"/>
                <w:highlight w:val="none"/>
                <w:lang w:val="en-US" w:eastAsia="zh-CN" w:bidi="ar"/>
              </w:rPr>
              <w:t>100</w:t>
            </w:r>
            <w:r>
              <w:rPr>
                <w:rFonts w:hint="eastAsia" w:ascii="宋体" w:hAnsi="宋体" w:eastAsia="宋体" w:cs="宋体"/>
                <w:color w:val="auto"/>
                <w:kern w:val="0"/>
                <w:sz w:val="24"/>
                <w:szCs w:val="24"/>
                <w:highlight w:val="none"/>
                <w:lang w:bidi="ar"/>
              </w:rPr>
              <w:t>万元</w:t>
            </w:r>
            <w:r>
              <w:rPr>
                <w:rFonts w:hint="eastAsia" w:ascii="宋体" w:hAnsi="宋体" w:eastAsia="宋体" w:cs="宋体"/>
                <w:color w:val="auto"/>
                <w:kern w:val="0"/>
                <w:sz w:val="24"/>
                <w:szCs w:val="24"/>
                <w:highlight w:val="none"/>
                <w:lang w:val="en-US" w:eastAsia="zh-CN" w:bidi="ar"/>
              </w:rPr>
              <w:t>且误差率3%（含）以内的</w:t>
            </w:r>
          </w:p>
        </w:tc>
        <w:tc>
          <w:tcPr>
            <w:tcW w:w="5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7D8C3A5">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 xml:space="preserve"> </w:t>
            </w:r>
          </w:p>
        </w:tc>
        <w:tc>
          <w:tcPr>
            <w:tcW w:w="7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A622F51">
            <w:pPr>
              <w:jc w:val="left"/>
              <w:rPr>
                <w:rFonts w:hint="eastAsia" w:ascii="宋体" w:hAnsi="宋体" w:eastAsia="宋体" w:cs="宋体"/>
                <w:color w:val="auto"/>
                <w:sz w:val="24"/>
                <w:szCs w:val="24"/>
                <w:highlight w:val="none"/>
              </w:rPr>
            </w:pPr>
          </w:p>
        </w:tc>
        <w:tc>
          <w:tcPr>
            <w:tcW w:w="10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E8CBF22">
            <w:pPr>
              <w:jc w:val="left"/>
              <w:rPr>
                <w:rFonts w:hint="eastAsia" w:ascii="宋体" w:hAnsi="宋体" w:eastAsia="宋体" w:cs="宋体"/>
                <w:color w:val="auto"/>
                <w:sz w:val="24"/>
                <w:szCs w:val="24"/>
                <w:highlight w:val="none"/>
              </w:rPr>
            </w:pPr>
          </w:p>
        </w:tc>
        <w:tc>
          <w:tcPr>
            <w:tcW w:w="385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62E930D">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扣</w:t>
            </w:r>
            <w:r>
              <w:rPr>
                <w:rFonts w:hint="eastAsia" w:ascii="宋体" w:hAnsi="宋体" w:eastAsia="宋体" w:cs="宋体"/>
                <w:color w:val="auto"/>
                <w:kern w:val="0"/>
                <w:sz w:val="24"/>
                <w:szCs w:val="24"/>
                <w:highlight w:val="none"/>
                <w:lang w:val="en-US" w:eastAsia="zh-CN" w:bidi="ar"/>
              </w:rPr>
              <w:t>30</w:t>
            </w:r>
            <w:r>
              <w:rPr>
                <w:rFonts w:hint="eastAsia" w:ascii="宋体" w:hAnsi="宋体" w:eastAsia="宋体" w:cs="宋体"/>
                <w:color w:val="auto"/>
                <w:kern w:val="0"/>
                <w:sz w:val="24"/>
                <w:szCs w:val="24"/>
                <w:highlight w:val="none"/>
                <w:lang w:bidi="ar"/>
              </w:rPr>
              <w:t>分</w:t>
            </w:r>
          </w:p>
        </w:tc>
      </w:tr>
      <w:tr w14:paraId="36842B0D">
        <w:tblPrEx>
          <w:tblCellMar>
            <w:top w:w="0" w:type="dxa"/>
            <w:left w:w="0" w:type="dxa"/>
            <w:bottom w:w="0" w:type="dxa"/>
            <w:right w:w="0" w:type="dxa"/>
          </w:tblCellMar>
        </w:tblPrEx>
        <w:trPr>
          <w:trHeight w:val="1363" w:hRule="atLeast"/>
          <w:jc w:val="center"/>
        </w:trPr>
        <w:tc>
          <w:tcPr>
            <w:tcW w:w="640" w:type="dxa"/>
            <w:vMerge w:val="continue"/>
            <w:tcBorders>
              <w:left w:val="single" w:color="auto" w:sz="4" w:space="0"/>
              <w:right w:val="single" w:color="000000" w:sz="4" w:space="0"/>
            </w:tcBorders>
            <w:noWrap w:val="0"/>
            <w:tcMar>
              <w:top w:w="15" w:type="dxa"/>
              <w:left w:w="15" w:type="dxa"/>
              <w:right w:w="15" w:type="dxa"/>
            </w:tcMar>
            <w:vAlign w:val="center"/>
          </w:tcPr>
          <w:p w14:paraId="4F90EE2A">
            <w:pPr>
              <w:jc w:val="center"/>
              <w:rPr>
                <w:rFonts w:hint="eastAsia" w:ascii="宋体" w:hAnsi="宋体" w:eastAsia="宋体" w:cs="宋体"/>
                <w:color w:val="auto"/>
                <w:sz w:val="24"/>
                <w:szCs w:val="24"/>
                <w:highlight w:val="none"/>
              </w:rPr>
            </w:pPr>
          </w:p>
        </w:tc>
        <w:tc>
          <w:tcPr>
            <w:tcW w:w="689" w:type="dxa"/>
            <w:vMerge w:val="continue"/>
            <w:tcBorders>
              <w:left w:val="single" w:color="000000" w:sz="4" w:space="0"/>
              <w:right w:val="single" w:color="000000" w:sz="4" w:space="0"/>
            </w:tcBorders>
            <w:noWrap w:val="0"/>
            <w:tcMar>
              <w:top w:w="15" w:type="dxa"/>
              <w:left w:w="15" w:type="dxa"/>
              <w:right w:w="15" w:type="dxa"/>
            </w:tcMar>
            <w:vAlign w:val="center"/>
          </w:tcPr>
          <w:p w14:paraId="45744564">
            <w:pPr>
              <w:jc w:val="center"/>
              <w:rPr>
                <w:rFonts w:hint="eastAsia" w:ascii="宋体" w:hAnsi="宋体" w:eastAsia="宋体" w:cs="宋体"/>
                <w:color w:val="auto"/>
                <w:sz w:val="24"/>
                <w:szCs w:val="24"/>
                <w:highlight w:val="none"/>
              </w:rPr>
            </w:pPr>
          </w:p>
        </w:tc>
        <w:tc>
          <w:tcPr>
            <w:tcW w:w="29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143F9B6">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13.</w:t>
            </w:r>
            <w:r>
              <w:rPr>
                <w:rFonts w:hint="eastAsia" w:ascii="宋体" w:hAnsi="宋体" w:eastAsia="宋体" w:cs="宋体"/>
                <w:color w:val="auto"/>
                <w:kern w:val="0"/>
                <w:sz w:val="24"/>
                <w:szCs w:val="24"/>
                <w:highlight w:val="none"/>
                <w:lang w:bidi="ar"/>
              </w:rPr>
              <w:t>施工过程中发现清单错漏</w:t>
            </w:r>
            <w:r>
              <w:rPr>
                <w:rFonts w:hint="eastAsia" w:ascii="宋体" w:hAnsi="宋体" w:eastAsia="宋体" w:cs="宋体"/>
                <w:color w:val="auto"/>
                <w:kern w:val="0"/>
                <w:sz w:val="24"/>
                <w:szCs w:val="24"/>
                <w:highlight w:val="none"/>
                <w:lang w:eastAsia="zh-CN" w:bidi="ar"/>
              </w:rPr>
              <w:t>累计</w:t>
            </w:r>
            <w:r>
              <w:rPr>
                <w:rFonts w:hint="eastAsia" w:ascii="宋体" w:hAnsi="宋体" w:eastAsia="宋体" w:cs="宋体"/>
                <w:color w:val="auto"/>
                <w:kern w:val="0"/>
                <w:sz w:val="24"/>
                <w:szCs w:val="24"/>
                <w:highlight w:val="none"/>
                <w:lang w:val="en-US" w:eastAsia="zh-CN" w:bidi="ar"/>
              </w:rPr>
              <w:t>100万元（含）以上的且误差率在3%（不含）-5%（含）的</w:t>
            </w:r>
          </w:p>
        </w:tc>
        <w:tc>
          <w:tcPr>
            <w:tcW w:w="5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10181A8">
            <w:pPr>
              <w:jc w:val="center"/>
              <w:rPr>
                <w:rFonts w:hint="eastAsia" w:ascii="宋体" w:hAnsi="宋体" w:eastAsia="宋体" w:cs="宋体"/>
                <w:color w:val="auto"/>
                <w:sz w:val="24"/>
                <w:szCs w:val="24"/>
                <w:highlight w:val="none"/>
              </w:rPr>
            </w:pPr>
          </w:p>
        </w:tc>
        <w:tc>
          <w:tcPr>
            <w:tcW w:w="7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731328A">
            <w:pPr>
              <w:jc w:val="left"/>
              <w:rPr>
                <w:rFonts w:hint="eastAsia" w:ascii="宋体" w:hAnsi="宋体" w:eastAsia="宋体" w:cs="宋体"/>
                <w:color w:val="auto"/>
                <w:sz w:val="24"/>
                <w:szCs w:val="24"/>
                <w:highlight w:val="none"/>
              </w:rPr>
            </w:pPr>
          </w:p>
        </w:tc>
        <w:tc>
          <w:tcPr>
            <w:tcW w:w="10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C8C726C">
            <w:pPr>
              <w:jc w:val="left"/>
              <w:rPr>
                <w:rFonts w:hint="eastAsia" w:ascii="宋体" w:hAnsi="宋体" w:eastAsia="宋体" w:cs="宋体"/>
                <w:color w:val="auto"/>
                <w:sz w:val="24"/>
                <w:szCs w:val="24"/>
                <w:highlight w:val="none"/>
              </w:rPr>
            </w:pPr>
          </w:p>
        </w:tc>
        <w:tc>
          <w:tcPr>
            <w:tcW w:w="385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A8F8F10">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扣</w:t>
            </w:r>
            <w:r>
              <w:rPr>
                <w:rFonts w:hint="eastAsia" w:ascii="宋体" w:hAnsi="宋体" w:eastAsia="宋体" w:cs="宋体"/>
                <w:color w:val="auto"/>
                <w:kern w:val="0"/>
                <w:sz w:val="24"/>
                <w:szCs w:val="24"/>
                <w:highlight w:val="none"/>
                <w:lang w:val="en-US" w:eastAsia="zh-CN" w:bidi="ar"/>
              </w:rPr>
              <w:t>40</w:t>
            </w:r>
            <w:r>
              <w:rPr>
                <w:rFonts w:hint="eastAsia" w:ascii="宋体" w:hAnsi="宋体" w:eastAsia="宋体" w:cs="宋体"/>
                <w:color w:val="auto"/>
                <w:kern w:val="0"/>
                <w:sz w:val="24"/>
                <w:szCs w:val="24"/>
                <w:highlight w:val="none"/>
                <w:lang w:bidi="ar"/>
              </w:rPr>
              <w:t>分</w:t>
            </w:r>
          </w:p>
        </w:tc>
      </w:tr>
      <w:tr w14:paraId="3D153960">
        <w:tblPrEx>
          <w:tblCellMar>
            <w:top w:w="0" w:type="dxa"/>
            <w:left w:w="0" w:type="dxa"/>
            <w:bottom w:w="0" w:type="dxa"/>
            <w:right w:w="0" w:type="dxa"/>
          </w:tblCellMar>
        </w:tblPrEx>
        <w:trPr>
          <w:trHeight w:val="1396" w:hRule="atLeast"/>
          <w:jc w:val="center"/>
        </w:trPr>
        <w:tc>
          <w:tcPr>
            <w:tcW w:w="640" w:type="dxa"/>
            <w:vMerge w:val="continue"/>
            <w:tcBorders>
              <w:left w:val="single" w:color="auto" w:sz="4" w:space="0"/>
              <w:bottom w:val="single" w:color="000000" w:sz="4" w:space="0"/>
              <w:right w:val="single" w:color="000000" w:sz="4" w:space="0"/>
            </w:tcBorders>
            <w:noWrap w:val="0"/>
            <w:tcMar>
              <w:top w:w="15" w:type="dxa"/>
              <w:left w:w="15" w:type="dxa"/>
              <w:right w:w="15" w:type="dxa"/>
            </w:tcMar>
            <w:vAlign w:val="center"/>
          </w:tcPr>
          <w:p w14:paraId="033ED38E">
            <w:pPr>
              <w:jc w:val="center"/>
              <w:rPr>
                <w:rFonts w:hint="eastAsia" w:ascii="宋体" w:hAnsi="宋体" w:eastAsia="宋体" w:cs="宋体"/>
                <w:color w:val="auto"/>
                <w:sz w:val="24"/>
                <w:szCs w:val="24"/>
                <w:highlight w:val="none"/>
              </w:rPr>
            </w:pPr>
          </w:p>
        </w:tc>
        <w:tc>
          <w:tcPr>
            <w:tcW w:w="689" w:type="dxa"/>
            <w:vMerge w:val="continue"/>
            <w:tcBorders>
              <w:left w:val="single" w:color="000000" w:sz="4" w:space="0"/>
              <w:bottom w:val="single" w:color="000000" w:sz="4" w:space="0"/>
              <w:right w:val="single" w:color="000000" w:sz="4" w:space="0"/>
            </w:tcBorders>
            <w:noWrap w:val="0"/>
            <w:tcMar>
              <w:top w:w="15" w:type="dxa"/>
              <w:left w:w="15" w:type="dxa"/>
              <w:right w:w="15" w:type="dxa"/>
            </w:tcMar>
            <w:vAlign w:val="center"/>
          </w:tcPr>
          <w:p w14:paraId="7A33690B">
            <w:pPr>
              <w:jc w:val="center"/>
              <w:rPr>
                <w:rFonts w:hint="eastAsia" w:ascii="宋体" w:hAnsi="宋体" w:eastAsia="宋体" w:cs="宋体"/>
                <w:color w:val="auto"/>
                <w:sz w:val="24"/>
                <w:szCs w:val="24"/>
                <w:highlight w:val="none"/>
              </w:rPr>
            </w:pPr>
          </w:p>
        </w:tc>
        <w:tc>
          <w:tcPr>
            <w:tcW w:w="29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31C72D7">
            <w:pPr>
              <w:widowControl/>
              <w:jc w:val="left"/>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14.</w:t>
            </w:r>
            <w:r>
              <w:rPr>
                <w:rFonts w:hint="eastAsia" w:ascii="宋体" w:hAnsi="宋体" w:eastAsia="宋体" w:cs="宋体"/>
                <w:color w:val="auto"/>
                <w:kern w:val="0"/>
                <w:sz w:val="24"/>
                <w:szCs w:val="24"/>
                <w:highlight w:val="none"/>
                <w:lang w:bidi="ar"/>
              </w:rPr>
              <w:t>施工过程中发现清单错漏</w:t>
            </w:r>
            <w:r>
              <w:rPr>
                <w:rFonts w:hint="eastAsia" w:ascii="宋体" w:hAnsi="宋体" w:eastAsia="宋体" w:cs="宋体"/>
                <w:color w:val="auto"/>
                <w:kern w:val="0"/>
                <w:sz w:val="24"/>
                <w:szCs w:val="24"/>
                <w:highlight w:val="none"/>
                <w:lang w:eastAsia="zh-CN" w:bidi="ar"/>
              </w:rPr>
              <w:t>累计</w:t>
            </w:r>
            <w:r>
              <w:rPr>
                <w:rFonts w:hint="eastAsia" w:ascii="宋体" w:hAnsi="宋体" w:eastAsia="宋体" w:cs="宋体"/>
                <w:color w:val="auto"/>
                <w:kern w:val="0"/>
                <w:sz w:val="24"/>
                <w:szCs w:val="24"/>
                <w:highlight w:val="none"/>
                <w:lang w:val="en-US" w:eastAsia="zh-CN" w:bidi="ar"/>
              </w:rPr>
              <w:t>100万元（含）以上的且误差率超过5%（含）的</w:t>
            </w:r>
          </w:p>
        </w:tc>
        <w:tc>
          <w:tcPr>
            <w:tcW w:w="5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CBC875C">
            <w:pPr>
              <w:jc w:val="center"/>
              <w:rPr>
                <w:rFonts w:hint="eastAsia" w:ascii="宋体" w:hAnsi="宋体" w:eastAsia="宋体" w:cs="宋体"/>
                <w:color w:val="auto"/>
                <w:sz w:val="24"/>
                <w:szCs w:val="24"/>
                <w:highlight w:val="none"/>
              </w:rPr>
            </w:pPr>
          </w:p>
        </w:tc>
        <w:tc>
          <w:tcPr>
            <w:tcW w:w="7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78291C1">
            <w:pPr>
              <w:jc w:val="left"/>
              <w:rPr>
                <w:rFonts w:hint="eastAsia" w:ascii="宋体" w:hAnsi="宋体" w:eastAsia="宋体" w:cs="宋体"/>
                <w:color w:val="auto"/>
                <w:sz w:val="24"/>
                <w:szCs w:val="24"/>
                <w:highlight w:val="none"/>
              </w:rPr>
            </w:pPr>
          </w:p>
        </w:tc>
        <w:tc>
          <w:tcPr>
            <w:tcW w:w="10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630BFBA">
            <w:pPr>
              <w:jc w:val="left"/>
              <w:rPr>
                <w:rFonts w:hint="eastAsia" w:ascii="宋体" w:hAnsi="宋体" w:eastAsia="宋体" w:cs="宋体"/>
                <w:color w:val="auto"/>
                <w:sz w:val="24"/>
                <w:szCs w:val="24"/>
                <w:highlight w:val="none"/>
              </w:rPr>
            </w:pPr>
          </w:p>
        </w:tc>
        <w:tc>
          <w:tcPr>
            <w:tcW w:w="385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C032F07">
            <w:pPr>
              <w:widowControl/>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扣</w:t>
            </w:r>
            <w:r>
              <w:rPr>
                <w:rFonts w:hint="eastAsia" w:ascii="宋体" w:hAnsi="宋体" w:eastAsia="宋体" w:cs="宋体"/>
                <w:color w:val="auto"/>
                <w:kern w:val="0"/>
                <w:sz w:val="24"/>
                <w:szCs w:val="24"/>
                <w:highlight w:val="none"/>
                <w:lang w:val="en-US" w:eastAsia="zh-CN" w:bidi="ar"/>
              </w:rPr>
              <w:t>50</w:t>
            </w:r>
            <w:r>
              <w:rPr>
                <w:rFonts w:hint="eastAsia" w:ascii="宋体" w:hAnsi="宋体" w:eastAsia="宋体" w:cs="宋体"/>
                <w:color w:val="auto"/>
                <w:kern w:val="0"/>
                <w:sz w:val="24"/>
                <w:szCs w:val="24"/>
                <w:highlight w:val="none"/>
                <w:lang w:bidi="ar"/>
              </w:rPr>
              <w:t>分</w:t>
            </w:r>
          </w:p>
        </w:tc>
      </w:tr>
      <w:tr w14:paraId="327DD127">
        <w:tblPrEx>
          <w:tblCellMar>
            <w:top w:w="0" w:type="dxa"/>
            <w:left w:w="0" w:type="dxa"/>
            <w:bottom w:w="0" w:type="dxa"/>
            <w:right w:w="0" w:type="dxa"/>
          </w:tblCellMar>
        </w:tblPrEx>
        <w:trPr>
          <w:trHeight w:val="645" w:hRule="atLeast"/>
          <w:jc w:val="center"/>
        </w:trPr>
        <w:tc>
          <w:tcPr>
            <w:tcW w:w="64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716AFAF">
            <w:pPr>
              <w:widowControl/>
              <w:jc w:val="center"/>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eastAsia="zh-CN" w:bidi="ar"/>
              </w:rPr>
              <w:t>三</w:t>
            </w:r>
          </w:p>
        </w:tc>
        <w:tc>
          <w:tcPr>
            <w:tcW w:w="689"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741932">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加分项</w:t>
            </w:r>
          </w:p>
        </w:tc>
        <w:tc>
          <w:tcPr>
            <w:tcW w:w="29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CDC5D9B">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15.</w:t>
            </w:r>
            <w:r>
              <w:rPr>
                <w:rFonts w:hint="eastAsia" w:ascii="宋体" w:hAnsi="宋体" w:eastAsia="宋体" w:cs="宋体"/>
                <w:color w:val="auto"/>
                <w:kern w:val="0"/>
                <w:sz w:val="24"/>
                <w:szCs w:val="24"/>
                <w:highlight w:val="none"/>
                <w:lang w:bidi="ar"/>
              </w:rPr>
              <w:t>发现设计重大错漏</w:t>
            </w:r>
          </w:p>
        </w:tc>
        <w:tc>
          <w:tcPr>
            <w:tcW w:w="566"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14:paraId="5635A25E">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 xml:space="preserve"> </w:t>
            </w:r>
          </w:p>
        </w:tc>
        <w:tc>
          <w:tcPr>
            <w:tcW w:w="702"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14:paraId="1061E842">
            <w:pPr>
              <w:jc w:val="left"/>
              <w:rPr>
                <w:rFonts w:hint="eastAsia" w:ascii="宋体" w:hAnsi="宋体" w:eastAsia="宋体" w:cs="宋体"/>
                <w:color w:val="auto"/>
                <w:sz w:val="24"/>
                <w:szCs w:val="24"/>
                <w:highlight w:val="none"/>
              </w:rPr>
            </w:pPr>
          </w:p>
        </w:tc>
        <w:tc>
          <w:tcPr>
            <w:tcW w:w="1030"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14:paraId="129E4C77">
            <w:pPr>
              <w:jc w:val="left"/>
              <w:rPr>
                <w:rFonts w:hint="eastAsia" w:ascii="宋体" w:hAnsi="宋体" w:eastAsia="宋体" w:cs="宋体"/>
                <w:color w:val="auto"/>
                <w:sz w:val="24"/>
                <w:szCs w:val="24"/>
                <w:highlight w:val="none"/>
              </w:rPr>
            </w:pPr>
          </w:p>
        </w:tc>
        <w:tc>
          <w:tcPr>
            <w:tcW w:w="3857"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14:paraId="6B8B885E">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每项加5分</w:t>
            </w:r>
          </w:p>
        </w:tc>
      </w:tr>
      <w:tr w14:paraId="163457B8">
        <w:tblPrEx>
          <w:tblCellMar>
            <w:top w:w="0" w:type="dxa"/>
            <w:left w:w="0" w:type="dxa"/>
            <w:bottom w:w="0" w:type="dxa"/>
            <w:right w:w="0" w:type="dxa"/>
          </w:tblCellMar>
        </w:tblPrEx>
        <w:trPr>
          <w:trHeight w:val="718" w:hRule="atLeast"/>
          <w:jc w:val="center"/>
        </w:trPr>
        <w:tc>
          <w:tcPr>
            <w:tcW w:w="64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68144EC">
            <w:pPr>
              <w:jc w:val="center"/>
              <w:rPr>
                <w:rFonts w:hint="eastAsia" w:ascii="宋体" w:hAnsi="宋体" w:eastAsia="宋体" w:cs="宋体"/>
                <w:color w:val="auto"/>
                <w:sz w:val="24"/>
                <w:szCs w:val="24"/>
                <w:highlight w:val="none"/>
              </w:rPr>
            </w:pPr>
          </w:p>
        </w:tc>
        <w:tc>
          <w:tcPr>
            <w:tcW w:w="689"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06E0070">
            <w:pPr>
              <w:jc w:val="center"/>
              <w:rPr>
                <w:rFonts w:hint="eastAsia" w:ascii="宋体" w:hAnsi="宋体" w:eastAsia="宋体" w:cs="宋体"/>
                <w:color w:val="auto"/>
                <w:sz w:val="24"/>
                <w:szCs w:val="24"/>
                <w:highlight w:val="none"/>
              </w:rPr>
            </w:pPr>
          </w:p>
        </w:tc>
        <w:tc>
          <w:tcPr>
            <w:tcW w:w="29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C95637E">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16.</w:t>
            </w:r>
            <w:r>
              <w:rPr>
                <w:rFonts w:hint="eastAsia" w:ascii="宋体" w:hAnsi="宋体" w:eastAsia="宋体" w:cs="宋体"/>
                <w:color w:val="auto"/>
                <w:kern w:val="0"/>
                <w:sz w:val="24"/>
                <w:szCs w:val="24"/>
                <w:highlight w:val="none"/>
                <w:lang w:bidi="ar"/>
              </w:rPr>
              <w:t>提出合理化意见被采纳的</w:t>
            </w:r>
          </w:p>
        </w:tc>
        <w:tc>
          <w:tcPr>
            <w:tcW w:w="5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8D59904">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 xml:space="preserve"> </w:t>
            </w:r>
          </w:p>
        </w:tc>
        <w:tc>
          <w:tcPr>
            <w:tcW w:w="7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371ABE4">
            <w:pPr>
              <w:jc w:val="left"/>
              <w:rPr>
                <w:rFonts w:hint="eastAsia" w:ascii="宋体" w:hAnsi="宋体" w:eastAsia="宋体" w:cs="宋体"/>
                <w:color w:val="auto"/>
                <w:sz w:val="24"/>
                <w:szCs w:val="24"/>
                <w:highlight w:val="none"/>
              </w:rPr>
            </w:pPr>
          </w:p>
        </w:tc>
        <w:tc>
          <w:tcPr>
            <w:tcW w:w="10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25137C3">
            <w:pPr>
              <w:jc w:val="left"/>
              <w:rPr>
                <w:rFonts w:hint="eastAsia" w:ascii="宋体" w:hAnsi="宋体" w:eastAsia="宋体" w:cs="宋体"/>
                <w:color w:val="auto"/>
                <w:sz w:val="24"/>
                <w:szCs w:val="24"/>
                <w:highlight w:val="none"/>
              </w:rPr>
            </w:pPr>
          </w:p>
        </w:tc>
        <w:tc>
          <w:tcPr>
            <w:tcW w:w="385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542EC3F">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每项加5分</w:t>
            </w:r>
          </w:p>
        </w:tc>
      </w:tr>
      <w:tr w14:paraId="4D5B5BB5">
        <w:tblPrEx>
          <w:tblCellMar>
            <w:top w:w="0" w:type="dxa"/>
            <w:left w:w="0" w:type="dxa"/>
            <w:bottom w:w="0" w:type="dxa"/>
            <w:right w:w="0" w:type="dxa"/>
          </w:tblCellMar>
        </w:tblPrEx>
        <w:trPr>
          <w:trHeight w:val="784" w:hRule="atLeast"/>
          <w:jc w:val="center"/>
        </w:trPr>
        <w:tc>
          <w:tcPr>
            <w:tcW w:w="64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0575B55">
            <w:pPr>
              <w:jc w:val="center"/>
              <w:rPr>
                <w:rFonts w:hint="eastAsia" w:ascii="宋体" w:hAnsi="宋体" w:eastAsia="宋体" w:cs="宋体"/>
                <w:color w:val="auto"/>
                <w:sz w:val="24"/>
                <w:szCs w:val="24"/>
                <w:highlight w:val="none"/>
              </w:rPr>
            </w:pPr>
          </w:p>
        </w:tc>
        <w:tc>
          <w:tcPr>
            <w:tcW w:w="689"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36E98BB">
            <w:pPr>
              <w:jc w:val="center"/>
              <w:rPr>
                <w:rFonts w:hint="eastAsia" w:ascii="宋体" w:hAnsi="宋体" w:eastAsia="宋体" w:cs="宋体"/>
                <w:color w:val="auto"/>
                <w:sz w:val="24"/>
                <w:szCs w:val="24"/>
                <w:highlight w:val="none"/>
              </w:rPr>
            </w:pPr>
          </w:p>
        </w:tc>
        <w:tc>
          <w:tcPr>
            <w:tcW w:w="29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9F6DF72">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17.</w:t>
            </w:r>
            <w:r>
              <w:rPr>
                <w:rFonts w:hint="eastAsia" w:ascii="宋体" w:hAnsi="宋体" w:eastAsia="宋体" w:cs="宋体"/>
                <w:color w:val="auto"/>
                <w:kern w:val="0"/>
                <w:sz w:val="24"/>
                <w:szCs w:val="24"/>
                <w:highlight w:val="none"/>
                <w:lang w:bidi="ar"/>
              </w:rPr>
              <w:t>发现并移交经济案件线索且被立案查处</w:t>
            </w:r>
          </w:p>
        </w:tc>
        <w:tc>
          <w:tcPr>
            <w:tcW w:w="566"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14:paraId="7ACB2A5C">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 xml:space="preserve"> </w:t>
            </w:r>
          </w:p>
        </w:tc>
        <w:tc>
          <w:tcPr>
            <w:tcW w:w="702"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14:paraId="071972CA">
            <w:pPr>
              <w:jc w:val="left"/>
              <w:rPr>
                <w:rFonts w:hint="eastAsia" w:ascii="宋体" w:hAnsi="宋体" w:eastAsia="宋体" w:cs="宋体"/>
                <w:color w:val="auto"/>
                <w:sz w:val="24"/>
                <w:szCs w:val="24"/>
                <w:highlight w:val="none"/>
              </w:rPr>
            </w:pPr>
          </w:p>
        </w:tc>
        <w:tc>
          <w:tcPr>
            <w:tcW w:w="1030"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14:paraId="19B9F5CE">
            <w:pPr>
              <w:jc w:val="left"/>
              <w:rPr>
                <w:rFonts w:hint="eastAsia" w:ascii="宋体" w:hAnsi="宋体" w:eastAsia="宋体" w:cs="宋体"/>
                <w:color w:val="auto"/>
                <w:sz w:val="24"/>
                <w:szCs w:val="24"/>
                <w:highlight w:val="none"/>
              </w:rPr>
            </w:pPr>
          </w:p>
        </w:tc>
        <w:tc>
          <w:tcPr>
            <w:tcW w:w="3857"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14:paraId="1C9D5339">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每件加20分</w:t>
            </w:r>
          </w:p>
        </w:tc>
      </w:tr>
      <w:tr w14:paraId="05D8AAF1">
        <w:tblPrEx>
          <w:tblCellMar>
            <w:top w:w="0" w:type="dxa"/>
            <w:left w:w="0" w:type="dxa"/>
            <w:bottom w:w="0" w:type="dxa"/>
            <w:right w:w="0" w:type="dxa"/>
          </w:tblCellMar>
        </w:tblPrEx>
        <w:trPr>
          <w:trHeight w:val="470" w:hRule="atLeast"/>
          <w:jc w:val="center"/>
        </w:trPr>
        <w:tc>
          <w:tcPr>
            <w:tcW w:w="4823"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514DBA3">
            <w:pPr>
              <w:widowControl/>
              <w:jc w:val="right"/>
              <w:textAlignment w:val="center"/>
              <w:rPr>
                <w:rFonts w:hint="eastAsia" w:ascii="宋体" w:hAnsi="宋体" w:eastAsia="宋体" w:cs="宋体"/>
                <w:b/>
                <w:color w:val="auto"/>
                <w:sz w:val="24"/>
                <w:szCs w:val="24"/>
                <w:highlight w:val="none"/>
              </w:rPr>
            </w:pPr>
            <w:r>
              <w:rPr>
                <w:rFonts w:hint="eastAsia" w:ascii="宋体" w:hAnsi="宋体" w:eastAsia="宋体" w:cs="宋体"/>
                <w:b/>
                <w:color w:val="auto"/>
                <w:kern w:val="0"/>
                <w:sz w:val="24"/>
                <w:szCs w:val="24"/>
                <w:highlight w:val="none"/>
                <w:lang w:bidi="ar"/>
              </w:rPr>
              <w:t>合计</w:t>
            </w:r>
          </w:p>
        </w:tc>
        <w:tc>
          <w:tcPr>
            <w:tcW w:w="7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653EB91">
            <w:pPr>
              <w:jc w:val="left"/>
              <w:rPr>
                <w:rFonts w:hint="eastAsia" w:ascii="宋体" w:hAnsi="宋体" w:eastAsia="宋体" w:cs="宋体"/>
                <w:b/>
                <w:color w:val="auto"/>
                <w:sz w:val="24"/>
                <w:szCs w:val="24"/>
                <w:highlight w:val="none"/>
              </w:rPr>
            </w:pPr>
          </w:p>
        </w:tc>
        <w:tc>
          <w:tcPr>
            <w:tcW w:w="10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E473D9D">
            <w:pPr>
              <w:jc w:val="left"/>
              <w:rPr>
                <w:rFonts w:hint="eastAsia" w:ascii="宋体" w:hAnsi="宋体" w:eastAsia="宋体" w:cs="宋体"/>
                <w:b/>
                <w:color w:val="auto"/>
                <w:sz w:val="24"/>
                <w:szCs w:val="24"/>
                <w:highlight w:val="none"/>
              </w:rPr>
            </w:pPr>
          </w:p>
        </w:tc>
        <w:tc>
          <w:tcPr>
            <w:tcW w:w="385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3DF3DAC">
            <w:pPr>
              <w:jc w:val="left"/>
              <w:rPr>
                <w:rFonts w:hint="eastAsia" w:ascii="宋体" w:hAnsi="宋体" w:eastAsia="宋体" w:cs="宋体"/>
                <w:color w:val="auto"/>
                <w:sz w:val="24"/>
                <w:szCs w:val="24"/>
                <w:highlight w:val="none"/>
              </w:rPr>
            </w:pPr>
          </w:p>
        </w:tc>
      </w:tr>
      <w:tr w14:paraId="0083805F">
        <w:tblPrEx>
          <w:tblCellMar>
            <w:top w:w="0" w:type="dxa"/>
            <w:left w:w="0" w:type="dxa"/>
            <w:bottom w:w="0" w:type="dxa"/>
            <w:right w:w="0" w:type="dxa"/>
          </w:tblCellMar>
        </w:tblPrEx>
        <w:trPr>
          <w:trHeight w:val="944" w:hRule="atLeast"/>
          <w:jc w:val="center"/>
        </w:trPr>
        <w:tc>
          <w:tcPr>
            <w:tcW w:w="10412" w:type="dxa"/>
            <w:gridSpan w:val="7"/>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20D01A26">
            <w:pPr>
              <w:widowControl/>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 xml:space="preserve">造价咨询人员签字：               考核人员签字 ：              </w:t>
            </w:r>
          </w:p>
          <w:p w14:paraId="39C41945">
            <w:pPr>
              <w:widowControl/>
              <w:textAlignment w:val="center"/>
              <w:rPr>
                <w:rFonts w:hint="eastAsia" w:ascii="宋体" w:hAnsi="宋体" w:eastAsia="宋体" w:cs="宋体"/>
                <w:color w:val="auto"/>
                <w:kern w:val="0"/>
                <w:sz w:val="24"/>
                <w:szCs w:val="24"/>
                <w:highlight w:val="none"/>
                <w:lang w:bidi="ar"/>
              </w:rPr>
            </w:pPr>
          </w:p>
          <w:p w14:paraId="54DE5233">
            <w:pPr>
              <w:widowControl/>
              <w:ind w:firstLine="7560" w:firstLineChars="3150"/>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 xml:space="preserve">      </w:t>
            </w:r>
            <w:r>
              <w:rPr>
                <w:rStyle w:val="153"/>
                <w:rFonts w:hint="eastAsia" w:ascii="宋体" w:hAnsi="宋体" w:eastAsia="宋体" w:cs="宋体"/>
                <w:color w:val="auto"/>
                <w:sz w:val="24"/>
                <w:szCs w:val="24"/>
                <w:highlight w:val="none"/>
                <w:lang w:bidi="ar"/>
              </w:rPr>
              <w:t xml:space="preserve">     </w:t>
            </w:r>
            <w:r>
              <w:rPr>
                <w:rStyle w:val="154"/>
                <w:rFonts w:hint="eastAsia" w:ascii="宋体" w:hAnsi="宋体" w:eastAsia="宋体" w:cs="宋体"/>
                <w:color w:val="auto"/>
                <w:sz w:val="24"/>
                <w:szCs w:val="24"/>
                <w:highlight w:val="none"/>
                <w:lang w:bidi="ar"/>
              </w:rPr>
              <w:t>年</w:t>
            </w:r>
            <w:r>
              <w:rPr>
                <w:rStyle w:val="153"/>
                <w:rFonts w:hint="eastAsia" w:ascii="宋体" w:hAnsi="宋体" w:eastAsia="宋体" w:cs="宋体"/>
                <w:color w:val="auto"/>
                <w:sz w:val="24"/>
                <w:szCs w:val="24"/>
                <w:highlight w:val="none"/>
                <w:lang w:bidi="ar"/>
              </w:rPr>
              <w:t xml:space="preserve">   </w:t>
            </w:r>
            <w:r>
              <w:rPr>
                <w:rStyle w:val="154"/>
                <w:rFonts w:hint="eastAsia" w:ascii="宋体" w:hAnsi="宋体" w:eastAsia="宋体" w:cs="宋体"/>
                <w:color w:val="auto"/>
                <w:sz w:val="24"/>
                <w:szCs w:val="24"/>
                <w:highlight w:val="none"/>
                <w:lang w:bidi="ar"/>
              </w:rPr>
              <w:t>月</w:t>
            </w:r>
            <w:r>
              <w:rPr>
                <w:rStyle w:val="153"/>
                <w:rFonts w:hint="eastAsia" w:ascii="宋体" w:hAnsi="宋体" w:eastAsia="宋体" w:cs="宋体"/>
                <w:color w:val="auto"/>
                <w:sz w:val="24"/>
                <w:szCs w:val="24"/>
                <w:highlight w:val="none"/>
                <w:lang w:bidi="ar"/>
              </w:rPr>
              <w:t xml:space="preserve">   </w:t>
            </w:r>
            <w:r>
              <w:rPr>
                <w:rStyle w:val="154"/>
                <w:rFonts w:hint="eastAsia" w:ascii="宋体" w:hAnsi="宋体" w:eastAsia="宋体" w:cs="宋体"/>
                <w:color w:val="auto"/>
                <w:sz w:val="24"/>
                <w:szCs w:val="24"/>
                <w:highlight w:val="none"/>
                <w:lang w:bidi="ar"/>
              </w:rPr>
              <w:t xml:space="preserve">日     </w:t>
            </w:r>
          </w:p>
        </w:tc>
      </w:tr>
    </w:tbl>
    <w:p w14:paraId="268F6082">
      <w:pPr>
        <w:pStyle w:val="44"/>
        <w:spacing w:line="240" w:lineRule="auto"/>
        <w:ind w:left="0" w:leftChars="0" w:firstLine="0" w:firstLineChars="0"/>
        <w:rPr>
          <w:rFonts w:hint="eastAsia" w:ascii="宋体" w:hAnsi="宋体" w:eastAsia="宋体" w:cs="宋体"/>
          <w:color w:val="auto"/>
          <w:sz w:val="32"/>
          <w:szCs w:val="32"/>
          <w:highlight w:val="none"/>
        </w:rPr>
      </w:pPr>
    </w:p>
    <w:p w14:paraId="200D5140">
      <w:pPr>
        <w:pStyle w:val="44"/>
        <w:spacing w:line="240" w:lineRule="auto"/>
        <w:ind w:left="0" w:leftChars="0" w:firstLine="0" w:firstLineChars="0"/>
        <w:rPr>
          <w:rFonts w:hint="eastAsia" w:ascii="宋体" w:hAnsi="宋体" w:eastAsia="宋体" w:cs="宋体"/>
          <w:color w:val="auto"/>
          <w:sz w:val="32"/>
          <w:szCs w:val="32"/>
          <w:highlight w:val="none"/>
        </w:rPr>
      </w:pPr>
    </w:p>
    <w:p w14:paraId="2085DF7D">
      <w:pPr>
        <w:rPr>
          <w:rFonts w:hint="eastAsia" w:ascii="宋体" w:hAnsi="宋体" w:eastAsia="宋体" w:cs="宋体"/>
          <w:color w:val="auto"/>
          <w:sz w:val="32"/>
          <w:szCs w:val="32"/>
          <w:highlight w:val="none"/>
        </w:rPr>
      </w:pPr>
    </w:p>
    <w:p w14:paraId="6BAEA6E2">
      <w:pPr>
        <w:pStyle w:val="44"/>
        <w:rPr>
          <w:rFonts w:hint="eastAsia" w:ascii="宋体" w:hAnsi="宋体" w:eastAsia="宋体" w:cs="宋体"/>
          <w:color w:val="auto"/>
          <w:sz w:val="32"/>
          <w:szCs w:val="32"/>
          <w:highlight w:val="none"/>
        </w:rPr>
      </w:pPr>
    </w:p>
    <w:p w14:paraId="3E479275">
      <w:pPr>
        <w:rPr>
          <w:rFonts w:hint="eastAsia" w:ascii="宋体" w:hAnsi="宋体" w:eastAsia="宋体" w:cs="宋体"/>
          <w:color w:val="auto"/>
          <w:sz w:val="32"/>
          <w:szCs w:val="32"/>
          <w:highlight w:val="none"/>
        </w:rPr>
      </w:pPr>
    </w:p>
    <w:p w14:paraId="432ECEFE">
      <w:pPr>
        <w:pStyle w:val="44"/>
        <w:rPr>
          <w:rFonts w:hint="eastAsia" w:ascii="宋体" w:hAnsi="宋体" w:eastAsia="宋体" w:cs="宋体"/>
          <w:color w:val="auto"/>
          <w:sz w:val="32"/>
          <w:szCs w:val="32"/>
          <w:highlight w:val="none"/>
        </w:rPr>
      </w:pPr>
    </w:p>
    <w:p w14:paraId="22A2F69C">
      <w:pPr>
        <w:rPr>
          <w:rFonts w:hint="eastAsia" w:ascii="宋体" w:hAnsi="宋体" w:eastAsia="宋体" w:cs="宋体"/>
          <w:color w:val="auto"/>
          <w:sz w:val="32"/>
          <w:szCs w:val="32"/>
          <w:highlight w:val="none"/>
        </w:rPr>
      </w:pPr>
    </w:p>
    <w:p w14:paraId="6D7E23CF">
      <w:pPr>
        <w:pStyle w:val="44"/>
        <w:rPr>
          <w:rFonts w:hint="eastAsia"/>
          <w:color w:val="auto"/>
          <w:highlight w:val="none"/>
        </w:rPr>
      </w:pPr>
    </w:p>
    <w:p w14:paraId="58005A7E">
      <w:pPr>
        <w:rPr>
          <w:rFonts w:hint="eastAsia" w:ascii="宋体" w:hAnsi="宋体" w:eastAsia="宋体" w:cs="宋体"/>
          <w:color w:val="auto"/>
          <w:sz w:val="32"/>
          <w:szCs w:val="32"/>
          <w:highlight w:val="none"/>
        </w:rPr>
      </w:pPr>
    </w:p>
    <w:p w14:paraId="357C0D42">
      <w:pPr>
        <w:pStyle w:val="44"/>
        <w:spacing w:line="240" w:lineRule="auto"/>
        <w:ind w:left="0" w:leftChars="0" w:firstLine="0" w:firstLineChars="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附件</w:t>
      </w:r>
      <w:r>
        <w:rPr>
          <w:rFonts w:hint="eastAsia" w:ascii="宋体" w:hAnsi="宋体" w:eastAsia="宋体" w:cs="宋体"/>
          <w:color w:val="auto"/>
          <w:sz w:val="32"/>
          <w:szCs w:val="32"/>
          <w:highlight w:val="none"/>
          <w:lang w:val="en-US" w:eastAsia="zh-CN"/>
        </w:rPr>
        <w:t>2</w:t>
      </w:r>
      <w:r>
        <w:rPr>
          <w:rFonts w:hint="eastAsia" w:ascii="宋体" w:hAnsi="宋体" w:eastAsia="宋体" w:cs="宋体"/>
          <w:color w:val="auto"/>
          <w:sz w:val="32"/>
          <w:szCs w:val="32"/>
          <w:highlight w:val="none"/>
        </w:rPr>
        <w:t>：</w:t>
      </w:r>
    </w:p>
    <w:tbl>
      <w:tblPr>
        <w:tblStyle w:val="45"/>
        <w:tblW w:w="9998" w:type="dxa"/>
        <w:jc w:val="center"/>
        <w:tblLayout w:type="fixed"/>
        <w:tblCellMar>
          <w:top w:w="0" w:type="dxa"/>
          <w:left w:w="0" w:type="dxa"/>
          <w:bottom w:w="0" w:type="dxa"/>
          <w:right w:w="0" w:type="dxa"/>
        </w:tblCellMar>
      </w:tblPr>
      <w:tblGrid>
        <w:gridCol w:w="556"/>
        <w:gridCol w:w="892"/>
        <w:gridCol w:w="2720"/>
        <w:gridCol w:w="712"/>
        <w:gridCol w:w="596"/>
        <w:gridCol w:w="1002"/>
        <w:gridCol w:w="3520"/>
      </w:tblGrid>
      <w:tr w14:paraId="5802B2AE">
        <w:tblPrEx>
          <w:tblCellMar>
            <w:top w:w="0" w:type="dxa"/>
            <w:left w:w="0" w:type="dxa"/>
            <w:bottom w:w="0" w:type="dxa"/>
            <w:right w:w="0" w:type="dxa"/>
          </w:tblCellMar>
        </w:tblPrEx>
        <w:trPr>
          <w:trHeight w:val="435" w:hRule="atLeast"/>
          <w:jc w:val="center"/>
        </w:trPr>
        <w:tc>
          <w:tcPr>
            <w:tcW w:w="9998" w:type="dxa"/>
            <w:gridSpan w:val="7"/>
            <w:tcBorders>
              <w:top w:val="nil"/>
              <w:left w:val="nil"/>
              <w:bottom w:val="single" w:color="000000" w:sz="4" w:space="0"/>
              <w:right w:val="nil"/>
            </w:tcBorders>
            <w:noWrap w:val="0"/>
            <w:tcMar>
              <w:top w:w="15" w:type="dxa"/>
              <w:left w:w="15" w:type="dxa"/>
              <w:right w:w="15" w:type="dxa"/>
            </w:tcMar>
            <w:vAlign w:val="center"/>
          </w:tcPr>
          <w:p w14:paraId="09C13940">
            <w:pPr>
              <w:widowControl/>
              <w:jc w:val="center"/>
              <w:textAlignment w:val="center"/>
              <w:rPr>
                <w:rFonts w:hint="eastAsia" w:ascii="宋体" w:hAnsi="宋体" w:eastAsia="宋体" w:cs="宋体"/>
                <w:b/>
                <w:color w:val="auto"/>
                <w:szCs w:val="32"/>
                <w:highlight w:val="none"/>
              </w:rPr>
            </w:pPr>
            <w:r>
              <w:rPr>
                <w:rFonts w:hint="eastAsia" w:ascii="宋体" w:hAnsi="宋体" w:eastAsia="宋体" w:cs="宋体"/>
                <w:b/>
                <w:color w:val="auto"/>
                <w:kern w:val="0"/>
                <w:szCs w:val="32"/>
                <w:highlight w:val="none"/>
                <w:u w:val="single"/>
                <w:lang w:bidi="ar"/>
              </w:rPr>
              <w:t xml:space="preserve">                         </w:t>
            </w:r>
            <w:r>
              <w:rPr>
                <w:rFonts w:hint="eastAsia" w:ascii="宋体" w:hAnsi="宋体" w:eastAsia="宋体" w:cs="宋体"/>
                <w:b/>
                <w:color w:val="auto"/>
                <w:kern w:val="0"/>
                <w:szCs w:val="32"/>
                <w:highlight w:val="none"/>
                <w:u w:val="single"/>
                <w:lang w:val="en-US" w:eastAsia="zh-CN" w:bidi="ar"/>
              </w:rPr>
              <w:t xml:space="preserve">   </w:t>
            </w:r>
            <w:r>
              <w:rPr>
                <w:rFonts w:hint="eastAsia" w:ascii="宋体" w:hAnsi="宋体" w:eastAsia="宋体" w:cs="宋体"/>
                <w:b/>
                <w:color w:val="auto"/>
                <w:kern w:val="0"/>
                <w:szCs w:val="32"/>
                <w:highlight w:val="none"/>
                <w:u w:val="single"/>
                <w:lang w:bidi="ar"/>
              </w:rPr>
              <w:t xml:space="preserve">    </w:t>
            </w:r>
            <w:r>
              <w:rPr>
                <w:rStyle w:val="155"/>
                <w:rFonts w:hint="eastAsia" w:ascii="宋体" w:hAnsi="宋体" w:eastAsia="宋体" w:cs="宋体"/>
                <w:b w:val="0"/>
                <w:color w:val="auto"/>
                <w:highlight w:val="none"/>
                <w:lang w:bidi="ar"/>
              </w:rPr>
              <w:t>项目</w:t>
            </w:r>
            <w:r>
              <w:rPr>
                <w:rStyle w:val="155"/>
                <w:rFonts w:hint="eastAsia" w:ascii="宋体" w:hAnsi="宋体" w:eastAsia="宋体" w:cs="宋体"/>
                <w:b w:val="0"/>
                <w:color w:val="auto"/>
                <w:highlight w:val="none"/>
                <w:lang w:eastAsia="zh-CN" w:bidi="ar"/>
              </w:rPr>
              <w:t>跟踪</w:t>
            </w:r>
            <w:r>
              <w:rPr>
                <w:rStyle w:val="155"/>
                <w:rFonts w:hint="eastAsia" w:ascii="宋体" w:hAnsi="宋体" w:eastAsia="宋体" w:cs="宋体"/>
                <w:b w:val="0"/>
                <w:color w:val="auto"/>
                <w:highlight w:val="none"/>
                <w:lang w:bidi="ar"/>
              </w:rPr>
              <w:t xml:space="preserve">审计服务质量日常考核表           </w:t>
            </w:r>
          </w:p>
        </w:tc>
      </w:tr>
      <w:tr w14:paraId="0BF47795">
        <w:tblPrEx>
          <w:tblCellMar>
            <w:top w:w="0" w:type="dxa"/>
            <w:left w:w="0" w:type="dxa"/>
            <w:bottom w:w="0" w:type="dxa"/>
            <w:right w:w="0" w:type="dxa"/>
          </w:tblCellMar>
        </w:tblPrEx>
        <w:trPr>
          <w:trHeight w:val="90" w:hRule="atLeast"/>
          <w:jc w:val="center"/>
        </w:trPr>
        <w:tc>
          <w:tcPr>
            <w:tcW w:w="5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B9BD1E1">
            <w:pPr>
              <w:widowControl/>
              <w:jc w:val="center"/>
              <w:textAlignment w:val="center"/>
              <w:rPr>
                <w:rFonts w:hint="eastAsia" w:ascii="宋体" w:hAnsi="宋体" w:eastAsia="宋体" w:cs="宋体"/>
                <w:b/>
                <w:color w:val="auto"/>
                <w:sz w:val="22"/>
                <w:szCs w:val="22"/>
                <w:highlight w:val="none"/>
                <w:lang w:eastAsia="zh-CN"/>
              </w:rPr>
            </w:pPr>
            <w:r>
              <w:rPr>
                <w:rFonts w:hint="eastAsia" w:ascii="宋体" w:hAnsi="宋体" w:eastAsia="宋体" w:cs="宋体"/>
                <w:b/>
                <w:color w:val="auto"/>
                <w:kern w:val="0"/>
                <w:sz w:val="22"/>
                <w:szCs w:val="22"/>
                <w:highlight w:val="none"/>
                <w:lang w:eastAsia="zh-CN" w:bidi="ar"/>
              </w:rPr>
              <w:t>序号</w:t>
            </w:r>
          </w:p>
        </w:tc>
        <w:tc>
          <w:tcPr>
            <w:tcW w:w="89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9D4715">
            <w:pPr>
              <w:widowControl/>
              <w:jc w:val="center"/>
              <w:textAlignment w:val="center"/>
              <w:rPr>
                <w:rFonts w:hint="eastAsia" w:ascii="宋体" w:hAnsi="宋体" w:eastAsia="宋体" w:cs="宋体"/>
                <w:b/>
                <w:color w:val="auto"/>
                <w:sz w:val="22"/>
                <w:szCs w:val="22"/>
                <w:highlight w:val="none"/>
              </w:rPr>
            </w:pPr>
            <w:r>
              <w:rPr>
                <w:rFonts w:hint="eastAsia" w:ascii="宋体" w:hAnsi="宋体" w:eastAsia="宋体" w:cs="宋体"/>
                <w:b/>
                <w:color w:val="auto"/>
                <w:kern w:val="0"/>
                <w:sz w:val="22"/>
                <w:szCs w:val="22"/>
                <w:highlight w:val="none"/>
                <w:lang w:bidi="ar"/>
              </w:rPr>
              <w:t>指标</w:t>
            </w:r>
          </w:p>
        </w:tc>
        <w:tc>
          <w:tcPr>
            <w:tcW w:w="2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CA53FFE">
            <w:pPr>
              <w:widowControl/>
              <w:jc w:val="center"/>
              <w:textAlignment w:val="center"/>
              <w:rPr>
                <w:rFonts w:hint="eastAsia" w:ascii="宋体" w:hAnsi="宋体" w:eastAsia="宋体" w:cs="宋体"/>
                <w:b/>
                <w:color w:val="auto"/>
                <w:sz w:val="22"/>
                <w:szCs w:val="22"/>
                <w:highlight w:val="none"/>
              </w:rPr>
            </w:pPr>
            <w:r>
              <w:rPr>
                <w:rFonts w:hint="eastAsia" w:ascii="宋体" w:hAnsi="宋体" w:eastAsia="宋体" w:cs="宋体"/>
                <w:b/>
                <w:color w:val="auto"/>
                <w:kern w:val="0"/>
                <w:sz w:val="22"/>
                <w:szCs w:val="22"/>
                <w:highlight w:val="none"/>
                <w:lang w:bidi="ar"/>
              </w:rPr>
              <w:t>内容</w:t>
            </w:r>
          </w:p>
        </w:tc>
        <w:tc>
          <w:tcPr>
            <w:tcW w:w="7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376E65E">
            <w:pPr>
              <w:widowControl/>
              <w:jc w:val="center"/>
              <w:textAlignment w:val="center"/>
              <w:rPr>
                <w:rFonts w:hint="eastAsia" w:ascii="宋体" w:hAnsi="宋体" w:eastAsia="宋体" w:cs="宋体"/>
                <w:b/>
                <w:color w:val="auto"/>
                <w:sz w:val="22"/>
                <w:szCs w:val="22"/>
                <w:highlight w:val="none"/>
              </w:rPr>
            </w:pPr>
            <w:r>
              <w:rPr>
                <w:rFonts w:hint="eastAsia" w:ascii="宋体" w:hAnsi="宋体" w:eastAsia="宋体" w:cs="宋体"/>
                <w:b/>
                <w:color w:val="auto"/>
                <w:kern w:val="0"/>
                <w:sz w:val="22"/>
                <w:szCs w:val="22"/>
                <w:highlight w:val="none"/>
                <w:lang w:bidi="ar"/>
              </w:rPr>
              <w:t>总分</w:t>
            </w:r>
          </w:p>
        </w:tc>
        <w:tc>
          <w:tcPr>
            <w:tcW w:w="5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4B1915E">
            <w:pPr>
              <w:widowControl/>
              <w:jc w:val="center"/>
              <w:textAlignment w:val="center"/>
              <w:rPr>
                <w:rFonts w:hint="eastAsia" w:ascii="宋体" w:hAnsi="宋体" w:eastAsia="宋体" w:cs="宋体"/>
                <w:b/>
                <w:color w:val="auto"/>
                <w:sz w:val="22"/>
                <w:szCs w:val="22"/>
                <w:highlight w:val="none"/>
              </w:rPr>
            </w:pPr>
            <w:r>
              <w:rPr>
                <w:rFonts w:hint="eastAsia" w:ascii="宋体" w:hAnsi="宋体" w:eastAsia="宋体" w:cs="宋体"/>
                <w:b/>
                <w:color w:val="auto"/>
                <w:kern w:val="0"/>
                <w:sz w:val="22"/>
                <w:szCs w:val="22"/>
                <w:highlight w:val="none"/>
                <w:lang w:bidi="ar"/>
              </w:rPr>
              <w:t>得分</w:t>
            </w:r>
          </w:p>
        </w:tc>
        <w:tc>
          <w:tcPr>
            <w:tcW w:w="10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79DF9FE">
            <w:pPr>
              <w:widowControl/>
              <w:jc w:val="center"/>
              <w:textAlignment w:val="center"/>
              <w:rPr>
                <w:rFonts w:hint="eastAsia" w:ascii="宋体" w:hAnsi="宋体" w:eastAsia="宋体" w:cs="宋体"/>
                <w:b/>
                <w:color w:val="auto"/>
                <w:sz w:val="22"/>
                <w:szCs w:val="22"/>
                <w:highlight w:val="none"/>
              </w:rPr>
            </w:pPr>
            <w:r>
              <w:rPr>
                <w:rFonts w:hint="eastAsia" w:ascii="宋体" w:hAnsi="宋体" w:eastAsia="宋体" w:cs="宋体"/>
                <w:b/>
                <w:color w:val="auto"/>
                <w:kern w:val="0"/>
                <w:sz w:val="22"/>
                <w:szCs w:val="22"/>
                <w:highlight w:val="none"/>
                <w:lang w:bidi="ar"/>
              </w:rPr>
              <w:t>打分说明</w:t>
            </w:r>
          </w:p>
        </w:tc>
        <w:tc>
          <w:tcPr>
            <w:tcW w:w="35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346CA77">
            <w:pPr>
              <w:widowControl/>
              <w:jc w:val="center"/>
              <w:textAlignment w:val="center"/>
              <w:rPr>
                <w:rFonts w:hint="eastAsia" w:ascii="宋体" w:hAnsi="宋体" w:eastAsia="宋体" w:cs="宋体"/>
                <w:b/>
                <w:color w:val="auto"/>
                <w:sz w:val="22"/>
                <w:szCs w:val="22"/>
                <w:highlight w:val="none"/>
              </w:rPr>
            </w:pPr>
            <w:r>
              <w:rPr>
                <w:rFonts w:hint="eastAsia" w:ascii="宋体" w:hAnsi="宋体" w:eastAsia="宋体" w:cs="宋体"/>
                <w:b/>
                <w:color w:val="auto"/>
                <w:kern w:val="0"/>
                <w:sz w:val="22"/>
                <w:szCs w:val="22"/>
                <w:highlight w:val="none"/>
                <w:lang w:bidi="ar"/>
              </w:rPr>
              <w:t>备注</w:t>
            </w:r>
          </w:p>
        </w:tc>
      </w:tr>
      <w:tr w14:paraId="19CD9555">
        <w:tblPrEx>
          <w:tblCellMar>
            <w:top w:w="0" w:type="dxa"/>
            <w:left w:w="0" w:type="dxa"/>
            <w:bottom w:w="0" w:type="dxa"/>
            <w:right w:w="0" w:type="dxa"/>
          </w:tblCellMar>
        </w:tblPrEx>
        <w:trPr>
          <w:trHeight w:val="90" w:hRule="atLeast"/>
          <w:jc w:val="center"/>
        </w:trPr>
        <w:tc>
          <w:tcPr>
            <w:tcW w:w="556" w:type="dxa"/>
            <w:vMerge w:val="restart"/>
            <w:tcBorders>
              <w:top w:val="single" w:color="000000" w:sz="4" w:space="0"/>
              <w:left w:val="single" w:color="000000" w:sz="4" w:space="0"/>
              <w:right w:val="single" w:color="000000" w:sz="4" w:space="0"/>
            </w:tcBorders>
            <w:noWrap w:val="0"/>
            <w:tcMar>
              <w:top w:w="15" w:type="dxa"/>
              <w:left w:w="15" w:type="dxa"/>
              <w:right w:w="15" w:type="dxa"/>
            </w:tcMar>
            <w:vAlign w:val="center"/>
          </w:tcPr>
          <w:p w14:paraId="6FD850CD">
            <w:pPr>
              <w:widowControl/>
              <w:jc w:val="center"/>
              <w:textAlignment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eastAsia="zh-CN" w:bidi="ar"/>
              </w:rPr>
              <w:t>一</w:t>
            </w:r>
          </w:p>
        </w:tc>
        <w:tc>
          <w:tcPr>
            <w:tcW w:w="892" w:type="dxa"/>
            <w:vMerge w:val="restart"/>
            <w:tcBorders>
              <w:top w:val="single" w:color="000000" w:sz="4" w:space="0"/>
              <w:left w:val="single" w:color="000000" w:sz="4" w:space="0"/>
              <w:right w:val="single" w:color="000000" w:sz="4" w:space="0"/>
            </w:tcBorders>
            <w:noWrap w:val="0"/>
            <w:tcMar>
              <w:top w:w="15" w:type="dxa"/>
              <w:left w:w="15" w:type="dxa"/>
              <w:right w:w="15" w:type="dxa"/>
            </w:tcMar>
            <w:vAlign w:val="center"/>
          </w:tcPr>
          <w:p w14:paraId="11B583BF">
            <w:pPr>
              <w:widowControl/>
              <w:jc w:val="center"/>
              <w:textAlignment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bidi="ar"/>
              </w:rPr>
              <w:t>人员组成</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bidi="ar"/>
              </w:rPr>
              <w:t>变更</w:t>
            </w:r>
            <w:r>
              <w:rPr>
                <w:rFonts w:hint="eastAsia" w:ascii="宋体" w:hAnsi="宋体" w:eastAsia="宋体" w:cs="宋体"/>
                <w:color w:val="auto"/>
                <w:kern w:val="0"/>
                <w:sz w:val="24"/>
                <w:szCs w:val="24"/>
                <w:highlight w:val="none"/>
                <w:lang w:eastAsia="zh-CN" w:bidi="ar"/>
              </w:rPr>
              <w:t>及前期准备</w:t>
            </w:r>
          </w:p>
        </w:tc>
        <w:tc>
          <w:tcPr>
            <w:tcW w:w="2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79B53A5">
            <w:pPr>
              <w:widowControl/>
              <w:jc w:val="left"/>
              <w:textAlignment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
              </w:rPr>
              <w:t>1.</w:t>
            </w:r>
            <w:r>
              <w:rPr>
                <w:rFonts w:hint="eastAsia" w:ascii="宋体" w:hAnsi="宋体" w:eastAsia="宋体" w:cs="宋体"/>
                <w:color w:val="auto"/>
                <w:kern w:val="0"/>
                <w:sz w:val="24"/>
                <w:szCs w:val="24"/>
                <w:highlight w:val="none"/>
                <w:lang w:bidi="ar"/>
              </w:rPr>
              <w:t>是否具备胜任本项目跟踪审计工作能力</w:t>
            </w:r>
          </w:p>
        </w:tc>
        <w:tc>
          <w:tcPr>
            <w:tcW w:w="7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1E18BE8">
            <w:pPr>
              <w:widowControl/>
              <w:jc w:val="center"/>
              <w:textAlignment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
              </w:rPr>
              <w:t>4</w:t>
            </w:r>
          </w:p>
        </w:tc>
        <w:tc>
          <w:tcPr>
            <w:tcW w:w="5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D0516C5">
            <w:pPr>
              <w:jc w:val="left"/>
              <w:rPr>
                <w:rFonts w:hint="eastAsia" w:ascii="宋体" w:hAnsi="宋体" w:eastAsia="宋体" w:cs="宋体"/>
                <w:color w:val="auto"/>
                <w:kern w:val="2"/>
                <w:sz w:val="24"/>
                <w:szCs w:val="24"/>
                <w:highlight w:val="none"/>
                <w:lang w:val="en-US" w:eastAsia="zh-CN" w:bidi="ar-SA"/>
              </w:rPr>
            </w:pPr>
          </w:p>
        </w:tc>
        <w:tc>
          <w:tcPr>
            <w:tcW w:w="10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7CF4310">
            <w:pPr>
              <w:jc w:val="left"/>
              <w:rPr>
                <w:rFonts w:hint="eastAsia" w:ascii="宋体" w:hAnsi="宋体" w:eastAsia="宋体" w:cs="宋体"/>
                <w:color w:val="auto"/>
                <w:kern w:val="2"/>
                <w:sz w:val="24"/>
                <w:szCs w:val="24"/>
                <w:highlight w:val="none"/>
                <w:lang w:val="en-US" w:eastAsia="zh-CN" w:bidi="ar-SA"/>
              </w:rPr>
            </w:pPr>
          </w:p>
        </w:tc>
        <w:tc>
          <w:tcPr>
            <w:tcW w:w="35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29502BA">
            <w:pPr>
              <w:widowControl/>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lang w:eastAsia="zh-CN" w:bidi="ar"/>
              </w:rPr>
              <w:t>需有与跟审投标文件、委托协议一致的</w:t>
            </w:r>
            <w:r>
              <w:rPr>
                <w:rFonts w:hint="eastAsia" w:ascii="宋体" w:hAnsi="宋体" w:eastAsia="宋体" w:cs="宋体"/>
                <w:color w:val="auto"/>
                <w:kern w:val="0"/>
                <w:sz w:val="21"/>
                <w:szCs w:val="21"/>
                <w:highlight w:val="none"/>
                <w:lang w:bidi="ar"/>
              </w:rPr>
              <w:t>任命文</w:t>
            </w:r>
            <w:r>
              <w:rPr>
                <w:rFonts w:hint="eastAsia" w:ascii="宋体" w:hAnsi="宋体" w:eastAsia="宋体" w:cs="宋体"/>
                <w:color w:val="auto"/>
                <w:kern w:val="0"/>
                <w:sz w:val="21"/>
                <w:szCs w:val="21"/>
                <w:highlight w:val="none"/>
                <w:lang w:eastAsia="zh-CN" w:bidi="ar"/>
              </w:rPr>
              <w:t>并</w:t>
            </w:r>
            <w:r>
              <w:rPr>
                <w:rFonts w:hint="eastAsia" w:ascii="宋体" w:hAnsi="宋体" w:eastAsia="宋体" w:cs="宋体"/>
                <w:color w:val="auto"/>
                <w:kern w:val="0"/>
                <w:sz w:val="21"/>
                <w:szCs w:val="21"/>
                <w:highlight w:val="none"/>
                <w:lang w:bidi="ar"/>
              </w:rPr>
              <w:t>及时报送</w:t>
            </w:r>
            <w:r>
              <w:rPr>
                <w:rFonts w:hint="eastAsia" w:ascii="宋体" w:hAnsi="宋体" w:eastAsia="宋体" w:cs="宋体"/>
                <w:color w:val="auto"/>
                <w:kern w:val="0"/>
                <w:sz w:val="21"/>
                <w:szCs w:val="21"/>
                <w:highlight w:val="none"/>
                <w:lang w:eastAsia="zh-CN" w:bidi="ar"/>
              </w:rPr>
              <w:t>综合计划科和业主代表</w:t>
            </w:r>
            <w:r>
              <w:rPr>
                <w:rFonts w:hint="eastAsia" w:ascii="宋体" w:hAnsi="宋体" w:eastAsia="宋体" w:cs="宋体"/>
                <w:color w:val="auto"/>
                <w:kern w:val="0"/>
                <w:sz w:val="21"/>
                <w:szCs w:val="21"/>
                <w:highlight w:val="none"/>
                <w:lang w:bidi="ar"/>
              </w:rPr>
              <w:t>备案（</w:t>
            </w:r>
            <w:r>
              <w:rPr>
                <w:rFonts w:hint="eastAsia" w:ascii="宋体" w:hAnsi="宋体" w:eastAsia="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bidi="ar"/>
              </w:rPr>
              <w:t>分）</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人员变更</w:t>
            </w:r>
            <w:r>
              <w:rPr>
                <w:rFonts w:hint="eastAsia" w:ascii="宋体" w:hAnsi="宋体" w:eastAsia="宋体" w:cs="宋体"/>
                <w:color w:val="auto"/>
                <w:kern w:val="0"/>
                <w:sz w:val="21"/>
                <w:szCs w:val="21"/>
                <w:highlight w:val="none"/>
                <w:lang w:eastAsia="zh-CN" w:bidi="ar"/>
              </w:rPr>
              <w:t>的，程序</w:t>
            </w:r>
            <w:r>
              <w:rPr>
                <w:rFonts w:hint="eastAsia" w:ascii="宋体" w:hAnsi="宋体" w:eastAsia="宋体" w:cs="宋体"/>
                <w:color w:val="auto"/>
                <w:kern w:val="0"/>
                <w:sz w:val="21"/>
                <w:szCs w:val="21"/>
                <w:highlight w:val="none"/>
                <w:lang w:bidi="ar"/>
              </w:rPr>
              <w:t>是否</w:t>
            </w:r>
            <w:r>
              <w:rPr>
                <w:rFonts w:hint="eastAsia" w:ascii="宋体" w:hAnsi="宋体" w:eastAsia="宋体" w:cs="宋体"/>
                <w:color w:val="auto"/>
                <w:kern w:val="0"/>
                <w:sz w:val="21"/>
                <w:szCs w:val="21"/>
                <w:highlight w:val="none"/>
                <w:lang w:eastAsia="zh-CN" w:bidi="ar"/>
              </w:rPr>
              <w:t>按管理办法完成</w:t>
            </w: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bidi="ar"/>
              </w:rPr>
              <w:t>分）</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若不一致或未办理变更手续</w:t>
            </w:r>
            <w:r>
              <w:rPr>
                <w:rFonts w:hint="eastAsia" w:ascii="宋体" w:hAnsi="宋体" w:eastAsia="宋体" w:cs="宋体"/>
                <w:color w:val="auto"/>
                <w:kern w:val="0"/>
                <w:sz w:val="21"/>
                <w:szCs w:val="21"/>
                <w:highlight w:val="none"/>
                <w:lang w:eastAsia="zh-CN" w:bidi="ar"/>
              </w:rPr>
              <w:t>的，本项</w:t>
            </w:r>
            <w:r>
              <w:rPr>
                <w:rFonts w:hint="eastAsia" w:ascii="宋体" w:hAnsi="宋体" w:eastAsia="宋体" w:cs="宋体"/>
                <w:color w:val="auto"/>
                <w:kern w:val="0"/>
                <w:sz w:val="21"/>
                <w:szCs w:val="21"/>
                <w:highlight w:val="none"/>
                <w:lang w:bidi="ar"/>
              </w:rPr>
              <w:t>得0分</w:t>
            </w:r>
          </w:p>
        </w:tc>
      </w:tr>
      <w:tr w14:paraId="3B650F64">
        <w:tblPrEx>
          <w:tblCellMar>
            <w:top w:w="0" w:type="dxa"/>
            <w:left w:w="0" w:type="dxa"/>
            <w:bottom w:w="0" w:type="dxa"/>
            <w:right w:w="0" w:type="dxa"/>
          </w:tblCellMar>
        </w:tblPrEx>
        <w:trPr>
          <w:trHeight w:val="1462" w:hRule="atLeast"/>
          <w:jc w:val="center"/>
        </w:trPr>
        <w:tc>
          <w:tcPr>
            <w:tcW w:w="556" w:type="dxa"/>
            <w:vMerge w:val="continue"/>
            <w:tcBorders>
              <w:left w:val="single" w:color="000000" w:sz="4" w:space="0"/>
              <w:right w:val="single" w:color="000000" w:sz="4" w:space="0"/>
            </w:tcBorders>
            <w:noWrap w:val="0"/>
            <w:tcMar>
              <w:top w:w="15" w:type="dxa"/>
              <w:left w:w="15" w:type="dxa"/>
              <w:right w:w="15" w:type="dxa"/>
            </w:tcMar>
            <w:vAlign w:val="center"/>
          </w:tcPr>
          <w:p w14:paraId="38E6E324">
            <w:pPr>
              <w:widowControl/>
              <w:jc w:val="center"/>
              <w:textAlignment w:val="center"/>
              <w:rPr>
                <w:rFonts w:hint="eastAsia" w:ascii="宋体" w:hAnsi="宋体" w:eastAsia="宋体" w:cs="宋体"/>
                <w:color w:val="auto"/>
                <w:kern w:val="0"/>
                <w:sz w:val="24"/>
                <w:szCs w:val="24"/>
                <w:highlight w:val="none"/>
                <w:lang w:bidi="ar"/>
              </w:rPr>
            </w:pPr>
          </w:p>
        </w:tc>
        <w:tc>
          <w:tcPr>
            <w:tcW w:w="892" w:type="dxa"/>
            <w:vMerge w:val="continue"/>
            <w:tcBorders>
              <w:left w:val="single" w:color="000000" w:sz="4" w:space="0"/>
              <w:right w:val="single" w:color="000000" w:sz="4" w:space="0"/>
            </w:tcBorders>
            <w:noWrap w:val="0"/>
            <w:tcMar>
              <w:top w:w="15" w:type="dxa"/>
              <w:left w:w="15" w:type="dxa"/>
              <w:right w:w="15" w:type="dxa"/>
            </w:tcMar>
            <w:vAlign w:val="center"/>
          </w:tcPr>
          <w:p w14:paraId="52055DE3">
            <w:pPr>
              <w:widowControl/>
              <w:jc w:val="center"/>
              <w:textAlignment w:val="center"/>
              <w:rPr>
                <w:rFonts w:hint="eastAsia" w:ascii="宋体" w:hAnsi="宋体" w:eastAsia="宋体" w:cs="宋体"/>
                <w:color w:val="auto"/>
                <w:kern w:val="0"/>
                <w:sz w:val="24"/>
                <w:szCs w:val="24"/>
                <w:highlight w:val="none"/>
                <w:lang w:bidi="ar"/>
              </w:rPr>
            </w:pPr>
          </w:p>
        </w:tc>
        <w:tc>
          <w:tcPr>
            <w:tcW w:w="2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910AA17">
            <w:pPr>
              <w:widowControl/>
              <w:jc w:val="left"/>
              <w:textAlignment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
              </w:rPr>
              <w:t>2.</w:t>
            </w:r>
            <w:r>
              <w:rPr>
                <w:rFonts w:hint="eastAsia" w:ascii="宋体" w:hAnsi="宋体" w:eastAsia="宋体" w:cs="宋体"/>
                <w:color w:val="auto"/>
                <w:kern w:val="0"/>
                <w:sz w:val="24"/>
                <w:szCs w:val="24"/>
                <w:highlight w:val="none"/>
                <w:lang w:bidi="ar"/>
              </w:rPr>
              <w:t>到岗履职</w:t>
            </w:r>
          </w:p>
        </w:tc>
        <w:tc>
          <w:tcPr>
            <w:tcW w:w="7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CB6B563">
            <w:pPr>
              <w:widowControl/>
              <w:jc w:val="center"/>
              <w:textAlignment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
              </w:rPr>
              <w:t>4</w:t>
            </w:r>
          </w:p>
        </w:tc>
        <w:tc>
          <w:tcPr>
            <w:tcW w:w="5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56BF95E">
            <w:pPr>
              <w:jc w:val="left"/>
              <w:rPr>
                <w:rFonts w:hint="eastAsia" w:ascii="宋体" w:hAnsi="宋体" w:eastAsia="宋体" w:cs="宋体"/>
                <w:color w:val="auto"/>
                <w:kern w:val="2"/>
                <w:sz w:val="24"/>
                <w:szCs w:val="24"/>
                <w:highlight w:val="none"/>
                <w:lang w:val="en-US" w:eastAsia="zh-CN" w:bidi="ar-SA"/>
              </w:rPr>
            </w:pPr>
          </w:p>
        </w:tc>
        <w:tc>
          <w:tcPr>
            <w:tcW w:w="10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F648C43">
            <w:pPr>
              <w:jc w:val="left"/>
              <w:rPr>
                <w:rFonts w:hint="eastAsia" w:ascii="宋体" w:hAnsi="宋体" w:eastAsia="宋体" w:cs="宋体"/>
                <w:color w:val="auto"/>
                <w:kern w:val="2"/>
                <w:sz w:val="24"/>
                <w:szCs w:val="24"/>
                <w:highlight w:val="none"/>
                <w:lang w:val="en-US" w:eastAsia="zh-CN" w:bidi="ar-SA"/>
              </w:rPr>
            </w:pPr>
          </w:p>
        </w:tc>
        <w:tc>
          <w:tcPr>
            <w:tcW w:w="35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8133FFE">
            <w:pPr>
              <w:widowControl/>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lang w:bidi="ar"/>
              </w:rPr>
              <w:t>业主、监理反映履职情况，经检查组询问，项目负责人或现场审计人员是否了解工程现场情况，</w:t>
            </w:r>
            <w:r>
              <w:rPr>
                <w:rFonts w:hint="eastAsia" w:ascii="宋体" w:hAnsi="宋体" w:eastAsia="宋体" w:cs="宋体"/>
                <w:color w:val="auto"/>
                <w:kern w:val="0"/>
                <w:sz w:val="21"/>
                <w:szCs w:val="21"/>
                <w:highlight w:val="none"/>
                <w:lang w:eastAsia="zh-CN" w:bidi="ar"/>
              </w:rPr>
              <w:t>有驻场要求的需考核打卡</w:t>
            </w:r>
            <w:r>
              <w:rPr>
                <w:rFonts w:hint="eastAsia" w:ascii="宋体" w:hAnsi="宋体" w:eastAsia="宋体" w:cs="宋体"/>
                <w:color w:val="auto"/>
                <w:kern w:val="0"/>
                <w:sz w:val="21"/>
                <w:szCs w:val="21"/>
                <w:highlight w:val="none"/>
                <w:lang w:bidi="ar"/>
              </w:rPr>
              <w:t>情况。</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不好0分、较好</w:t>
            </w:r>
            <w:r>
              <w:rPr>
                <w:rFonts w:hint="eastAsia" w:ascii="宋体" w:hAnsi="宋体" w:eastAsia="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bidi="ar"/>
              </w:rPr>
              <w:t>分、很好</w:t>
            </w:r>
            <w:r>
              <w:rPr>
                <w:rFonts w:hint="eastAsia" w:ascii="宋体" w:hAnsi="宋体" w:eastAsia="宋体" w:cs="宋体"/>
                <w:color w:val="auto"/>
                <w:kern w:val="0"/>
                <w:sz w:val="21"/>
                <w:szCs w:val="21"/>
                <w:highlight w:val="none"/>
                <w:lang w:val="en-US" w:eastAsia="zh-CN" w:bidi="ar"/>
              </w:rPr>
              <w:t>4</w:t>
            </w:r>
            <w:r>
              <w:rPr>
                <w:rFonts w:hint="eastAsia" w:ascii="宋体" w:hAnsi="宋体" w:eastAsia="宋体" w:cs="宋体"/>
                <w:color w:val="auto"/>
                <w:kern w:val="0"/>
                <w:sz w:val="21"/>
                <w:szCs w:val="21"/>
                <w:highlight w:val="none"/>
                <w:lang w:bidi="ar"/>
              </w:rPr>
              <w:t>分</w:t>
            </w:r>
            <w:r>
              <w:rPr>
                <w:rFonts w:hint="eastAsia" w:ascii="宋体" w:hAnsi="宋体" w:eastAsia="宋体" w:cs="宋体"/>
                <w:color w:val="auto"/>
                <w:kern w:val="0"/>
                <w:sz w:val="21"/>
                <w:szCs w:val="21"/>
                <w:highlight w:val="none"/>
                <w:lang w:eastAsia="zh-CN" w:bidi="ar"/>
              </w:rPr>
              <w:t>）主要会议未参加或单项隐蔽工程未参与计量的，本项得</w:t>
            </w:r>
            <w:r>
              <w:rPr>
                <w:rFonts w:hint="eastAsia" w:ascii="宋体" w:hAnsi="宋体" w:eastAsia="宋体" w:cs="宋体"/>
                <w:color w:val="auto"/>
                <w:kern w:val="0"/>
                <w:sz w:val="21"/>
                <w:szCs w:val="21"/>
                <w:highlight w:val="none"/>
                <w:lang w:val="en-US" w:eastAsia="zh-CN" w:bidi="ar"/>
              </w:rPr>
              <w:t>0分（本项由业主代表参与打分）</w:t>
            </w:r>
          </w:p>
        </w:tc>
      </w:tr>
      <w:tr w14:paraId="09B6D35E">
        <w:tblPrEx>
          <w:tblCellMar>
            <w:top w:w="0" w:type="dxa"/>
            <w:left w:w="0" w:type="dxa"/>
            <w:bottom w:w="0" w:type="dxa"/>
            <w:right w:w="0" w:type="dxa"/>
          </w:tblCellMar>
        </w:tblPrEx>
        <w:trPr>
          <w:trHeight w:val="813" w:hRule="atLeast"/>
          <w:jc w:val="center"/>
        </w:trPr>
        <w:tc>
          <w:tcPr>
            <w:tcW w:w="556" w:type="dxa"/>
            <w:vMerge w:val="continue"/>
            <w:tcBorders>
              <w:left w:val="single" w:color="000000" w:sz="4" w:space="0"/>
              <w:bottom w:val="single" w:color="000000" w:sz="4" w:space="0"/>
              <w:right w:val="single" w:color="000000" w:sz="4" w:space="0"/>
            </w:tcBorders>
            <w:noWrap w:val="0"/>
            <w:tcMar>
              <w:top w:w="15" w:type="dxa"/>
              <w:left w:w="15" w:type="dxa"/>
              <w:right w:w="15" w:type="dxa"/>
            </w:tcMar>
            <w:vAlign w:val="center"/>
          </w:tcPr>
          <w:p w14:paraId="60BBF173">
            <w:pPr>
              <w:widowControl/>
              <w:jc w:val="center"/>
              <w:textAlignment w:val="center"/>
              <w:rPr>
                <w:rFonts w:hint="eastAsia" w:ascii="宋体" w:hAnsi="宋体" w:eastAsia="宋体" w:cs="宋体"/>
                <w:color w:val="auto"/>
                <w:sz w:val="24"/>
                <w:szCs w:val="24"/>
                <w:highlight w:val="none"/>
                <w:lang w:eastAsia="zh-CN"/>
              </w:rPr>
            </w:pPr>
          </w:p>
        </w:tc>
        <w:tc>
          <w:tcPr>
            <w:tcW w:w="892" w:type="dxa"/>
            <w:vMerge w:val="continue"/>
            <w:tcBorders>
              <w:left w:val="single" w:color="000000" w:sz="4" w:space="0"/>
              <w:bottom w:val="single" w:color="000000" w:sz="4" w:space="0"/>
              <w:right w:val="single" w:color="000000" w:sz="4" w:space="0"/>
            </w:tcBorders>
            <w:noWrap w:val="0"/>
            <w:tcMar>
              <w:top w:w="15" w:type="dxa"/>
              <w:left w:w="15" w:type="dxa"/>
              <w:right w:w="15" w:type="dxa"/>
            </w:tcMar>
            <w:vAlign w:val="center"/>
          </w:tcPr>
          <w:p w14:paraId="4C7F5D59">
            <w:pPr>
              <w:widowControl/>
              <w:jc w:val="center"/>
              <w:textAlignment w:val="center"/>
              <w:rPr>
                <w:rFonts w:hint="eastAsia" w:ascii="宋体" w:hAnsi="宋体" w:eastAsia="宋体" w:cs="宋体"/>
                <w:color w:val="auto"/>
                <w:sz w:val="24"/>
                <w:szCs w:val="24"/>
                <w:highlight w:val="none"/>
                <w:lang w:val="en-US" w:eastAsia="zh-CN"/>
              </w:rPr>
            </w:pPr>
          </w:p>
        </w:tc>
        <w:tc>
          <w:tcPr>
            <w:tcW w:w="2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EFE5465">
            <w:pPr>
              <w:widowControl/>
              <w:jc w:val="left"/>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val="en-US" w:eastAsia="zh-CN" w:bidi="ar"/>
              </w:rPr>
              <w:t>3.</w:t>
            </w:r>
            <w:r>
              <w:rPr>
                <w:rFonts w:hint="eastAsia" w:ascii="宋体" w:hAnsi="宋体" w:eastAsia="宋体" w:cs="宋体"/>
                <w:color w:val="auto"/>
                <w:kern w:val="0"/>
                <w:sz w:val="24"/>
                <w:szCs w:val="24"/>
                <w:highlight w:val="none"/>
                <w:lang w:eastAsia="zh-CN" w:bidi="ar"/>
              </w:rPr>
              <w:t>资料是否收集齐全</w:t>
            </w:r>
          </w:p>
        </w:tc>
        <w:tc>
          <w:tcPr>
            <w:tcW w:w="7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6BF6619">
            <w:pPr>
              <w:widowControl/>
              <w:jc w:val="center"/>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val="en-US" w:eastAsia="zh-CN" w:bidi="ar"/>
              </w:rPr>
              <w:t>2</w:t>
            </w:r>
          </w:p>
        </w:tc>
        <w:tc>
          <w:tcPr>
            <w:tcW w:w="5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7888343">
            <w:pPr>
              <w:jc w:val="left"/>
              <w:rPr>
                <w:rFonts w:hint="eastAsia" w:ascii="宋体" w:hAnsi="宋体" w:eastAsia="宋体" w:cs="宋体"/>
                <w:color w:val="auto"/>
                <w:sz w:val="24"/>
                <w:szCs w:val="24"/>
                <w:highlight w:val="none"/>
              </w:rPr>
            </w:pPr>
          </w:p>
        </w:tc>
        <w:tc>
          <w:tcPr>
            <w:tcW w:w="10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962F036">
            <w:pPr>
              <w:jc w:val="left"/>
              <w:rPr>
                <w:rFonts w:hint="eastAsia" w:ascii="宋体" w:hAnsi="宋体" w:eastAsia="宋体" w:cs="宋体"/>
                <w:color w:val="auto"/>
                <w:sz w:val="24"/>
                <w:szCs w:val="24"/>
                <w:highlight w:val="none"/>
              </w:rPr>
            </w:pPr>
          </w:p>
        </w:tc>
        <w:tc>
          <w:tcPr>
            <w:tcW w:w="35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A96D436">
            <w:pPr>
              <w:widowControl/>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需有招标文件、工程量清单及最高投标限价、中标单位投标文件、建设工程施工合同、图纸等前期资料。未收集齐全的，本项得</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lang w:eastAsia="zh-CN"/>
              </w:rPr>
              <w:t>分</w:t>
            </w:r>
          </w:p>
        </w:tc>
      </w:tr>
      <w:tr w14:paraId="73AB91F7">
        <w:tblPrEx>
          <w:tblCellMar>
            <w:top w:w="0" w:type="dxa"/>
            <w:left w:w="0" w:type="dxa"/>
            <w:bottom w:w="0" w:type="dxa"/>
            <w:right w:w="0" w:type="dxa"/>
          </w:tblCellMar>
        </w:tblPrEx>
        <w:trPr>
          <w:trHeight w:val="1427" w:hRule="atLeast"/>
          <w:jc w:val="center"/>
        </w:trPr>
        <w:tc>
          <w:tcPr>
            <w:tcW w:w="556" w:type="dxa"/>
            <w:tcBorders>
              <w:top w:val="single" w:color="auto" w:sz="4" w:space="0"/>
              <w:left w:val="single" w:color="auto" w:sz="4" w:space="0"/>
              <w:bottom w:val="single" w:color="auto" w:sz="4" w:space="0"/>
              <w:right w:val="single" w:color="000000" w:sz="4" w:space="0"/>
            </w:tcBorders>
            <w:noWrap w:val="0"/>
            <w:tcMar>
              <w:top w:w="15" w:type="dxa"/>
              <w:left w:w="15" w:type="dxa"/>
              <w:right w:w="15" w:type="dxa"/>
            </w:tcMar>
            <w:vAlign w:val="center"/>
          </w:tcPr>
          <w:p w14:paraId="221362B6">
            <w:pPr>
              <w:widowControl/>
              <w:jc w:val="center"/>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eastAsia="zh-CN" w:bidi="ar"/>
              </w:rPr>
              <w:t>二</w:t>
            </w:r>
          </w:p>
        </w:tc>
        <w:tc>
          <w:tcPr>
            <w:tcW w:w="892" w:type="dxa"/>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07328F30">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审计实施方案</w:t>
            </w:r>
          </w:p>
        </w:tc>
        <w:tc>
          <w:tcPr>
            <w:tcW w:w="2720" w:type="dxa"/>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55DE2254">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内容规范、全面、针对性强，按照《关于进一步规范政府投资项目跟踪审计实施方案及清单复核报告制度的通知》要求编写</w:t>
            </w:r>
          </w:p>
        </w:tc>
        <w:tc>
          <w:tcPr>
            <w:tcW w:w="712" w:type="dxa"/>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13880EAE">
            <w:pPr>
              <w:widowControl/>
              <w:jc w:val="center"/>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val="en-US" w:eastAsia="zh-CN" w:bidi="ar"/>
              </w:rPr>
              <w:t>5</w:t>
            </w:r>
          </w:p>
        </w:tc>
        <w:tc>
          <w:tcPr>
            <w:tcW w:w="596" w:type="dxa"/>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2DA44B13">
            <w:pPr>
              <w:jc w:val="left"/>
              <w:rPr>
                <w:rFonts w:hint="eastAsia" w:ascii="宋体" w:hAnsi="宋体" w:eastAsia="宋体" w:cs="宋体"/>
                <w:color w:val="auto"/>
                <w:sz w:val="24"/>
                <w:szCs w:val="24"/>
                <w:highlight w:val="none"/>
              </w:rPr>
            </w:pPr>
          </w:p>
        </w:tc>
        <w:tc>
          <w:tcPr>
            <w:tcW w:w="1002" w:type="dxa"/>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64B5398A">
            <w:pPr>
              <w:jc w:val="left"/>
              <w:rPr>
                <w:rFonts w:hint="eastAsia" w:ascii="宋体" w:hAnsi="宋体" w:eastAsia="宋体" w:cs="宋体"/>
                <w:color w:val="auto"/>
                <w:sz w:val="24"/>
                <w:szCs w:val="24"/>
                <w:highlight w:val="none"/>
              </w:rPr>
            </w:pPr>
          </w:p>
        </w:tc>
        <w:tc>
          <w:tcPr>
            <w:tcW w:w="3520" w:type="dxa"/>
            <w:tcBorders>
              <w:top w:val="single" w:color="auto" w:sz="4" w:space="0"/>
              <w:left w:val="single" w:color="000000" w:sz="4" w:space="0"/>
              <w:bottom w:val="single" w:color="auto" w:sz="4" w:space="0"/>
              <w:right w:val="single" w:color="auto" w:sz="4" w:space="0"/>
            </w:tcBorders>
            <w:noWrap w:val="0"/>
            <w:tcMar>
              <w:top w:w="15" w:type="dxa"/>
              <w:left w:w="15" w:type="dxa"/>
              <w:right w:w="15" w:type="dxa"/>
            </w:tcMar>
            <w:vAlign w:val="center"/>
          </w:tcPr>
          <w:p w14:paraId="178C1CD0">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要素：1.总述2.人员配置3.工作内容4.跟踪审计重点5.审计程序6.审计质量保证措施</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不好0分、较好</w:t>
            </w: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bidi="ar"/>
              </w:rPr>
              <w:t>分、很好</w:t>
            </w:r>
            <w:r>
              <w:rPr>
                <w:rFonts w:hint="eastAsia" w:ascii="宋体" w:hAnsi="宋体" w:eastAsia="宋体" w:cs="宋体"/>
                <w:color w:val="auto"/>
                <w:kern w:val="0"/>
                <w:sz w:val="21"/>
                <w:szCs w:val="21"/>
                <w:highlight w:val="none"/>
                <w:lang w:val="en-US" w:eastAsia="zh-CN" w:bidi="ar"/>
              </w:rPr>
              <w:t>4</w:t>
            </w:r>
            <w:r>
              <w:rPr>
                <w:rFonts w:hint="eastAsia" w:ascii="宋体" w:hAnsi="宋体" w:eastAsia="宋体" w:cs="宋体"/>
                <w:color w:val="auto"/>
                <w:kern w:val="0"/>
                <w:sz w:val="21"/>
                <w:szCs w:val="21"/>
                <w:highlight w:val="none"/>
                <w:lang w:bidi="ar"/>
              </w:rPr>
              <w:t>分</w:t>
            </w:r>
            <w:r>
              <w:rPr>
                <w:rFonts w:hint="eastAsia" w:ascii="宋体" w:hAnsi="宋体" w:eastAsia="宋体" w:cs="宋体"/>
                <w:color w:val="auto"/>
                <w:kern w:val="0"/>
                <w:sz w:val="21"/>
                <w:szCs w:val="21"/>
                <w:highlight w:val="none"/>
                <w:lang w:eastAsia="zh-CN" w:bidi="ar"/>
              </w:rPr>
              <w:t>）。于</w:t>
            </w:r>
            <w:r>
              <w:rPr>
                <w:rFonts w:hint="eastAsia" w:ascii="宋体" w:hAnsi="宋体" w:eastAsia="宋体" w:cs="宋体"/>
                <w:color w:val="auto"/>
                <w:kern w:val="0"/>
                <w:sz w:val="21"/>
                <w:szCs w:val="21"/>
                <w:highlight w:val="none"/>
                <w:lang w:bidi="ar"/>
              </w:rPr>
              <w:t>开工前报送</w:t>
            </w:r>
            <w:r>
              <w:rPr>
                <w:rFonts w:hint="eastAsia" w:ascii="宋体" w:hAnsi="宋体" w:eastAsia="宋体" w:cs="宋体"/>
                <w:color w:val="auto"/>
                <w:kern w:val="0"/>
                <w:sz w:val="21"/>
                <w:szCs w:val="21"/>
                <w:highlight w:val="none"/>
                <w:lang w:eastAsia="zh-CN" w:bidi="ar"/>
              </w:rPr>
              <w:t>综合计划科和业主代表</w:t>
            </w:r>
            <w:r>
              <w:rPr>
                <w:rFonts w:hint="eastAsia" w:ascii="宋体" w:hAnsi="宋体" w:eastAsia="宋体" w:cs="宋体"/>
                <w:color w:val="auto"/>
                <w:kern w:val="0"/>
                <w:sz w:val="21"/>
                <w:szCs w:val="21"/>
                <w:highlight w:val="none"/>
                <w:lang w:bidi="ar"/>
              </w:rPr>
              <w:t>备案（</w:t>
            </w:r>
            <w:r>
              <w:rPr>
                <w:rFonts w:hint="eastAsia" w:ascii="宋体" w:hAnsi="宋体" w:eastAsia="宋体" w:cs="宋体"/>
                <w:color w:val="auto"/>
                <w:kern w:val="0"/>
                <w:sz w:val="21"/>
                <w:szCs w:val="21"/>
                <w:highlight w:val="none"/>
                <w:lang w:val="en-US" w:eastAsia="zh-CN" w:bidi="ar"/>
              </w:rPr>
              <w:t>1分</w:t>
            </w:r>
            <w:r>
              <w:rPr>
                <w:rFonts w:hint="eastAsia" w:ascii="宋体" w:hAnsi="宋体" w:eastAsia="宋体" w:cs="宋体"/>
                <w:color w:val="auto"/>
                <w:kern w:val="0"/>
                <w:sz w:val="21"/>
                <w:szCs w:val="21"/>
                <w:highlight w:val="none"/>
                <w:lang w:bidi="ar"/>
              </w:rPr>
              <w:t>）</w:t>
            </w:r>
          </w:p>
        </w:tc>
      </w:tr>
      <w:tr w14:paraId="398F975F">
        <w:tblPrEx>
          <w:tblCellMar>
            <w:top w:w="0" w:type="dxa"/>
            <w:left w:w="0" w:type="dxa"/>
            <w:bottom w:w="0" w:type="dxa"/>
            <w:right w:w="0" w:type="dxa"/>
          </w:tblCellMar>
        </w:tblPrEx>
        <w:trPr>
          <w:trHeight w:val="1307" w:hRule="atLeast"/>
          <w:jc w:val="center"/>
        </w:trPr>
        <w:tc>
          <w:tcPr>
            <w:tcW w:w="556" w:type="dxa"/>
            <w:vMerge w:val="restart"/>
            <w:tcBorders>
              <w:top w:val="single" w:color="000000" w:sz="4" w:space="0"/>
              <w:left w:val="single" w:color="000000" w:sz="4" w:space="0"/>
              <w:right w:val="single" w:color="000000" w:sz="4" w:space="0"/>
            </w:tcBorders>
            <w:noWrap w:val="0"/>
            <w:tcMar>
              <w:top w:w="15" w:type="dxa"/>
              <w:left w:w="15" w:type="dxa"/>
              <w:right w:w="15" w:type="dxa"/>
            </w:tcMar>
            <w:vAlign w:val="center"/>
          </w:tcPr>
          <w:p w14:paraId="40758C7F">
            <w:pPr>
              <w:widowControl/>
              <w:jc w:val="center"/>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eastAsia="zh-CN" w:bidi="ar"/>
              </w:rPr>
              <w:t>三</w:t>
            </w:r>
          </w:p>
        </w:tc>
        <w:tc>
          <w:tcPr>
            <w:tcW w:w="892" w:type="dxa"/>
            <w:vMerge w:val="restart"/>
            <w:tcBorders>
              <w:top w:val="single" w:color="000000" w:sz="4" w:space="0"/>
              <w:left w:val="single" w:color="000000" w:sz="4" w:space="0"/>
              <w:right w:val="single" w:color="000000" w:sz="4" w:space="0"/>
            </w:tcBorders>
            <w:noWrap w:val="0"/>
            <w:tcMar>
              <w:top w:w="15" w:type="dxa"/>
              <w:left w:w="15" w:type="dxa"/>
              <w:right w:w="15" w:type="dxa"/>
            </w:tcMar>
            <w:vAlign w:val="center"/>
          </w:tcPr>
          <w:p w14:paraId="41D113C3">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清单复核记录</w:t>
            </w:r>
          </w:p>
        </w:tc>
        <w:tc>
          <w:tcPr>
            <w:tcW w:w="2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2E8EF14">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w:t>
            </w:r>
            <w:r>
              <w:rPr>
                <w:rFonts w:hint="eastAsia" w:ascii="宋体" w:hAnsi="宋体" w:eastAsia="宋体" w:cs="宋体"/>
                <w:color w:val="auto"/>
                <w:kern w:val="0"/>
                <w:sz w:val="24"/>
                <w:szCs w:val="24"/>
                <w:highlight w:val="none"/>
                <w:lang w:bidi="ar"/>
              </w:rPr>
              <w:t>是否完整反映招投标清单价格中错漏，并提出应对措施，是否按照《关于进一步规范政府投资项目跟踪审计实施方案及清单复核报告制度的通知》要求编写</w:t>
            </w:r>
          </w:p>
        </w:tc>
        <w:tc>
          <w:tcPr>
            <w:tcW w:w="7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7420271">
            <w:pPr>
              <w:widowControl/>
              <w:jc w:val="center"/>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val="en-US" w:eastAsia="zh-CN" w:bidi="ar"/>
              </w:rPr>
              <w:t>5</w:t>
            </w:r>
          </w:p>
        </w:tc>
        <w:tc>
          <w:tcPr>
            <w:tcW w:w="5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5ED7D87">
            <w:pPr>
              <w:jc w:val="center"/>
              <w:rPr>
                <w:rFonts w:hint="eastAsia" w:ascii="宋体" w:hAnsi="宋体" w:eastAsia="宋体" w:cs="宋体"/>
                <w:color w:val="auto"/>
                <w:sz w:val="24"/>
                <w:szCs w:val="24"/>
                <w:highlight w:val="none"/>
              </w:rPr>
            </w:pPr>
          </w:p>
        </w:tc>
        <w:tc>
          <w:tcPr>
            <w:tcW w:w="10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BC1EAF9">
            <w:pPr>
              <w:jc w:val="center"/>
              <w:rPr>
                <w:rFonts w:hint="eastAsia" w:ascii="宋体" w:hAnsi="宋体" w:eastAsia="宋体" w:cs="宋体"/>
                <w:color w:val="auto"/>
                <w:sz w:val="24"/>
                <w:szCs w:val="24"/>
                <w:highlight w:val="none"/>
              </w:rPr>
            </w:pPr>
          </w:p>
        </w:tc>
        <w:tc>
          <w:tcPr>
            <w:tcW w:w="35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8E42A59">
            <w:pPr>
              <w:widowControl/>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bidi="ar"/>
              </w:rPr>
              <w:t>要素：1.</w:t>
            </w:r>
            <w:r>
              <w:rPr>
                <w:rFonts w:hint="eastAsia" w:ascii="宋体" w:hAnsi="宋体" w:eastAsia="宋体" w:cs="宋体"/>
                <w:color w:val="auto"/>
                <w:kern w:val="0"/>
                <w:sz w:val="21"/>
                <w:szCs w:val="21"/>
                <w:highlight w:val="none"/>
                <w:lang w:eastAsia="zh-CN" w:bidi="ar"/>
              </w:rPr>
              <w:t>重新计算异常</w:t>
            </w:r>
            <w:r>
              <w:rPr>
                <w:rFonts w:hint="eastAsia" w:ascii="宋体" w:hAnsi="宋体" w:eastAsia="宋体" w:cs="宋体"/>
                <w:color w:val="auto"/>
                <w:kern w:val="0"/>
                <w:sz w:val="21"/>
                <w:szCs w:val="21"/>
                <w:highlight w:val="none"/>
                <w:lang w:bidi="ar"/>
              </w:rPr>
              <w:t>工程量2.</w:t>
            </w:r>
            <w:r>
              <w:rPr>
                <w:rFonts w:hint="eastAsia" w:ascii="宋体" w:hAnsi="宋体" w:eastAsia="宋体" w:cs="宋体"/>
                <w:color w:val="auto"/>
                <w:kern w:val="0"/>
                <w:sz w:val="21"/>
                <w:szCs w:val="21"/>
                <w:highlight w:val="none"/>
                <w:lang w:eastAsia="zh-CN" w:bidi="ar"/>
              </w:rPr>
              <w:t>清单描述问题</w:t>
            </w:r>
            <w:r>
              <w:rPr>
                <w:rFonts w:hint="eastAsia" w:ascii="宋体" w:hAnsi="宋体" w:eastAsia="宋体" w:cs="宋体"/>
                <w:color w:val="auto"/>
                <w:kern w:val="0"/>
                <w:sz w:val="21"/>
                <w:szCs w:val="21"/>
                <w:highlight w:val="none"/>
                <w:lang w:bidi="ar"/>
              </w:rPr>
              <w:t>3.清单错漏项4.异常投标单价5.应对措施</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不好0分、较好</w:t>
            </w: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bidi="ar"/>
              </w:rPr>
              <w:t>分、很好</w:t>
            </w:r>
            <w:r>
              <w:rPr>
                <w:rFonts w:hint="eastAsia" w:ascii="宋体" w:hAnsi="宋体" w:eastAsia="宋体" w:cs="宋体"/>
                <w:color w:val="auto"/>
                <w:kern w:val="0"/>
                <w:sz w:val="21"/>
                <w:szCs w:val="21"/>
                <w:highlight w:val="none"/>
                <w:lang w:val="en-US" w:eastAsia="zh-CN" w:bidi="ar"/>
              </w:rPr>
              <w:t>4</w:t>
            </w:r>
            <w:r>
              <w:rPr>
                <w:rFonts w:hint="eastAsia" w:ascii="宋体" w:hAnsi="宋体" w:eastAsia="宋体" w:cs="宋体"/>
                <w:color w:val="auto"/>
                <w:kern w:val="0"/>
                <w:sz w:val="21"/>
                <w:szCs w:val="21"/>
                <w:highlight w:val="none"/>
                <w:lang w:bidi="ar"/>
              </w:rPr>
              <w:t>分</w:t>
            </w:r>
            <w:r>
              <w:rPr>
                <w:rFonts w:hint="eastAsia" w:ascii="宋体" w:hAnsi="宋体" w:eastAsia="宋体" w:cs="宋体"/>
                <w:color w:val="auto"/>
                <w:kern w:val="0"/>
                <w:sz w:val="21"/>
                <w:szCs w:val="21"/>
                <w:highlight w:val="none"/>
                <w:lang w:eastAsia="zh-CN" w:bidi="ar"/>
              </w:rPr>
              <w:t>）。于开工一个月内</w:t>
            </w:r>
            <w:r>
              <w:rPr>
                <w:rFonts w:hint="eastAsia" w:ascii="宋体" w:hAnsi="宋体" w:eastAsia="宋体" w:cs="宋体"/>
                <w:color w:val="auto"/>
                <w:kern w:val="0"/>
                <w:sz w:val="21"/>
                <w:szCs w:val="21"/>
                <w:highlight w:val="none"/>
                <w:lang w:bidi="ar"/>
              </w:rPr>
              <w:t>报送</w:t>
            </w:r>
            <w:r>
              <w:rPr>
                <w:rFonts w:hint="eastAsia" w:ascii="宋体" w:hAnsi="宋体" w:eastAsia="宋体" w:cs="宋体"/>
                <w:color w:val="auto"/>
                <w:kern w:val="0"/>
                <w:sz w:val="21"/>
                <w:szCs w:val="21"/>
                <w:highlight w:val="none"/>
                <w:lang w:eastAsia="zh-CN" w:bidi="ar"/>
              </w:rPr>
              <w:t>综合计划科和业主代表</w:t>
            </w:r>
            <w:r>
              <w:rPr>
                <w:rFonts w:hint="eastAsia" w:ascii="宋体" w:hAnsi="宋体" w:eastAsia="宋体" w:cs="宋体"/>
                <w:color w:val="auto"/>
                <w:kern w:val="0"/>
                <w:sz w:val="21"/>
                <w:szCs w:val="21"/>
                <w:highlight w:val="none"/>
                <w:lang w:bidi="ar"/>
              </w:rPr>
              <w:t>备案（</w:t>
            </w:r>
            <w:r>
              <w:rPr>
                <w:rFonts w:hint="eastAsia" w:ascii="宋体" w:hAnsi="宋体" w:eastAsia="宋体" w:cs="宋体"/>
                <w:color w:val="auto"/>
                <w:kern w:val="0"/>
                <w:sz w:val="21"/>
                <w:szCs w:val="21"/>
                <w:highlight w:val="none"/>
                <w:lang w:val="en-US" w:eastAsia="zh-CN" w:bidi="ar"/>
              </w:rPr>
              <w:t>1分</w:t>
            </w:r>
            <w:r>
              <w:rPr>
                <w:rFonts w:hint="eastAsia" w:ascii="宋体" w:hAnsi="宋体" w:eastAsia="宋体" w:cs="宋体"/>
                <w:color w:val="auto"/>
                <w:kern w:val="0"/>
                <w:sz w:val="21"/>
                <w:szCs w:val="21"/>
                <w:highlight w:val="none"/>
                <w:lang w:bidi="ar"/>
              </w:rPr>
              <w:t>）</w:t>
            </w:r>
          </w:p>
        </w:tc>
      </w:tr>
      <w:tr w14:paraId="5E52421B">
        <w:tblPrEx>
          <w:tblCellMar>
            <w:top w:w="0" w:type="dxa"/>
            <w:left w:w="0" w:type="dxa"/>
            <w:bottom w:w="0" w:type="dxa"/>
            <w:right w:w="0" w:type="dxa"/>
          </w:tblCellMar>
        </w:tblPrEx>
        <w:trPr>
          <w:trHeight w:val="219" w:hRule="atLeast"/>
          <w:jc w:val="center"/>
        </w:trPr>
        <w:tc>
          <w:tcPr>
            <w:tcW w:w="556" w:type="dxa"/>
            <w:vMerge w:val="continue"/>
            <w:tcBorders>
              <w:left w:val="single" w:color="000000" w:sz="4" w:space="0"/>
              <w:bottom w:val="single" w:color="000000" w:sz="4" w:space="0"/>
              <w:right w:val="single" w:color="000000" w:sz="4" w:space="0"/>
            </w:tcBorders>
            <w:noWrap w:val="0"/>
            <w:tcMar>
              <w:top w:w="15" w:type="dxa"/>
              <w:left w:w="15" w:type="dxa"/>
              <w:right w:w="15" w:type="dxa"/>
            </w:tcMar>
            <w:vAlign w:val="center"/>
          </w:tcPr>
          <w:p w14:paraId="533AA33F">
            <w:pPr>
              <w:jc w:val="center"/>
              <w:rPr>
                <w:rFonts w:hint="eastAsia" w:ascii="宋体" w:hAnsi="宋体" w:eastAsia="宋体" w:cs="宋体"/>
                <w:color w:val="auto"/>
                <w:sz w:val="24"/>
                <w:szCs w:val="24"/>
                <w:highlight w:val="none"/>
              </w:rPr>
            </w:pPr>
          </w:p>
        </w:tc>
        <w:tc>
          <w:tcPr>
            <w:tcW w:w="892" w:type="dxa"/>
            <w:vMerge w:val="continue"/>
            <w:tcBorders>
              <w:left w:val="single" w:color="000000" w:sz="4" w:space="0"/>
              <w:bottom w:val="single" w:color="000000" w:sz="4" w:space="0"/>
              <w:right w:val="single" w:color="000000" w:sz="4" w:space="0"/>
            </w:tcBorders>
            <w:noWrap w:val="0"/>
            <w:tcMar>
              <w:top w:w="15" w:type="dxa"/>
              <w:left w:w="15" w:type="dxa"/>
              <w:right w:w="15" w:type="dxa"/>
            </w:tcMar>
            <w:vAlign w:val="center"/>
          </w:tcPr>
          <w:p w14:paraId="79E1144A">
            <w:pPr>
              <w:jc w:val="center"/>
              <w:rPr>
                <w:rFonts w:hint="eastAsia" w:ascii="宋体" w:hAnsi="宋体" w:eastAsia="宋体" w:cs="宋体"/>
                <w:color w:val="auto"/>
                <w:sz w:val="24"/>
                <w:szCs w:val="24"/>
                <w:highlight w:val="none"/>
              </w:rPr>
            </w:pPr>
          </w:p>
        </w:tc>
        <w:tc>
          <w:tcPr>
            <w:tcW w:w="2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D4A74F8">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2.施工过程及时更新清单复核情况</w:t>
            </w:r>
          </w:p>
        </w:tc>
        <w:tc>
          <w:tcPr>
            <w:tcW w:w="7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35AF90B">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5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CAFC34D">
            <w:pPr>
              <w:jc w:val="center"/>
              <w:rPr>
                <w:rFonts w:hint="eastAsia" w:ascii="宋体" w:hAnsi="宋体" w:eastAsia="宋体" w:cs="宋体"/>
                <w:color w:val="auto"/>
                <w:sz w:val="24"/>
                <w:szCs w:val="24"/>
                <w:highlight w:val="none"/>
              </w:rPr>
            </w:pPr>
          </w:p>
        </w:tc>
        <w:tc>
          <w:tcPr>
            <w:tcW w:w="10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3DAF913">
            <w:pPr>
              <w:jc w:val="center"/>
              <w:rPr>
                <w:rFonts w:hint="eastAsia" w:ascii="宋体" w:hAnsi="宋体" w:eastAsia="宋体" w:cs="宋体"/>
                <w:color w:val="auto"/>
                <w:sz w:val="24"/>
                <w:szCs w:val="24"/>
                <w:highlight w:val="none"/>
              </w:rPr>
            </w:pPr>
          </w:p>
        </w:tc>
        <w:tc>
          <w:tcPr>
            <w:tcW w:w="35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E9D3E1C">
            <w:pPr>
              <w:jc w:val="center"/>
              <w:rPr>
                <w:rFonts w:hint="eastAsia" w:ascii="宋体" w:hAnsi="宋体" w:eastAsia="宋体" w:cs="宋体"/>
                <w:color w:val="auto"/>
                <w:sz w:val="21"/>
                <w:szCs w:val="21"/>
                <w:highlight w:val="none"/>
              </w:rPr>
            </w:pPr>
          </w:p>
        </w:tc>
      </w:tr>
      <w:tr w14:paraId="6BB04D1A">
        <w:tblPrEx>
          <w:tblCellMar>
            <w:top w:w="0" w:type="dxa"/>
            <w:left w:w="0" w:type="dxa"/>
            <w:bottom w:w="0" w:type="dxa"/>
            <w:right w:w="0" w:type="dxa"/>
          </w:tblCellMar>
        </w:tblPrEx>
        <w:trPr>
          <w:trHeight w:val="179" w:hRule="atLeast"/>
          <w:jc w:val="center"/>
        </w:trPr>
        <w:tc>
          <w:tcPr>
            <w:tcW w:w="556"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788CC90">
            <w:pPr>
              <w:widowControl/>
              <w:jc w:val="center"/>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eastAsia="zh-CN" w:bidi="ar"/>
              </w:rPr>
              <w:t>四</w:t>
            </w:r>
          </w:p>
        </w:tc>
        <w:tc>
          <w:tcPr>
            <w:tcW w:w="892"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35B317D">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造价例会</w:t>
            </w:r>
          </w:p>
        </w:tc>
        <w:tc>
          <w:tcPr>
            <w:tcW w:w="2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A6B9C51">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w:t>
            </w:r>
            <w:r>
              <w:rPr>
                <w:rFonts w:hint="eastAsia" w:ascii="宋体" w:hAnsi="宋体" w:eastAsia="宋体" w:cs="宋体"/>
                <w:color w:val="auto"/>
                <w:kern w:val="0"/>
                <w:sz w:val="24"/>
                <w:szCs w:val="24"/>
                <w:highlight w:val="none"/>
                <w:lang w:bidi="ar"/>
              </w:rPr>
              <w:t>明确项目参建各方签字权责任人</w:t>
            </w:r>
          </w:p>
        </w:tc>
        <w:tc>
          <w:tcPr>
            <w:tcW w:w="7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B1B5D3A">
            <w:pPr>
              <w:widowControl/>
              <w:jc w:val="center"/>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val="en-US" w:eastAsia="zh-CN" w:bidi="ar"/>
              </w:rPr>
              <w:t>2</w:t>
            </w:r>
          </w:p>
        </w:tc>
        <w:tc>
          <w:tcPr>
            <w:tcW w:w="5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27383DB">
            <w:pPr>
              <w:jc w:val="left"/>
              <w:rPr>
                <w:rFonts w:hint="eastAsia" w:ascii="宋体" w:hAnsi="宋体" w:eastAsia="宋体" w:cs="宋体"/>
                <w:color w:val="auto"/>
                <w:sz w:val="24"/>
                <w:szCs w:val="24"/>
                <w:highlight w:val="none"/>
              </w:rPr>
            </w:pPr>
          </w:p>
        </w:tc>
        <w:tc>
          <w:tcPr>
            <w:tcW w:w="10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F8303DD">
            <w:pPr>
              <w:jc w:val="left"/>
              <w:rPr>
                <w:rFonts w:hint="eastAsia" w:ascii="宋体" w:hAnsi="宋体" w:eastAsia="宋体" w:cs="宋体"/>
                <w:color w:val="auto"/>
                <w:sz w:val="24"/>
                <w:szCs w:val="24"/>
                <w:highlight w:val="none"/>
              </w:rPr>
            </w:pPr>
          </w:p>
        </w:tc>
        <w:tc>
          <w:tcPr>
            <w:tcW w:w="35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878EFB0">
            <w:pPr>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需有参建各方公章、项目负责人签字及执业章</w:t>
            </w:r>
          </w:p>
        </w:tc>
      </w:tr>
      <w:tr w14:paraId="3B522793">
        <w:tblPrEx>
          <w:tblCellMar>
            <w:top w:w="0" w:type="dxa"/>
            <w:left w:w="0" w:type="dxa"/>
            <w:bottom w:w="0" w:type="dxa"/>
            <w:right w:w="0" w:type="dxa"/>
          </w:tblCellMar>
        </w:tblPrEx>
        <w:trPr>
          <w:trHeight w:val="149" w:hRule="atLeast"/>
          <w:jc w:val="center"/>
        </w:trPr>
        <w:tc>
          <w:tcPr>
            <w:tcW w:w="55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DBAB0BA">
            <w:pPr>
              <w:jc w:val="center"/>
              <w:rPr>
                <w:rFonts w:hint="eastAsia" w:ascii="宋体" w:hAnsi="宋体" w:eastAsia="宋体" w:cs="宋体"/>
                <w:color w:val="auto"/>
                <w:sz w:val="24"/>
                <w:szCs w:val="24"/>
                <w:highlight w:val="none"/>
              </w:rPr>
            </w:pPr>
          </w:p>
        </w:tc>
        <w:tc>
          <w:tcPr>
            <w:tcW w:w="89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6C63E20">
            <w:pPr>
              <w:jc w:val="center"/>
              <w:rPr>
                <w:rFonts w:hint="eastAsia" w:ascii="宋体" w:hAnsi="宋体" w:eastAsia="宋体" w:cs="宋体"/>
                <w:color w:val="auto"/>
                <w:sz w:val="24"/>
                <w:szCs w:val="24"/>
                <w:highlight w:val="none"/>
              </w:rPr>
            </w:pPr>
          </w:p>
        </w:tc>
        <w:tc>
          <w:tcPr>
            <w:tcW w:w="2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2D7573C">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2.</w:t>
            </w:r>
            <w:r>
              <w:rPr>
                <w:rFonts w:hint="eastAsia" w:ascii="宋体" w:hAnsi="宋体" w:eastAsia="宋体" w:cs="宋体"/>
                <w:color w:val="auto"/>
                <w:kern w:val="0"/>
                <w:sz w:val="24"/>
                <w:szCs w:val="24"/>
                <w:highlight w:val="none"/>
                <w:lang w:bidi="ar"/>
              </w:rPr>
              <w:t>有无与会各方代表签字的会议纪要</w:t>
            </w:r>
          </w:p>
        </w:tc>
        <w:tc>
          <w:tcPr>
            <w:tcW w:w="7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E8AC7F6">
            <w:pPr>
              <w:widowControl/>
              <w:jc w:val="center"/>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val="en-US" w:eastAsia="zh-CN" w:bidi="ar"/>
              </w:rPr>
              <w:t>2</w:t>
            </w:r>
          </w:p>
        </w:tc>
        <w:tc>
          <w:tcPr>
            <w:tcW w:w="5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58100FB">
            <w:pPr>
              <w:jc w:val="left"/>
              <w:rPr>
                <w:rFonts w:hint="eastAsia" w:ascii="宋体" w:hAnsi="宋体" w:eastAsia="宋体" w:cs="宋体"/>
                <w:color w:val="auto"/>
                <w:sz w:val="24"/>
                <w:szCs w:val="24"/>
                <w:highlight w:val="none"/>
              </w:rPr>
            </w:pPr>
          </w:p>
        </w:tc>
        <w:tc>
          <w:tcPr>
            <w:tcW w:w="10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25B2D01">
            <w:pPr>
              <w:jc w:val="left"/>
              <w:rPr>
                <w:rFonts w:hint="eastAsia" w:ascii="宋体" w:hAnsi="宋体" w:eastAsia="宋体" w:cs="宋体"/>
                <w:color w:val="auto"/>
                <w:sz w:val="24"/>
                <w:szCs w:val="24"/>
                <w:highlight w:val="none"/>
              </w:rPr>
            </w:pPr>
          </w:p>
        </w:tc>
        <w:tc>
          <w:tcPr>
            <w:tcW w:w="35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8FF3340">
            <w:pPr>
              <w:jc w:val="left"/>
              <w:rPr>
                <w:rFonts w:hint="eastAsia" w:ascii="宋体" w:hAnsi="宋体" w:eastAsia="宋体" w:cs="宋体"/>
                <w:color w:val="auto"/>
                <w:sz w:val="21"/>
                <w:szCs w:val="21"/>
                <w:highlight w:val="none"/>
              </w:rPr>
            </w:pPr>
          </w:p>
        </w:tc>
      </w:tr>
      <w:tr w14:paraId="0C04F80F">
        <w:tblPrEx>
          <w:tblCellMar>
            <w:top w:w="0" w:type="dxa"/>
            <w:left w:w="0" w:type="dxa"/>
            <w:bottom w:w="0" w:type="dxa"/>
            <w:right w:w="0" w:type="dxa"/>
          </w:tblCellMar>
        </w:tblPrEx>
        <w:trPr>
          <w:trHeight w:val="90" w:hRule="atLeast"/>
          <w:jc w:val="center"/>
        </w:trPr>
        <w:tc>
          <w:tcPr>
            <w:tcW w:w="55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0B6D949">
            <w:pPr>
              <w:jc w:val="center"/>
              <w:rPr>
                <w:rFonts w:hint="eastAsia" w:ascii="宋体" w:hAnsi="宋体" w:eastAsia="宋体" w:cs="宋体"/>
                <w:color w:val="auto"/>
                <w:sz w:val="24"/>
                <w:szCs w:val="24"/>
                <w:highlight w:val="none"/>
              </w:rPr>
            </w:pPr>
          </w:p>
        </w:tc>
        <w:tc>
          <w:tcPr>
            <w:tcW w:w="89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B7BD0F">
            <w:pPr>
              <w:jc w:val="center"/>
              <w:rPr>
                <w:rFonts w:hint="eastAsia" w:ascii="宋体" w:hAnsi="宋体" w:eastAsia="宋体" w:cs="宋体"/>
                <w:color w:val="auto"/>
                <w:sz w:val="24"/>
                <w:szCs w:val="24"/>
                <w:highlight w:val="none"/>
              </w:rPr>
            </w:pPr>
          </w:p>
        </w:tc>
        <w:tc>
          <w:tcPr>
            <w:tcW w:w="2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BDF48C1">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3.</w:t>
            </w:r>
            <w:r>
              <w:rPr>
                <w:rFonts w:hint="eastAsia" w:ascii="宋体" w:hAnsi="宋体" w:eastAsia="宋体" w:cs="宋体"/>
                <w:color w:val="auto"/>
                <w:kern w:val="0"/>
                <w:sz w:val="24"/>
                <w:szCs w:val="24"/>
                <w:highlight w:val="none"/>
                <w:lang w:bidi="ar"/>
              </w:rPr>
              <w:t>是否报送备案</w:t>
            </w:r>
          </w:p>
        </w:tc>
        <w:tc>
          <w:tcPr>
            <w:tcW w:w="7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D27F8CB">
            <w:pPr>
              <w:widowControl/>
              <w:jc w:val="center"/>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val="en-US" w:eastAsia="zh-CN" w:bidi="ar"/>
              </w:rPr>
              <w:t>1</w:t>
            </w:r>
          </w:p>
        </w:tc>
        <w:tc>
          <w:tcPr>
            <w:tcW w:w="5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D6F28A2">
            <w:pPr>
              <w:jc w:val="left"/>
              <w:rPr>
                <w:rFonts w:hint="eastAsia" w:ascii="宋体" w:hAnsi="宋体" w:eastAsia="宋体" w:cs="宋体"/>
                <w:color w:val="auto"/>
                <w:sz w:val="24"/>
                <w:szCs w:val="24"/>
                <w:highlight w:val="none"/>
              </w:rPr>
            </w:pPr>
          </w:p>
        </w:tc>
        <w:tc>
          <w:tcPr>
            <w:tcW w:w="10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810B85C">
            <w:pPr>
              <w:jc w:val="left"/>
              <w:rPr>
                <w:rFonts w:hint="eastAsia" w:ascii="宋体" w:hAnsi="宋体" w:eastAsia="宋体" w:cs="宋体"/>
                <w:color w:val="auto"/>
                <w:sz w:val="24"/>
                <w:szCs w:val="24"/>
                <w:highlight w:val="none"/>
              </w:rPr>
            </w:pPr>
          </w:p>
        </w:tc>
        <w:tc>
          <w:tcPr>
            <w:tcW w:w="35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60C694D">
            <w:pPr>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eastAsia="zh-CN" w:bidi="ar"/>
              </w:rPr>
              <w:t>于</w:t>
            </w:r>
            <w:r>
              <w:rPr>
                <w:rFonts w:hint="eastAsia" w:ascii="宋体" w:hAnsi="宋体" w:eastAsia="宋体" w:cs="宋体"/>
                <w:color w:val="auto"/>
                <w:kern w:val="0"/>
                <w:sz w:val="21"/>
                <w:szCs w:val="21"/>
                <w:highlight w:val="none"/>
                <w:lang w:bidi="ar"/>
              </w:rPr>
              <w:t>会议后3日内报送</w:t>
            </w:r>
            <w:r>
              <w:rPr>
                <w:rFonts w:hint="eastAsia" w:ascii="宋体" w:hAnsi="宋体" w:eastAsia="宋体" w:cs="宋体"/>
                <w:color w:val="auto"/>
                <w:kern w:val="0"/>
                <w:sz w:val="21"/>
                <w:szCs w:val="21"/>
                <w:highlight w:val="none"/>
                <w:lang w:eastAsia="zh-CN" w:bidi="ar"/>
              </w:rPr>
              <w:t>综合计划科和业主代表</w:t>
            </w:r>
            <w:r>
              <w:rPr>
                <w:rFonts w:hint="eastAsia" w:ascii="宋体" w:hAnsi="宋体" w:eastAsia="宋体" w:cs="宋体"/>
                <w:color w:val="auto"/>
                <w:kern w:val="0"/>
                <w:sz w:val="21"/>
                <w:szCs w:val="21"/>
                <w:highlight w:val="none"/>
                <w:lang w:bidi="ar"/>
              </w:rPr>
              <w:t>备案</w:t>
            </w:r>
          </w:p>
        </w:tc>
      </w:tr>
      <w:tr w14:paraId="248695C6">
        <w:tblPrEx>
          <w:tblCellMar>
            <w:top w:w="0" w:type="dxa"/>
            <w:left w:w="0" w:type="dxa"/>
            <w:bottom w:w="0" w:type="dxa"/>
            <w:right w:w="0" w:type="dxa"/>
          </w:tblCellMar>
        </w:tblPrEx>
        <w:trPr>
          <w:trHeight w:val="755" w:hRule="atLeast"/>
          <w:jc w:val="center"/>
        </w:trPr>
        <w:tc>
          <w:tcPr>
            <w:tcW w:w="5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C3E05B0">
            <w:pPr>
              <w:widowControl/>
              <w:jc w:val="center"/>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eastAsia="zh-CN" w:bidi="ar"/>
              </w:rPr>
              <w:t>五</w:t>
            </w:r>
          </w:p>
        </w:tc>
        <w:tc>
          <w:tcPr>
            <w:tcW w:w="89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CD29637">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审计日志</w:t>
            </w:r>
          </w:p>
        </w:tc>
        <w:tc>
          <w:tcPr>
            <w:tcW w:w="2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45DF733">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是否真实全面反映日常跟踪审计工作情况</w:t>
            </w:r>
          </w:p>
        </w:tc>
        <w:tc>
          <w:tcPr>
            <w:tcW w:w="7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5F97F2F">
            <w:pPr>
              <w:widowControl/>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7</w:t>
            </w:r>
          </w:p>
        </w:tc>
        <w:tc>
          <w:tcPr>
            <w:tcW w:w="5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3B5A83D">
            <w:pPr>
              <w:jc w:val="left"/>
              <w:rPr>
                <w:rFonts w:hint="eastAsia" w:ascii="宋体" w:hAnsi="宋体" w:eastAsia="宋体" w:cs="宋体"/>
                <w:color w:val="auto"/>
                <w:sz w:val="24"/>
                <w:szCs w:val="24"/>
                <w:highlight w:val="none"/>
              </w:rPr>
            </w:pPr>
          </w:p>
        </w:tc>
        <w:tc>
          <w:tcPr>
            <w:tcW w:w="10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B4DAAAD">
            <w:pPr>
              <w:jc w:val="left"/>
              <w:rPr>
                <w:rFonts w:hint="eastAsia" w:ascii="宋体" w:hAnsi="宋体" w:eastAsia="宋体" w:cs="宋体"/>
                <w:color w:val="auto"/>
                <w:sz w:val="24"/>
                <w:szCs w:val="24"/>
                <w:highlight w:val="none"/>
              </w:rPr>
            </w:pPr>
          </w:p>
        </w:tc>
        <w:tc>
          <w:tcPr>
            <w:tcW w:w="35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95F3A45">
            <w:pPr>
              <w:widowControl/>
              <w:numPr>
                <w:ilvl w:val="0"/>
                <w:numId w:val="0"/>
              </w:numPr>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eastAsia="zh-CN" w:bidi="ar"/>
              </w:rPr>
              <w:t>要素：1.当日工程进展情况2.当日</w:t>
            </w:r>
            <w:r>
              <w:rPr>
                <w:rFonts w:hint="eastAsia" w:ascii="宋体" w:hAnsi="宋体" w:eastAsia="宋体" w:cs="宋体"/>
                <w:color w:val="auto"/>
                <w:kern w:val="0"/>
                <w:sz w:val="21"/>
                <w:szCs w:val="21"/>
                <w:highlight w:val="none"/>
                <w:lang w:val="en-US" w:eastAsia="zh-CN" w:bidi="ar"/>
              </w:rPr>
              <w:t>计量</w:t>
            </w:r>
            <w:r>
              <w:rPr>
                <w:rFonts w:hint="eastAsia" w:ascii="宋体" w:hAnsi="宋体" w:eastAsia="宋体" w:cs="宋体"/>
                <w:color w:val="auto"/>
                <w:kern w:val="0"/>
                <w:sz w:val="21"/>
                <w:szCs w:val="21"/>
                <w:highlight w:val="none"/>
                <w:lang w:eastAsia="zh-CN" w:bidi="ar"/>
              </w:rPr>
              <w:t>计价事项</w:t>
            </w:r>
            <w:r>
              <w:rPr>
                <w:rFonts w:hint="eastAsia" w:ascii="宋体" w:hAnsi="宋体" w:eastAsia="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eastAsia="zh-CN" w:bidi="ar"/>
              </w:rPr>
              <w:t>.当日参加会议的记录</w:t>
            </w:r>
            <w:r>
              <w:rPr>
                <w:rFonts w:hint="eastAsia" w:ascii="宋体" w:hAnsi="宋体" w:eastAsia="宋体" w:cs="宋体"/>
                <w:color w:val="auto"/>
                <w:kern w:val="0"/>
                <w:sz w:val="21"/>
                <w:szCs w:val="21"/>
                <w:highlight w:val="none"/>
                <w:lang w:val="en-US" w:eastAsia="zh-CN" w:bidi="ar"/>
              </w:rPr>
              <w:t>4.</w:t>
            </w:r>
            <w:r>
              <w:rPr>
                <w:rFonts w:hint="eastAsia" w:ascii="宋体" w:hAnsi="宋体" w:eastAsia="宋体" w:cs="宋体"/>
                <w:color w:val="auto"/>
                <w:kern w:val="0"/>
                <w:sz w:val="21"/>
                <w:szCs w:val="21"/>
                <w:highlight w:val="none"/>
                <w:lang w:eastAsia="zh-CN" w:bidi="ar"/>
              </w:rPr>
              <w:t>进度款审核情况</w:t>
            </w:r>
            <w:r>
              <w:rPr>
                <w:rFonts w:hint="eastAsia" w:ascii="宋体" w:hAnsi="宋体" w:eastAsia="宋体" w:cs="宋体"/>
                <w:color w:val="auto"/>
                <w:kern w:val="0"/>
                <w:sz w:val="21"/>
                <w:szCs w:val="21"/>
                <w:highlight w:val="none"/>
                <w:lang w:val="en-US" w:eastAsia="zh-CN" w:bidi="ar"/>
              </w:rPr>
              <w:t>5</w:t>
            </w:r>
            <w:r>
              <w:rPr>
                <w:rFonts w:hint="eastAsia" w:ascii="宋体" w:hAnsi="宋体" w:eastAsia="宋体" w:cs="宋体"/>
                <w:color w:val="auto"/>
                <w:kern w:val="0"/>
                <w:sz w:val="21"/>
                <w:szCs w:val="21"/>
                <w:highlight w:val="none"/>
                <w:lang w:eastAsia="zh-CN" w:bidi="ar"/>
              </w:rPr>
              <w:t>.工程变更事项</w:t>
            </w:r>
            <w:r>
              <w:rPr>
                <w:rFonts w:hint="eastAsia" w:ascii="宋体" w:hAnsi="宋体" w:eastAsia="宋体" w:cs="宋体"/>
                <w:color w:val="auto"/>
                <w:kern w:val="0"/>
                <w:sz w:val="21"/>
                <w:szCs w:val="21"/>
                <w:highlight w:val="none"/>
                <w:lang w:val="en-US" w:eastAsia="zh-CN" w:bidi="ar"/>
              </w:rPr>
              <w:t>6.当日影像资料。不真实或间隔超过一周的，本项得0分</w:t>
            </w:r>
          </w:p>
        </w:tc>
      </w:tr>
      <w:tr w14:paraId="03FA94C5">
        <w:tblPrEx>
          <w:tblCellMar>
            <w:top w:w="0" w:type="dxa"/>
            <w:left w:w="0" w:type="dxa"/>
            <w:bottom w:w="0" w:type="dxa"/>
            <w:right w:w="0" w:type="dxa"/>
          </w:tblCellMar>
        </w:tblPrEx>
        <w:trPr>
          <w:trHeight w:val="959" w:hRule="atLeast"/>
          <w:jc w:val="center"/>
        </w:trPr>
        <w:tc>
          <w:tcPr>
            <w:tcW w:w="5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73292EA">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六</w:t>
            </w:r>
          </w:p>
        </w:tc>
        <w:tc>
          <w:tcPr>
            <w:tcW w:w="89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3A9FE8C">
            <w:pPr>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审计月报</w:t>
            </w:r>
          </w:p>
        </w:tc>
        <w:tc>
          <w:tcPr>
            <w:tcW w:w="2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5B43ED5">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w:t>
            </w:r>
            <w:r>
              <w:rPr>
                <w:rFonts w:hint="eastAsia" w:ascii="宋体" w:hAnsi="宋体" w:eastAsia="宋体" w:cs="宋体"/>
                <w:color w:val="auto"/>
                <w:kern w:val="0"/>
                <w:sz w:val="24"/>
                <w:szCs w:val="24"/>
                <w:highlight w:val="none"/>
                <w:lang w:bidi="ar"/>
              </w:rPr>
              <w:t>按月编报并报送</w:t>
            </w:r>
            <w:r>
              <w:rPr>
                <w:rFonts w:hint="eastAsia" w:ascii="宋体" w:hAnsi="宋体" w:eastAsia="宋体" w:cs="宋体"/>
                <w:color w:val="auto"/>
                <w:kern w:val="0"/>
                <w:sz w:val="24"/>
                <w:szCs w:val="24"/>
                <w:highlight w:val="none"/>
                <w:lang w:eastAsia="zh-CN" w:bidi="ar"/>
              </w:rPr>
              <w:t>综合计划科和业主代表</w:t>
            </w:r>
            <w:r>
              <w:rPr>
                <w:rFonts w:hint="eastAsia" w:ascii="宋体" w:hAnsi="宋体" w:eastAsia="宋体" w:cs="宋体"/>
                <w:color w:val="auto"/>
                <w:kern w:val="0"/>
                <w:sz w:val="24"/>
                <w:szCs w:val="24"/>
                <w:highlight w:val="none"/>
                <w:lang w:bidi="ar"/>
              </w:rPr>
              <w:t>备案（每月5日前报送）</w:t>
            </w:r>
            <w:r>
              <w:rPr>
                <w:rFonts w:hint="eastAsia" w:ascii="宋体" w:hAnsi="宋体" w:eastAsia="宋体" w:cs="宋体"/>
                <w:color w:val="auto"/>
                <w:kern w:val="0"/>
                <w:sz w:val="24"/>
                <w:szCs w:val="24"/>
                <w:highlight w:val="none"/>
                <w:lang w:val="en-US" w:eastAsia="zh-CN" w:bidi="ar"/>
              </w:rPr>
              <w:t>2.</w:t>
            </w:r>
            <w:r>
              <w:rPr>
                <w:rFonts w:hint="eastAsia" w:ascii="宋体" w:hAnsi="宋体" w:eastAsia="宋体" w:cs="宋体"/>
                <w:color w:val="auto"/>
                <w:kern w:val="0"/>
                <w:sz w:val="24"/>
                <w:szCs w:val="24"/>
                <w:highlight w:val="none"/>
                <w:lang w:bidi="ar"/>
              </w:rPr>
              <w:t>是否真实全面反映月度主要跟踪审计工作情况</w:t>
            </w:r>
          </w:p>
        </w:tc>
        <w:tc>
          <w:tcPr>
            <w:tcW w:w="7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A0FA9AC">
            <w:pPr>
              <w:widowControl/>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8</w:t>
            </w:r>
          </w:p>
        </w:tc>
        <w:tc>
          <w:tcPr>
            <w:tcW w:w="5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EF4ABD5">
            <w:pPr>
              <w:jc w:val="left"/>
              <w:rPr>
                <w:rFonts w:hint="eastAsia" w:ascii="宋体" w:hAnsi="宋体" w:eastAsia="宋体" w:cs="宋体"/>
                <w:color w:val="auto"/>
                <w:sz w:val="24"/>
                <w:szCs w:val="24"/>
                <w:highlight w:val="none"/>
              </w:rPr>
            </w:pPr>
          </w:p>
        </w:tc>
        <w:tc>
          <w:tcPr>
            <w:tcW w:w="10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537F577">
            <w:pPr>
              <w:jc w:val="left"/>
              <w:rPr>
                <w:rFonts w:hint="eastAsia" w:ascii="宋体" w:hAnsi="宋体" w:eastAsia="宋体" w:cs="宋体"/>
                <w:color w:val="auto"/>
                <w:sz w:val="24"/>
                <w:szCs w:val="24"/>
                <w:highlight w:val="none"/>
              </w:rPr>
            </w:pPr>
          </w:p>
        </w:tc>
        <w:tc>
          <w:tcPr>
            <w:tcW w:w="35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5792B27">
            <w:pPr>
              <w:widowControl/>
              <w:numPr>
                <w:ilvl w:val="0"/>
                <w:numId w:val="0"/>
              </w:numPr>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1.漏报、迟报一次扣1分，2分扣完为止；</w:t>
            </w:r>
          </w:p>
          <w:p w14:paraId="3865E605">
            <w:pPr>
              <w:widowControl/>
              <w:numPr>
                <w:ilvl w:val="0"/>
                <w:numId w:val="0"/>
              </w:numPr>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eastAsia="zh-CN" w:bidi="ar"/>
              </w:rPr>
              <w:t>要素：1.主要工程进展情况2.主要</w:t>
            </w:r>
            <w:r>
              <w:rPr>
                <w:rFonts w:hint="eastAsia" w:ascii="宋体" w:hAnsi="宋体" w:eastAsia="宋体" w:cs="宋体"/>
                <w:color w:val="auto"/>
                <w:kern w:val="0"/>
                <w:sz w:val="21"/>
                <w:szCs w:val="21"/>
                <w:highlight w:val="none"/>
                <w:lang w:val="en-US" w:eastAsia="zh-CN" w:bidi="ar"/>
              </w:rPr>
              <w:t>计量</w:t>
            </w:r>
            <w:r>
              <w:rPr>
                <w:rFonts w:hint="eastAsia" w:ascii="宋体" w:hAnsi="宋体" w:eastAsia="宋体" w:cs="宋体"/>
                <w:color w:val="auto"/>
                <w:kern w:val="0"/>
                <w:sz w:val="21"/>
                <w:szCs w:val="21"/>
                <w:highlight w:val="none"/>
                <w:lang w:eastAsia="zh-CN" w:bidi="ar"/>
              </w:rPr>
              <w:t>计价事项</w:t>
            </w:r>
            <w:r>
              <w:rPr>
                <w:rFonts w:hint="eastAsia" w:ascii="宋体" w:hAnsi="宋体" w:eastAsia="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eastAsia="zh-CN" w:bidi="ar"/>
              </w:rPr>
              <w:t>.参加会议的记录</w:t>
            </w:r>
            <w:r>
              <w:rPr>
                <w:rFonts w:hint="eastAsia" w:ascii="宋体" w:hAnsi="宋体" w:eastAsia="宋体" w:cs="宋体"/>
                <w:color w:val="auto"/>
                <w:kern w:val="0"/>
                <w:sz w:val="21"/>
                <w:szCs w:val="21"/>
                <w:highlight w:val="none"/>
                <w:lang w:val="en-US" w:eastAsia="zh-CN" w:bidi="ar"/>
              </w:rPr>
              <w:t>4.当月</w:t>
            </w:r>
            <w:r>
              <w:rPr>
                <w:rFonts w:hint="eastAsia" w:ascii="宋体" w:hAnsi="宋体" w:eastAsia="宋体" w:cs="宋体"/>
                <w:color w:val="auto"/>
                <w:kern w:val="0"/>
                <w:sz w:val="21"/>
                <w:szCs w:val="21"/>
                <w:highlight w:val="none"/>
                <w:lang w:eastAsia="zh-CN" w:bidi="ar"/>
              </w:rPr>
              <w:t>进度款审核情况</w:t>
            </w:r>
            <w:r>
              <w:rPr>
                <w:rFonts w:hint="eastAsia" w:ascii="宋体" w:hAnsi="宋体" w:eastAsia="宋体" w:cs="宋体"/>
                <w:color w:val="auto"/>
                <w:kern w:val="0"/>
                <w:sz w:val="21"/>
                <w:szCs w:val="21"/>
                <w:highlight w:val="none"/>
                <w:lang w:val="en-US" w:eastAsia="zh-CN" w:bidi="ar"/>
              </w:rPr>
              <w:t>5</w:t>
            </w:r>
            <w:r>
              <w:rPr>
                <w:rFonts w:hint="eastAsia" w:ascii="宋体" w:hAnsi="宋体" w:eastAsia="宋体" w:cs="宋体"/>
                <w:color w:val="auto"/>
                <w:kern w:val="0"/>
                <w:sz w:val="21"/>
                <w:szCs w:val="21"/>
                <w:highlight w:val="none"/>
                <w:lang w:eastAsia="zh-CN" w:bidi="ar"/>
              </w:rPr>
              <w:t>.当月工程变更事项</w:t>
            </w:r>
            <w:r>
              <w:rPr>
                <w:rFonts w:hint="eastAsia" w:ascii="宋体" w:hAnsi="宋体" w:eastAsia="宋体" w:cs="宋体"/>
                <w:color w:val="auto"/>
                <w:kern w:val="0"/>
                <w:sz w:val="21"/>
                <w:szCs w:val="21"/>
                <w:highlight w:val="none"/>
                <w:lang w:val="en-US" w:eastAsia="zh-CN" w:bidi="ar"/>
              </w:rPr>
              <w:t>6.</w:t>
            </w:r>
            <w:r>
              <w:rPr>
                <w:rFonts w:hint="eastAsia" w:ascii="宋体" w:hAnsi="宋体" w:eastAsia="宋体" w:cs="宋体"/>
                <w:color w:val="auto"/>
                <w:kern w:val="0"/>
                <w:sz w:val="21"/>
                <w:szCs w:val="21"/>
                <w:highlight w:val="none"/>
                <w:lang w:eastAsia="zh-CN" w:bidi="ar"/>
              </w:rPr>
              <w:t>主要</w:t>
            </w:r>
            <w:r>
              <w:rPr>
                <w:rFonts w:hint="eastAsia" w:ascii="宋体" w:hAnsi="宋体" w:eastAsia="宋体" w:cs="宋体"/>
                <w:color w:val="auto"/>
                <w:kern w:val="0"/>
                <w:sz w:val="21"/>
                <w:szCs w:val="21"/>
                <w:highlight w:val="none"/>
                <w:lang w:val="en-US" w:eastAsia="zh-CN" w:bidi="ar"/>
              </w:rPr>
              <w:t>影像资料。不真实的，本项得0分</w:t>
            </w:r>
          </w:p>
        </w:tc>
      </w:tr>
      <w:tr w14:paraId="58AA7222">
        <w:tblPrEx>
          <w:tblCellMar>
            <w:top w:w="0" w:type="dxa"/>
            <w:left w:w="0" w:type="dxa"/>
            <w:bottom w:w="0" w:type="dxa"/>
            <w:right w:w="0" w:type="dxa"/>
          </w:tblCellMar>
        </w:tblPrEx>
        <w:trPr>
          <w:trHeight w:val="114" w:hRule="atLeast"/>
          <w:jc w:val="center"/>
        </w:trPr>
        <w:tc>
          <w:tcPr>
            <w:tcW w:w="556"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88751B1">
            <w:pPr>
              <w:widowControl/>
              <w:jc w:val="center"/>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val="en-US" w:eastAsia="zh-CN" w:bidi="ar"/>
              </w:rPr>
              <w:t>七</w:t>
            </w:r>
          </w:p>
        </w:tc>
        <w:tc>
          <w:tcPr>
            <w:tcW w:w="892"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4139EF0">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工程进度款审核支付</w:t>
            </w:r>
          </w:p>
        </w:tc>
        <w:tc>
          <w:tcPr>
            <w:tcW w:w="2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D4D4693">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w:t>
            </w:r>
            <w:r>
              <w:rPr>
                <w:rFonts w:hint="eastAsia" w:ascii="宋体" w:hAnsi="宋体" w:eastAsia="宋体" w:cs="宋体"/>
                <w:color w:val="auto"/>
                <w:kern w:val="0"/>
                <w:sz w:val="24"/>
                <w:szCs w:val="24"/>
                <w:highlight w:val="none"/>
                <w:lang w:bidi="ar"/>
              </w:rPr>
              <w:t>是否根据合同约定审核工程进度款支付申请资料</w:t>
            </w:r>
          </w:p>
        </w:tc>
        <w:tc>
          <w:tcPr>
            <w:tcW w:w="7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0D06747">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5</w:t>
            </w:r>
          </w:p>
        </w:tc>
        <w:tc>
          <w:tcPr>
            <w:tcW w:w="5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B4B9615">
            <w:pPr>
              <w:jc w:val="left"/>
              <w:rPr>
                <w:rFonts w:hint="eastAsia" w:ascii="宋体" w:hAnsi="宋体" w:eastAsia="宋体" w:cs="宋体"/>
                <w:color w:val="auto"/>
                <w:sz w:val="24"/>
                <w:szCs w:val="24"/>
                <w:highlight w:val="none"/>
              </w:rPr>
            </w:pPr>
          </w:p>
        </w:tc>
        <w:tc>
          <w:tcPr>
            <w:tcW w:w="10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76A215C">
            <w:pPr>
              <w:jc w:val="left"/>
              <w:rPr>
                <w:rFonts w:hint="eastAsia" w:ascii="宋体" w:hAnsi="宋体" w:eastAsia="宋体" w:cs="宋体"/>
                <w:color w:val="auto"/>
                <w:sz w:val="24"/>
                <w:szCs w:val="24"/>
                <w:highlight w:val="none"/>
              </w:rPr>
            </w:pPr>
          </w:p>
        </w:tc>
        <w:tc>
          <w:tcPr>
            <w:tcW w:w="3520" w:type="dxa"/>
            <w:vMerge w:val="restart"/>
            <w:tcBorders>
              <w:top w:val="single" w:color="000000" w:sz="4" w:space="0"/>
              <w:left w:val="single" w:color="000000" w:sz="4" w:space="0"/>
              <w:right w:val="single" w:color="000000" w:sz="4" w:space="0"/>
            </w:tcBorders>
            <w:noWrap w:val="0"/>
            <w:tcMar>
              <w:top w:w="15" w:type="dxa"/>
              <w:left w:w="15" w:type="dxa"/>
              <w:right w:w="15" w:type="dxa"/>
            </w:tcMar>
            <w:vAlign w:val="center"/>
          </w:tcPr>
          <w:p w14:paraId="1B72E9BB">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一处不真实的，本项得</w:t>
            </w:r>
            <w:r>
              <w:rPr>
                <w:rFonts w:hint="eastAsia" w:ascii="宋体" w:hAnsi="宋体" w:eastAsia="宋体" w:cs="宋体"/>
                <w:color w:val="auto"/>
                <w:sz w:val="21"/>
                <w:szCs w:val="21"/>
                <w:highlight w:val="none"/>
                <w:lang w:val="en-US" w:eastAsia="zh-CN"/>
              </w:rPr>
              <w:t>0分</w:t>
            </w:r>
          </w:p>
        </w:tc>
      </w:tr>
      <w:tr w14:paraId="376979A3">
        <w:tblPrEx>
          <w:tblCellMar>
            <w:top w:w="0" w:type="dxa"/>
            <w:left w:w="0" w:type="dxa"/>
            <w:bottom w:w="0" w:type="dxa"/>
            <w:right w:w="0" w:type="dxa"/>
          </w:tblCellMar>
        </w:tblPrEx>
        <w:trPr>
          <w:trHeight w:val="90" w:hRule="atLeast"/>
          <w:jc w:val="center"/>
        </w:trPr>
        <w:tc>
          <w:tcPr>
            <w:tcW w:w="55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A24F277">
            <w:pPr>
              <w:jc w:val="center"/>
              <w:rPr>
                <w:rFonts w:hint="eastAsia" w:ascii="宋体" w:hAnsi="宋体" w:eastAsia="宋体" w:cs="宋体"/>
                <w:color w:val="auto"/>
                <w:sz w:val="24"/>
                <w:szCs w:val="24"/>
                <w:highlight w:val="none"/>
              </w:rPr>
            </w:pPr>
          </w:p>
        </w:tc>
        <w:tc>
          <w:tcPr>
            <w:tcW w:w="89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7EB965">
            <w:pPr>
              <w:jc w:val="center"/>
              <w:rPr>
                <w:rFonts w:hint="eastAsia" w:ascii="宋体" w:hAnsi="宋体" w:eastAsia="宋体" w:cs="宋体"/>
                <w:color w:val="auto"/>
                <w:sz w:val="24"/>
                <w:szCs w:val="24"/>
                <w:highlight w:val="none"/>
              </w:rPr>
            </w:pPr>
          </w:p>
        </w:tc>
        <w:tc>
          <w:tcPr>
            <w:tcW w:w="2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2D8526F">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2.</w:t>
            </w:r>
            <w:r>
              <w:rPr>
                <w:rFonts w:hint="eastAsia" w:ascii="宋体" w:hAnsi="宋体" w:eastAsia="宋体" w:cs="宋体"/>
                <w:color w:val="auto"/>
                <w:kern w:val="0"/>
                <w:sz w:val="24"/>
                <w:szCs w:val="24"/>
                <w:highlight w:val="none"/>
                <w:lang w:bidi="ar"/>
              </w:rPr>
              <w:t>工程进度款支付审批意见是否由项目负责人签字盖章</w:t>
            </w:r>
          </w:p>
        </w:tc>
        <w:tc>
          <w:tcPr>
            <w:tcW w:w="7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3AAF2C4">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w:t>
            </w:r>
          </w:p>
        </w:tc>
        <w:tc>
          <w:tcPr>
            <w:tcW w:w="5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B7C435A">
            <w:pPr>
              <w:jc w:val="left"/>
              <w:rPr>
                <w:rFonts w:hint="eastAsia" w:ascii="宋体" w:hAnsi="宋体" w:eastAsia="宋体" w:cs="宋体"/>
                <w:color w:val="auto"/>
                <w:sz w:val="24"/>
                <w:szCs w:val="24"/>
                <w:highlight w:val="none"/>
              </w:rPr>
            </w:pPr>
          </w:p>
        </w:tc>
        <w:tc>
          <w:tcPr>
            <w:tcW w:w="10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89FD54A">
            <w:pPr>
              <w:jc w:val="left"/>
              <w:rPr>
                <w:rFonts w:hint="eastAsia" w:ascii="宋体" w:hAnsi="宋体" w:eastAsia="宋体" w:cs="宋体"/>
                <w:color w:val="auto"/>
                <w:sz w:val="24"/>
                <w:szCs w:val="24"/>
                <w:highlight w:val="none"/>
              </w:rPr>
            </w:pPr>
          </w:p>
        </w:tc>
        <w:tc>
          <w:tcPr>
            <w:tcW w:w="3520" w:type="dxa"/>
            <w:vMerge w:val="continue"/>
            <w:tcBorders>
              <w:left w:val="single" w:color="000000" w:sz="4" w:space="0"/>
              <w:right w:val="single" w:color="000000" w:sz="4" w:space="0"/>
            </w:tcBorders>
            <w:noWrap w:val="0"/>
            <w:tcMar>
              <w:top w:w="15" w:type="dxa"/>
              <w:left w:w="15" w:type="dxa"/>
              <w:right w:w="15" w:type="dxa"/>
            </w:tcMar>
            <w:vAlign w:val="center"/>
          </w:tcPr>
          <w:p w14:paraId="7518CDB3">
            <w:pPr>
              <w:jc w:val="left"/>
              <w:rPr>
                <w:rFonts w:hint="eastAsia" w:ascii="宋体" w:hAnsi="宋体" w:eastAsia="宋体" w:cs="宋体"/>
                <w:color w:val="auto"/>
                <w:sz w:val="21"/>
                <w:szCs w:val="21"/>
                <w:highlight w:val="none"/>
              </w:rPr>
            </w:pPr>
          </w:p>
        </w:tc>
      </w:tr>
      <w:tr w14:paraId="09716E78">
        <w:tblPrEx>
          <w:tblCellMar>
            <w:top w:w="0" w:type="dxa"/>
            <w:left w:w="0" w:type="dxa"/>
            <w:bottom w:w="0" w:type="dxa"/>
            <w:right w:w="0" w:type="dxa"/>
          </w:tblCellMar>
        </w:tblPrEx>
        <w:trPr>
          <w:trHeight w:val="99" w:hRule="atLeast"/>
          <w:jc w:val="center"/>
        </w:trPr>
        <w:tc>
          <w:tcPr>
            <w:tcW w:w="55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B2FE94F">
            <w:pPr>
              <w:jc w:val="center"/>
              <w:rPr>
                <w:rFonts w:hint="eastAsia" w:ascii="宋体" w:hAnsi="宋体" w:eastAsia="宋体" w:cs="宋体"/>
                <w:color w:val="auto"/>
                <w:sz w:val="24"/>
                <w:szCs w:val="24"/>
                <w:highlight w:val="none"/>
              </w:rPr>
            </w:pPr>
          </w:p>
        </w:tc>
        <w:tc>
          <w:tcPr>
            <w:tcW w:w="89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2D69C24">
            <w:pPr>
              <w:jc w:val="center"/>
              <w:rPr>
                <w:rFonts w:hint="eastAsia" w:ascii="宋体" w:hAnsi="宋体" w:eastAsia="宋体" w:cs="宋体"/>
                <w:color w:val="auto"/>
                <w:sz w:val="24"/>
                <w:szCs w:val="24"/>
                <w:highlight w:val="none"/>
              </w:rPr>
            </w:pPr>
          </w:p>
        </w:tc>
        <w:tc>
          <w:tcPr>
            <w:tcW w:w="2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047B369">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3.</w:t>
            </w:r>
            <w:r>
              <w:rPr>
                <w:rFonts w:hint="eastAsia" w:ascii="宋体" w:hAnsi="宋体" w:eastAsia="宋体" w:cs="宋体"/>
                <w:color w:val="auto"/>
                <w:kern w:val="0"/>
                <w:sz w:val="24"/>
                <w:szCs w:val="24"/>
                <w:highlight w:val="none"/>
                <w:lang w:bidi="ar"/>
              </w:rPr>
              <w:t>是否建立相应工程计量支付管理台账</w:t>
            </w:r>
          </w:p>
        </w:tc>
        <w:tc>
          <w:tcPr>
            <w:tcW w:w="7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6533AB1">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3</w:t>
            </w:r>
          </w:p>
        </w:tc>
        <w:tc>
          <w:tcPr>
            <w:tcW w:w="5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6AA103C">
            <w:pPr>
              <w:jc w:val="left"/>
              <w:rPr>
                <w:rFonts w:hint="eastAsia" w:ascii="宋体" w:hAnsi="宋体" w:eastAsia="宋体" w:cs="宋体"/>
                <w:color w:val="auto"/>
                <w:sz w:val="24"/>
                <w:szCs w:val="24"/>
                <w:highlight w:val="none"/>
              </w:rPr>
            </w:pPr>
          </w:p>
        </w:tc>
        <w:tc>
          <w:tcPr>
            <w:tcW w:w="10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9065297">
            <w:pPr>
              <w:jc w:val="left"/>
              <w:rPr>
                <w:rFonts w:hint="eastAsia" w:ascii="宋体" w:hAnsi="宋体" w:eastAsia="宋体" w:cs="宋体"/>
                <w:color w:val="auto"/>
                <w:sz w:val="24"/>
                <w:szCs w:val="24"/>
                <w:highlight w:val="none"/>
              </w:rPr>
            </w:pPr>
          </w:p>
        </w:tc>
        <w:tc>
          <w:tcPr>
            <w:tcW w:w="3520" w:type="dxa"/>
            <w:vMerge w:val="continue"/>
            <w:tcBorders>
              <w:left w:val="single" w:color="000000" w:sz="4" w:space="0"/>
              <w:bottom w:val="single" w:color="000000" w:sz="4" w:space="0"/>
              <w:right w:val="single" w:color="000000" w:sz="4" w:space="0"/>
            </w:tcBorders>
            <w:noWrap w:val="0"/>
            <w:tcMar>
              <w:top w:w="15" w:type="dxa"/>
              <w:left w:w="15" w:type="dxa"/>
              <w:right w:w="15" w:type="dxa"/>
            </w:tcMar>
            <w:vAlign w:val="center"/>
          </w:tcPr>
          <w:p w14:paraId="7DAC17FC">
            <w:pPr>
              <w:jc w:val="left"/>
              <w:rPr>
                <w:rFonts w:hint="eastAsia" w:ascii="宋体" w:hAnsi="宋体" w:eastAsia="宋体" w:cs="宋体"/>
                <w:color w:val="auto"/>
                <w:sz w:val="21"/>
                <w:szCs w:val="21"/>
                <w:highlight w:val="none"/>
              </w:rPr>
            </w:pPr>
          </w:p>
        </w:tc>
      </w:tr>
      <w:tr w14:paraId="5AA5D9ED">
        <w:tblPrEx>
          <w:tblCellMar>
            <w:top w:w="0" w:type="dxa"/>
            <w:left w:w="0" w:type="dxa"/>
            <w:bottom w:w="0" w:type="dxa"/>
            <w:right w:w="0" w:type="dxa"/>
          </w:tblCellMar>
        </w:tblPrEx>
        <w:trPr>
          <w:trHeight w:val="446" w:hRule="atLeast"/>
          <w:jc w:val="center"/>
        </w:trPr>
        <w:tc>
          <w:tcPr>
            <w:tcW w:w="556"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2BA102C">
            <w:pPr>
              <w:widowControl/>
              <w:jc w:val="center"/>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val="en-US" w:eastAsia="zh-CN" w:bidi="ar"/>
              </w:rPr>
              <w:t>八</w:t>
            </w:r>
          </w:p>
        </w:tc>
        <w:tc>
          <w:tcPr>
            <w:tcW w:w="892"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A7BE98B">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工程计量及合法性</w:t>
            </w:r>
          </w:p>
        </w:tc>
        <w:tc>
          <w:tcPr>
            <w:tcW w:w="2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7AE52FA">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w:t>
            </w:r>
            <w:r>
              <w:rPr>
                <w:rFonts w:hint="eastAsia" w:ascii="宋体" w:hAnsi="宋体" w:eastAsia="宋体" w:cs="宋体"/>
                <w:color w:val="auto"/>
                <w:kern w:val="0"/>
                <w:sz w:val="24"/>
                <w:szCs w:val="24"/>
                <w:highlight w:val="none"/>
                <w:lang w:bidi="ar"/>
              </w:rPr>
              <w:t>是否及时、真实、准确计量</w:t>
            </w:r>
          </w:p>
        </w:tc>
        <w:tc>
          <w:tcPr>
            <w:tcW w:w="7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D75D11A">
            <w:pPr>
              <w:widowControl/>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15</w:t>
            </w:r>
          </w:p>
        </w:tc>
        <w:tc>
          <w:tcPr>
            <w:tcW w:w="5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917C9CE">
            <w:pPr>
              <w:jc w:val="left"/>
              <w:rPr>
                <w:rFonts w:hint="eastAsia" w:ascii="宋体" w:hAnsi="宋体" w:eastAsia="宋体" w:cs="宋体"/>
                <w:color w:val="auto"/>
                <w:sz w:val="24"/>
                <w:szCs w:val="24"/>
                <w:highlight w:val="none"/>
              </w:rPr>
            </w:pPr>
          </w:p>
        </w:tc>
        <w:tc>
          <w:tcPr>
            <w:tcW w:w="10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16DFA73">
            <w:pPr>
              <w:jc w:val="left"/>
              <w:rPr>
                <w:rFonts w:hint="eastAsia" w:ascii="宋体" w:hAnsi="宋体" w:eastAsia="宋体" w:cs="宋体"/>
                <w:color w:val="auto"/>
                <w:sz w:val="24"/>
                <w:szCs w:val="24"/>
                <w:highlight w:val="none"/>
              </w:rPr>
            </w:pPr>
          </w:p>
        </w:tc>
        <w:tc>
          <w:tcPr>
            <w:tcW w:w="35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E696E77">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抽查复核，一处不真实、不准确</w:t>
            </w:r>
            <w:r>
              <w:rPr>
                <w:rFonts w:hint="eastAsia" w:ascii="宋体" w:hAnsi="宋体" w:eastAsia="宋体" w:cs="宋体"/>
                <w:color w:val="auto"/>
                <w:kern w:val="0"/>
                <w:sz w:val="21"/>
                <w:szCs w:val="21"/>
                <w:highlight w:val="none"/>
                <w:lang w:eastAsia="zh-CN" w:bidi="ar"/>
              </w:rPr>
              <w:t>的</w:t>
            </w: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eastAsia="zh-CN" w:bidi="ar"/>
              </w:rPr>
              <w:t>本项得</w:t>
            </w:r>
            <w:r>
              <w:rPr>
                <w:rFonts w:hint="eastAsia" w:ascii="宋体" w:hAnsi="宋体" w:eastAsia="宋体" w:cs="宋体"/>
                <w:color w:val="auto"/>
                <w:kern w:val="0"/>
                <w:sz w:val="21"/>
                <w:szCs w:val="21"/>
                <w:highlight w:val="none"/>
                <w:lang w:val="en-US" w:eastAsia="zh-CN" w:bidi="ar"/>
              </w:rPr>
              <w:t>0分；</w:t>
            </w:r>
            <w:r>
              <w:rPr>
                <w:rFonts w:hint="eastAsia" w:ascii="宋体" w:hAnsi="宋体" w:eastAsia="宋体" w:cs="宋体"/>
                <w:color w:val="auto"/>
                <w:kern w:val="0"/>
                <w:sz w:val="21"/>
                <w:szCs w:val="21"/>
                <w:highlight w:val="none"/>
                <w:lang w:bidi="ar"/>
              </w:rPr>
              <w:t>不及时计量扣</w:t>
            </w:r>
            <w:r>
              <w:rPr>
                <w:rFonts w:hint="eastAsia" w:ascii="宋体" w:hAnsi="宋体" w:eastAsia="宋体" w:cs="宋体"/>
                <w:color w:val="auto"/>
                <w:kern w:val="0"/>
                <w:sz w:val="21"/>
                <w:szCs w:val="21"/>
                <w:highlight w:val="none"/>
                <w:lang w:val="en-US" w:eastAsia="zh-CN" w:bidi="ar"/>
              </w:rPr>
              <w:t>10</w:t>
            </w:r>
            <w:r>
              <w:rPr>
                <w:rFonts w:hint="eastAsia" w:ascii="宋体" w:hAnsi="宋体" w:eastAsia="宋体" w:cs="宋体"/>
                <w:color w:val="auto"/>
                <w:kern w:val="0"/>
                <w:sz w:val="21"/>
                <w:szCs w:val="21"/>
                <w:highlight w:val="none"/>
                <w:lang w:bidi="ar"/>
              </w:rPr>
              <w:t>分，若影响计量结果</w:t>
            </w:r>
            <w:r>
              <w:rPr>
                <w:rFonts w:hint="eastAsia" w:ascii="宋体" w:hAnsi="宋体" w:eastAsia="宋体" w:cs="宋体"/>
                <w:color w:val="auto"/>
                <w:kern w:val="0"/>
                <w:sz w:val="21"/>
                <w:szCs w:val="21"/>
                <w:highlight w:val="none"/>
                <w:lang w:eastAsia="zh-CN" w:bidi="ar"/>
              </w:rPr>
              <w:t>的</w:t>
            </w: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eastAsia="zh-CN" w:bidi="ar"/>
              </w:rPr>
              <w:t>本项得</w:t>
            </w:r>
            <w:r>
              <w:rPr>
                <w:rFonts w:hint="eastAsia" w:ascii="宋体" w:hAnsi="宋体" w:eastAsia="宋体" w:cs="宋体"/>
                <w:color w:val="auto"/>
                <w:kern w:val="0"/>
                <w:sz w:val="21"/>
                <w:szCs w:val="21"/>
                <w:highlight w:val="none"/>
                <w:lang w:val="en-US" w:eastAsia="zh-CN" w:bidi="ar"/>
              </w:rPr>
              <w:t>0分</w:t>
            </w:r>
          </w:p>
        </w:tc>
      </w:tr>
      <w:tr w14:paraId="40367A70">
        <w:tblPrEx>
          <w:tblCellMar>
            <w:top w:w="0" w:type="dxa"/>
            <w:left w:w="0" w:type="dxa"/>
            <w:bottom w:w="0" w:type="dxa"/>
            <w:right w:w="0" w:type="dxa"/>
          </w:tblCellMar>
        </w:tblPrEx>
        <w:trPr>
          <w:trHeight w:val="5232" w:hRule="atLeast"/>
          <w:jc w:val="center"/>
        </w:trPr>
        <w:tc>
          <w:tcPr>
            <w:tcW w:w="55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CAF1AD3">
            <w:pPr>
              <w:jc w:val="center"/>
              <w:rPr>
                <w:rFonts w:hint="eastAsia" w:ascii="宋体" w:hAnsi="宋体" w:eastAsia="宋体" w:cs="宋体"/>
                <w:color w:val="auto"/>
                <w:sz w:val="24"/>
                <w:szCs w:val="24"/>
                <w:highlight w:val="none"/>
              </w:rPr>
            </w:pPr>
          </w:p>
        </w:tc>
        <w:tc>
          <w:tcPr>
            <w:tcW w:w="89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3319793">
            <w:pPr>
              <w:jc w:val="center"/>
              <w:rPr>
                <w:rFonts w:hint="eastAsia" w:ascii="宋体" w:hAnsi="宋体" w:eastAsia="宋体" w:cs="宋体"/>
                <w:color w:val="auto"/>
                <w:sz w:val="24"/>
                <w:szCs w:val="24"/>
                <w:highlight w:val="none"/>
              </w:rPr>
            </w:pPr>
          </w:p>
        </w:tc>
        <w:tc>
          <w:tcPr>
            <w:tcW w:w="2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FDA9481">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2.</w:t>
            </w:r>
            <w:r>
              <w:rPr>
                <w:rFonts w:hint="eastAsia" w:ascii="宋体" w:hAnsi="宋体" w:eastAsia="宋体" w:cs="宋体"/>
                <w:color w:val="auto"/>
                <w:kern w:val="0"/>
                <w:sz w:val="24"/>
                <w:szCs w:val="24"/>
                <w:highlight w:val="none"/>
                <w:lang w:bidi="ar"/>
              </w:rPr>
              <w:t>计量记录、简图及影像资料是否齐全，计量方法是否规范</w:t>
            </w:r>
          </w:p>
        </w:tc>
        <w:tc>
          <w:tcPr>
            <w:tcW w:w="7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B9D777A">
            <w:pPr>
              <w:widowControl/>
              <w:jc w:val="center"/>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bidi="ar"/>
              </w:rPr>
              <w:t>1</w:t>
            </w:r>
            <w:r>
              <w:rPr>
                <w:rFonts w:hint="eastAsia" w:ascii="宋体" w:hAnsi="宋体" w:eastAsia="宋体" w:cs="宋体"/>
                <w:color w:val="auto"/>
                <w:kern w:val="0"/>
                <w:sz w:val="24"/>
                <w:szCs w:val="24"/>
                <w:highlight w:val="none"/>
                <w:lang w:val="en-US" w:eastAsia="zh-CN" w:bidi="ar"/>
              </w:rPr>
              <w:t>0</w:t>
            </w:r>
          </w:p>
        </w:tc>
        <w:tc>
          <w:tcPr>
            <w:tcW w:w="5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45BD8F8">
            <w:pPr>
              <w:jc w:val="left"/>
              <w:rPr>
                <w:rFonts w:hint="eastAsia" w:ascii="宋体" w:hAnsi="宋体" w:eastAsia="宋体" w:cs="宋体"/>
                <w:color w:val="auto"/>
                <w:sz w:val="24"/>
                <w:szCs w:val="24"/>
                <w:highlight w:val="none"/>
              </w:rPr>
            </w:pPr>
          </w:p>
        </w:tc>
        <w:tc>
          <w:tcPr>
            <w:tcW w:w="10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6E194F4">
            <w:pPr>
              <w:jc w:val="left"/>
              <w:rPr>
                <w:rFonts w:hint="eastAsia" w:ascii="宋体" w:hAnsi="宋体" w:eastAsia="宋体" w:cs="宋体"/>
                <w:color w:val="auto"/>
                <w:sz w:val="24"/>
                <w:szCs w:val="24"/>
                <w:highlight w:val="none"/>
              </w:rPr>
            </w:pPr>
          </w:p>
        </w:tc>
        <w:tc>
          <w:tcPr>
            <w:tcW w:w="35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7EEF65B">
            <w:pPr>
              <w:keepNext w:val="0"/>
              <w:keepLines w:val="0"/>
              <w:pageBreakBefore w:val="0"/>
              <w:widowControl/>
              <w:kinsoku/>
              <w:wordWrap/>
              <w:overflowPunct/>
              <w:topLinePunct w:val="0"/>
              <w:autoSpaceDE/>
              <w:autoSpaceDN/>
              <w:bidi w:val="0"/>
              <w:adjustRightInd/>
              <w:snapToGrid/>
              <w:spacing w:line="30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eastAsia="zh-CN" w:bidi="ar"/>
              </w:rPr>
              <w:t>计量资料中中期计量单、计量底稿、影像资料应一一对应；</w:t>
            </w: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bidi="ar"/>
              </w:rPr>
              <w:t>隐蔽工程计量时应留下带有位置、桩号、计量标记等可识别的影像资料，必要的简图和计算底稿</w:t>
            </w:r>
            <w:r>
              <w:rPr>
                <w:rFonts w:hint="eastAsia" w:ascii="宋体" w:hAnsi="宋体" w:eastAsia="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bidi="ar"/>
              </w:rPr>
              <w:t>.工程场地平整、绿化土方、建筑垃圾等涉及土石方工程量的计量，应附详细测量记录</w:t>
            </w:r>
            <w:r>
              <w:rPr>
                <w:rFonts w:hint="eastAsia" w:ascii="宋体" w:hAnsi="宋体" w:eastAsia="宋体" w:cs="宋体"/>
                <w:color w:val="auto"/>
                <w:kern w:val="0"/>
                <w:sz w:val="21"/>
                <w:szCs w:val="21"/>
                <w:highlight w:val="none"/>
                <w:lang w:eastAsia="zh-CN" w:bidi="ar"/>
              </w:rPr>
              <w:t>。道路桥梁类与原始地形地貌发生重大变化的土方及建筑垃圾；道路桥梁类不规则不易计量或总量超过</w:t>
            </w: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bidi="ar"/>
              </w:rPr>
              <w:t>000方</w:t>
            </w:r>
            <w:r>
              <w:rPr>
                <w:rFonts w:hint="eastAsia" w:ascii="宋体" w:hAnsi="宋体" w:eastAsia="宋体" w:cs="宋体"/>
                <w:color w:val="auto"/>
                <w:kern w:val="0"/>
                <w:sz w:val="21"/>
                <w:szCs w:val="21"/>
                <w:highlight w:val="none"/>
                <w:lang w:eastAsia="zh-CN" w:bidi="ar"/>
              </w:rPr>
              <w:t>的沟塘清淤；景观、水环境类地形复杂或地形地貌发生重大变化数量超过</w:t>
            </w:r>
            <w:r>
              <w:rPr>
                <w:rFonts w:hint="eastAsia" w:ascii="宋体" w:hAnsi="宋体" w:eastAsia="宋体" w:cs="宋体"/>
                <w:color w:val="auto"/>
                <w:kern w:val="0"/>
                <w:sz w:val="21"/>
                <w:szCs w:val="21"/>
                <w:highlight w:val="none"/>
                <w:lang w:val="en-US" w:eastAsia="zh-CN" w:bidi="ar"/>
              </w:rPr>
              <w:t>1000方的挖填土方；房建类基槽开挖前的原地貌测绘，</w:t>
            </w:r>
            <w:r>
              <w:rPr>
                <w:rFonts w:hint="eastAsia" w:ascii="宋体" w:hAnsi="宋体" w:eastAsia="宋体" w:cs="宋体"/>
                <w:color w:val="auto"/>
                <w:kern w:val="0"/>
                <w:sz w:val="21"/>
                <w:szCs w:val="21"/>
                <w:highlight w:val="none"/>
                <w:lang w:bidi="ar"/>
              </w:rPr>
              <w:t>应</w:t>
            </w:r>
            <w:r>
              <w:rPr>
                <w:rFonts w:hint="eastAsia" w:ascii="宋体" w:hAnsi="宋体" w:eastAsia="宋体" w:cs="宋体"/>
                <w:color w:val="auto"/>
                <w:kern w:val="0"/>
                <w:sz w:val="21"/>
                <w:szCs w:val="21"/>
                <w:highlight w:val="none"/>
                <w:lang w:eastAsia="zh-CN" w:bidi="ar"/>
              </w:rPr>
              <w:t>书面</w:t>
            </w:r>
            <w:r>
              <w:rPr>
                <w:rFonts w:hint="eastAsia" w:ascii="宋体" w:hAnsi="宋体" w:eastAsia="宋体" w:cs="宋体"/>
                <w:color w:val="auto"/>
                <w:kern w:val="0"/>
                <w:sz w:val="21"/>
                <w:szCs w:val="21"/>
                <w:highlight w:val="none"/>
                <w:lang w:bidi="ar"/>
              </w:rPr>
              <w:t>提请业主请测绘部门测绘</w:t>
            </w:r>
            <w:r>
              <w:rPr>
                <w:rFonts w:hint="eastAsia" w:ascii="宋体" w:hAnsi="宋体" w:eastAsia="宋体" w:cs="宋体"/>
                <w:color w:val="auto"/>
                <w:kern w:val="0"/>
                <w:sz w:val="21"/>
                <w:szCs w:val="21"/>
                <w:highlight w:val="none"/>
                <w:lang w:val="en-US" w:eastAsia="zh-CN" w:bidi="ar"/>
              </w:rPr>
              <w:t>4</w:t>
            </w:r>
            <w:r>
              <w:rPr>
                <w:rFonts w:hint="eastAsia" w:ascii="宋体" w:hAnsi="宋体" w:eastAsia="宋体" w:cs="宋体"/>
                <w:color w:val="auto"/>
                <w:kern w:val="0"/>
                <w:sz w:val="21"/>
                <w:szCs w:val="21"/>
                <w:highlight w:val="none"/>
                <w:lang w:bidi="ar"/>
              </w:rPr>
              <w:t>.土方地形变化较大的，应保留施工前后对应的影像资料。不好0分、一般</w:t>
            </w:r>
            <w:r>
              <w:rPr>
                <w:rFonts w:hint="eastAsia" w:ascii="宋体" w:hAnsi="宋体" w:eastAsia="宋体" w:cs="宋体"/>
                <w:color w:val="auto"/>
                <w:kern w:val="0"/>
                <w:sz w:val="21"/>
                <w:szCs w:val="21"/>
                <w:highlight w:val="none"/>
                <w:lang w:val="en-US" w:eastAsia="zh-CN" w:bidi="ar"/>
              </w:rPr>
              <w:t>6</w:t>
            </w:r>
            <w:r>
              <w:rPr>
                <w:rFonts w:hint="eastAsia" w:ascii="宋体" w:hAnsi="宋体" w:eastAsia="宋体" w:cs="宋体"/>
                <w:color w:val="auto"/>
                <w:kern w:val="0"/>
                <w:sz w:val="21"/>
                <w:szCs w:val="21"/>
                <w:highlight w:val="none"/>
                <w:lang w:bidi="ar"/>
              </w:rPr>
              <w:t>分、较好8分、很好10分</w:t>
            </w:r>
          </w:p>
        </w:tc>
      </w:tr>
      <w:tr w14:paraId="5846FCF3">
        <w:tblPrEx>
          <w:tblCellMar>
            <w:top w:w="0" w:type="dxa"/>
            <w:left w:w="0" w:type="dxa"/>
            <w:bottom w:w="0" w:type="dxa"/>
            <w:right w:w="0" w:type="dxa"/>
          </w:tblCellMar>
        </w:tblPrEx>
        <w:trPr>
          <w:trHeight w:val="579" w:hRule="atLeast"/>
          <w:jc w:val="center"/>
        </w:trPr>
        <w:tc>
          <w:tcPr>
            <w:tcW w:w="556"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DB82CF">
            <w:pPr>
              <w:widowControl/>
              <w:jc w:val="center"/>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val="en-US" w:eastAsia="zh-CN" w:bidi="ar"/>
              </w:rPr>
              <w:t>九</w:t>
            </w:r>
          </w:p>
        </w:tc>
        <w:tc>
          <w:tcPr>
            <w:tcW w:w="892"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DBB5E42">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工程变更程序（包括暂定量项目）</w:t>
            </w:r>
          </w:p>
        </w:tc>
        <w:tc>
          <w:tcPr>
            <w:tcW w:w="272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41ACA54">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w:t>
            </w:r>
            <w:r>
              <w:rPr>
                <w:rFonts w:hint="eastAsia" w:ascii="宋体" w:hAnsi="宋体" w:eastAsia="宋体" w:cs="宋体"/>
                <w:color w:val="auto"/>
                <w:kern w:val="0"/>
                <w:sz w:val="24"/>
                <w:szCs w:val="24"/>
                <w:highlight w:val="none"/>
                <w:lang w:bidi="ar"/>
              </w:rPr>
              <w:t>工程变更手续是否及时、规范办理，证明资料是否齐全，否则有无书面催告</w:t>
            </w:r>
          </w:p>
        </w:tc>
        <w:tc>
          <w:tcPr>
            <w:tcW w:w="712"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4138E6F">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7</w:t>
            </w:r>
          </w:p>
        </w:tc>
        <w:tc>
          <w:tcPr>
            <w:tcW w:w="596"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E555ABE">
            <w:pPr>
              <w:jc w:val="left"/>
              <w:rPr>
                <w:rFonts w:hint="eastAsia" w:ascii="宋体" w:hAnsi="宋体" w:eastAsia="宋体" w:cs="宋体"/>
                <w:color w:val="auto"/>
                <w:sz w:val="24"/>
                <w:szCs w:val="24"/>
                <w:highlight w:val="none"/>
              </w:rPr>
            </w:pPr>
          </w:p>
        </w:tc>
        <w:tc>
          <w:tcPr>
            <w:tcW w:w="1002"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AFDDB97">
            <w:pPr>
              <w:jc w:val="left"/>
              <w:rPr>
                <w:rFonts w:hint="eastAsia" w:ascii="宋体" w:hAnsi="宋体" w:eastAsia="宋体" w:cs="宋体"/>
                <w:color w:val="auto"/>
                <w:sz w:val="24"/>
                <w:szCs w:val="24"/>
                <w:highlight w:val="none"/>
              </w:rPr>
            </w:pPr>
          </w:p>
        </w:tc>
        <w:tc>
          <w:tcPr>
            <w:tcW w:w="352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A85FB14">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不好0分、一般</w:t>
            </w:r>
            <w:r>
              <w:rPr>
                <w:rFonts w:hint="eastAsia" w:ascii="宋体" w:hAnsi="宋体" w:eastAsia="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bidi="ar"/>
              </w:rPr>
              <w:t>分、较好5分、很好7分</w:t>
            </w:r>
            <w:r>
              <w:rPr>
                <w:rFonts w:hint="eastAsia" w:ascii="宋体" w:hAnsi="宋体" w:eastAsia="宋体" w:cs="宋体"/>
                <w:color w:val="auto"/>
                <w:kern w:val="0"/>
                <w:sz w:val="21"/>
                <w:szCs w:val="21"/>
                <w:highlight w:val="none"/>
                <w:lang w:val="en-US" w:eastAsia="zh-CN" w:bidi="ar"/>
              </w:rPr>
              <w:t>（本项业主代表参与打分）</w:t>
            </w:r>
          </w:p>
        </w:tc>
      </w:tr>
      <w:tr w14:paraId="31903DD4">
        <w:tblPrEx>
          <w:tblCellMar>
            <w:top w:w="0" w:type="dxa"/>
            <w:left w:w="0" w:type="dxa"/>
            <w:bottom w:w="0" w:type="dxa"/>
            <w:right w:w="0" w:type="dxa"/>
          </w:tblCellMar>
        </w:tblPrEx>
        <w:trPr>
          <w:trHeight w:val="312" w:hRule="atLeast"/>
          <w:jc w:val="center"/>
        </w:trPr>
        <w:tc>
          <w:tcPr>
            <w:tcW w:w="55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7DD2874">
            <w:pPr>
              <w:jc w:val="center"/>
              <w:rPr>
                <w:rFonts w:hint="eastAsia" w:ascii="宋体" w:hAnsi="宋体" w:eastAsia="宋体" w:cs="宋体"/>
                <w:color w:val="auto"/>
                <w:sz w:val="24"/>
                <w:szCs w:val="24"/>
                <w:highlight w:val="none"/>
              </w:rPr>
            </w:pPr>
          </w:p>
        </w:tc>
        <w:tc>
          <w:tcPr>
            <w:tcW w:w="89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6F83608">
            <w:pPr>
              <w:jc w:val="center"/>
              <w:rPr>
                <w:rFonts w:hint="eastAsia" w:ascii="宋体" w:hAnsi="宋体" w:eastAsia="宋体" w:cs="宋体"/>
                <w:color w:val="auto"/>
                <w:sz w:val="24"/>
                <w:szCs w:val="24"/>
                <w:highlight w:val="none"/>
              </w:rPr>
            </w:pPr>
          </w:p>
        </w:tc>
        <w:tc>
          <w:tcPr>
            <w:tcW w:w="272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B0159B0">
            <w:pPr>
              <w:jc w:val="left"/>
              <w:rPr>
                <w:rFonts w:hint="eastAsia" w:ascii="宋体" w:hAnsi="宋体" w:eastAsia="宋体" w:cs="宋体"/>
                <w:color w:val="auto"/>
                <w:sz w:val="24"/>
                <w:szCs w:val="24"/>
                <w:highlight w:val="none"/>
              </w:rPr>
            </w:pPr>
          </w:p>
        </w:tc>
        <w:tc>
          <w:tcPr>
            <w:tcW w:w="71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7AC9215">
            <w:pPr>
              <w:jc w:val="center"/>
              <w:rPr>
                <w:rFonts w:hint="eastAsia" w:ascii="宋体" w:hAnsi="宋体" w:eastAsia="宋体" w:cs="宋体"/>
                <w:color w:val="auto"/>
                <w:sz w:val="24"/>
                <w:szCs w:val="24"/>
                <w:highlight w:val="none"/>
              </w:rPr>
            </w:pPr>
          </w:p>
        </w:tc>
        <w:tc>
          <w:tcPr>
            <w:tcW w:w="59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4D49DDB">
            <w:pPr>
              <w:jc w:val="left"/>
              <w:rPr>
                <w:rFonts w:hint="eastAsia" w:ascii="宋体" w:hAnsi="宋体" w:eastAsia="宋体" w:cs="宋体"/>
                <w:color w:val="auto"/>
                <w:sz w:val="24"/>
                <w:szCs w:val="24"/>
                <w:highlight w:val="none"/>
              </w:rPr>
            </w:pPr>
          </w:p>
        </w:tc>
        <w:tc>
          <w:tcPr>
            <w:tcW w:w="100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1D9B6A3">
            <w:pPr>
              <w:jc w:val="left"/>
              <w:rPr>
                <w:rFonts w:hint="eastAsia" w:ascii="宋体" w:hAnsi="宋体" w:eastAsia="宋体" w:cs="宋体"/>
                <w:color w:val="auto"/>
                <w:sz w:val="24"/>
                <w:szCs w:val="24"/>
                <w:highlight w:val="none"/>
              </w:rPr>
            </w:pPr>
          </w:p>
        </w:tc>
        <w:tc>
          <w:tcPr>
            <w:tcW w:w="352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0547692">
            <w:pPr>
              <w:jc w:val="left"/>
              <w:rPr>
                <w:rFonts w:hint="eastAsia" w:ascii="宋体" w:hAnsi="宋体" w:eastAsia="宋体" w:cs="宋体"/>
                <w:color w:val="auto"/>
                <w:sz w:val="21"/>
                <w:szCs w:val="21"/>
                <w:highlight w:val="none"/>
              </w:rPr>
            </w:pPr>
          </w:p>
        </w:tc>
      </w:tr>
      <w:tr w14:paraId="3DA5624E">
        <w:tblPrEx>
          <w:tblCellMar>
            <w:top w:w="0" w:type="dxa"/>
            <w:left w:w="0" w:type="dxa"/>
            <w:bottom w:w="0" w:type="dxa"/>
            <w:right w:w="0" w:type="dxa"/>
          </w:tblCellMar>
        </w:tblPrEx>
        <w:trPr>
          <w:trHeight w:val="579" w:hRule="atLeast"/>
          <w:jc w:val="center"/>
        </w:trPr>
        <w:tc>
          <w:tcPr>
            <w:tcW w:w="55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AF300FF">
            <w:pPr>
              <w:jc w:val="center"/>
              <w:rPr>
                <w:rFonts w:hint="eastAsia" w:ascii="宋体" w:hAnsi="宋体" w:eastAsia="宋体" w:cs="宋体"/>
                <w:color w:val="auto"/>
                <w:sz w:val="24"/>
                <w:szCs w:val="24"/>
                <w:highlight w:val="none"/>
              </w:rPr>
            </w:pPr>
          </w:p>
        </w:tc>
        <w:tc>
          <w:tcPr>
            <w:tcW w:w="89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1E605A1">
            <w:pPr>
              <w:jc w:val="center"/>
              <w:rPr>
                <w:rFonts w:hint="eastAsia" w:ascii="宋体" w:hAnsi="宋体" w:eastAsia="宋体" w:cs="宋体"/>
                <w:color w:val="auto"/>
                <w:sz w:val="24"/>
                <w:szCs w:val="24"/>
                <w:highlight w:val="none"/>
              </w:rPr>
            </w:pPr>
          </w:p>
        </w:tc>
        <w:tc>
          <w:tcPr>
            <w:tcW w:w="272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778DCAD">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2.</w:t>
            </w:r>
            <w:r>
              <w:rPr>
                <w:rFonts w:hint="eastAsia" w:ascii="宋体" w:hAnsi="宋体" w:eastAsia="宋体" w:cs="宋体"/>
                <w:color w:val="auto"/>
                <w:kern w:val="0"/>
                <w:sz w:val="24"/>
                <w:szCs w:val="24"/>
                <w:highlight w:val="none"/>
                <w:lang w:bidi="ar"/>
              </w:rPr>
              <w:t>估算造价超过</w:t>
            </w:r>
            <w:r>
              <w:rPr>
                <w:rFonts w:hint="eastAsia" w:ascii="宋体" w:hAnsi="宋体" w:eastAsia="宋体" w:cs="宋体"/>
                <w:color w:val="auto"/>
                <w:kern w:val="0"/>
                <w:sz w:val="24"/>
                <w:szCs w:val="24"/>
                <w:highlight w:val="none"/>
                <w:lang w:val="en-US" w:eastAsia="zh-CN" w:bidi="ar"/>
              </w:rPr>
              <w:t>5</w:t>
            </w:r>
            <w:r>
              <w:rPr>
                <w:rFonts w:hint="eastAsia" w:ascii="宋体" w:hAnsi="宋体" w:eastAsia="宋体" w:cs="宋体"/>
                <w:color w:val="auto"/>
                <w:kern w:val="0"/>
                <w:sz w:val="24"/>
                <w:szCs w:val="24"/>
                <w:highlight w:val="none"/>
                <w:lang w:bidi="ar"/>
              </w:rPr>
              <w:t>万元的重大事项是否上报</w:t>
            </w:r>
          </w:p>
        </w:tc>
        <w:tc>
          <w:tcPr>
            <w:tcW w:w="712"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A02250A">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3</w:t>
            </w:r>
          </w:p>
        </w:tc>
        <w:tc>
          <w:tcPr>
            <w:tcW w:w="596"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CD05E49">
            <w:pPr>
              <w:jc w:val="left"/>
              <w:rPr>
                <w:rFonts w:hint="eastAsia" w:ascii="宋体" w:hAnsi="宋体" w:eastAsia="宋体" w:cs="宋体"/>
                <w:color w:val="auto"/>
                <w:sz w:val="24"/>
                <w:szCs w:val="24"/>
                <w:highlight w:val="none"/>
              </w:rPr>
            </w:pPr>
          </w:p>
        </w:tc>
        <w:tc>
          <w:tcPr>
            <w:tcW w:w="1002"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CE346CB">
            <w:pPr>
              <w:jc w:val="left"/>
              <w:rPr>
                <w:rFonts w:hint="eastAsia" w:ascii="宋体" w:hAnsi="宋体" w:eastAsia="宋体" w:cs="宋体"/>
                <w:color w:val="auto"/>
                <w:sz w:val="24"/>
                <w:szCs w:val="24"/>
                <w:highlight w:val="none"/>
              </w:rPr>
            </w:pPr>
          </w:p>
        </w:tc>
        <w:tc>
          <w:tcPr>
            <w:tcW w:w="352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BB4E1DE">
            <w:pPr>
              <w:widowControl/>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bidi="ar"/>
              </w:rPr>
              <w:t>单个变更事项一项不符合要求</w:t>
            </w:r>
            <w:r>
              <w:rPr>
                <w:rFonts w:hint="eastAsia" w:ascii="宋体" w:hAnsi="宋体" w:eastAsia="宋体" w:cs="宋体"/>
                <w:color w:val="auto"/>
                <w:kern w:val="0"/>
                <w:sz w:val="21"/>
                <w:szCs w:val="21"/>
                <w:highlight w:val="none"/>
                <w:lang w:eastAsia="zh-CN" w:bidi="ar"/>
              </w:rPr>
              <w:t>，本项得</w:t>
            </w:r>
            <w:r>
              <w:rPr>
                <w:rFonts w:hint="eastAsia" w:ascii="宋体" w:hAnsi="宋体" w:eastAsia="宋体" w:cs="宋体"/>
                <w:color w:val="auto"/>
                <w:kern w:val="0"/>
                <w:sz w:val="21"/>
                <w:szCs w:val="21"/>
                <w:highlight w:val="none"/>
                <w:lang w:val="en-US" w:eastAsia="zh-CN" w:bidi="ar"/>
              </w:rPr>
              <w:t>0分（本项业主代表参与打分）</w:t>
            </w:r>
          </w:p>
        </w:tc>
      </w:tr>
      <w:tr w14:paraId="512808E8">
        <w:tblPrEx>
          <w:tblCellMar>
            <w:top w:w="0" w:type="dxa"/>
            <w:left w:w="0" w:type="dxa"/>
            <w:bottom w:w="0" w:type="dxa"/>
            <w:right w:w="0" w:type="dxa"/>
          </w:tblCellMar>
        </w:tblPrEx>
        <w:trPr>
          <w:trHeight w:val="312" w:hRule="atLeast"/>
          <w:jc w:val="center"/>
        </w:trPr>
        <w:tc>
          <w:tcPr>
            <w:tcW w:w="55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1E1145B">
            <w:pPr>
              <w:jc w:val="center"/>
              <w:rPr>
                <w:rFonts w:hint="eastAsia" w:ascii="宋体" w:hAnsi="宋体" w:eastAsia="宋体" w:cs="宋体"/>
                <w:color w:val="auto"/>
                <w:sz w:val="24"/>
                <w:szCs w:val="24"/>
                <w:highlight w:val="none"/>
              </w:rPr>
            </w:pPr>
          </w:p>
        </w:tc>
        <w:tc>
          <w:tcPr>
            <w:tcW w:w="89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8D18D5F">
            <w:pPr>
              <w:jc w:val="center"/>
              <w:rPr>
                <w:rFonts w:hint="eastAsia" w:ascii="宋体" w:hAnsi="宋体" w:eastAsia="宋体" w:cs="宋体"/>
                <w:color w:val="auto"/>
                <w:sz w:val="24"/>
                <w:szCs w:val="24"/>
                <w:highlight w:val="none"/>
              </w:rPr>
            </w:pPr>
          </w:p>
        </w:tc>
        <w:tc>
          <w:tcPr>
            <w:tcW w:w="272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F86DA39">
            <w:pPr>
              <w:jc w:val="left"/>
              <w:rPr>
                <w:rFonts w:hint="eastAsia" w:ascii="宋体" w:hAnsi="宋体" w:eastAsia="宋体" w:cs="宋体"/>
                <w:color w:val="auto"/>
                <w:sz w:val="24"/>
                <w:szCs w:val="24"/>
                <w:highlight w:val="none"/>
              </w:rPr>
            </w:pPr>
          </w:p>
        </w:tc>
        <w:tc>
          <w:tcPr>
            <w:tcW w:w="71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6096FDA">
            <w:pPr>
              <w:jc w:val="center"/>
              <w:rPr>
                <w:rFonts w:hint="eastAsia" w:ascii="宋体" w:hAnsi="宋体" w:eastAsia="宋体" w:cs="宋体"/>
                <w:color w:val="auto"/>
                <w:sz w:val="24"/>
                <w:szCs w:val="24"/>
                <w:highlight w:val="none"/>
              </w:rPr>
            </w:pPr>
          </w:p>
        </w:tc>
        <w:tc>
          <w:tcPr>
            <w:tcW w:w="59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042E28A">
            <w:pPr>
              <w:jc w:val="left"/>
              <w:rPr>
                <w:rFonts w:hint="eastAsia" w:ascii="宋体" w:hAnsi="宋体" w:eastAsia="宋体" w:cs="宋体"/>
                <w:color w:val="auto"/>
                <w:sz w:val="24"/>
                <w:szCs w:val="24"/>
                <w:highlight w:val="none"/>
              </w:rPr>
            </w:pPr>
          </w:p>
        </w:tc>
        <w:tc>
          <w:tcPr>
            <w:tcW w:w="100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05B0054">
            <w:pPr>
              <w:jc w:val="left"/>
              <w:rPr>
                <w:rFonts w:hint="eastAsia" w:ascii="宋体" w:hAnsi="宋体" w:eastAsia="宋体" w:cs="宋体"/>
                <w:color w:val="auto"/>
                <w:sz w:val="24"/>
                <w:szCs w:val="24"/>
                <w:highlight w:val="none"/>
              </w:rPr>
            </w:pPr>
          </w:p>
        </w:tc>
        <w:tc>
          <w:tcPr>
            <w:tcW w:w="352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51F92D9">
            <w:pPr>
              <w:jc w:val="left"/>
              <w:rPr>
                <w:rFonts w:hint="eastAsia" w:ascii="宋体" w:hAnsi="宋体" w:eastAsia="宋体" w:cs="宋体"/>
                <w:color w:val="auto"/>
                <w:sz w:val="21"/>
                <w:szCs w:val="21"/>
                <w:highlight w:val="none"/>
              </w:rPr>
            </w:pPr>
          </w:p>
        </w:tc>
      </w:tr>
      <w:tr w14:paraId="640382F9">
        <w:tblPrEx>
          <w:tblCellMar>
            <w:top w:w="0" w:type="dxa"/>
            <w:left w:w="0" w:type="dxa"/>
            <w:bottom w:w="0" w:type="dxa"/>
            <w:right w:w="0" w:type="dxa"/>
          </w:tblCellMar>
        </w:tblPrEx>
        <w:trPr>
          <w:trHeight w:val="1068" w:hRule="atLeast"/>
          <w:jc w:val="center"/>
        </w:trPr>
        <w:tc>
          <w:tcPr>
            <w:tcW w:w="556" w:type="dxa"/>
            <w:vMerge w:val="restart"/>
            <w:tcBorders>
              <w:top w:val="single" w:color="000000" w:sz="4" w:space="0"/>
              <w:left w:val="single" w:color="000000" w:sz="4" w:space="0"/>
              <w:right w:val="single" w:color="000000" w:sz="4" w:space="0"/>
            </w:tcBorders>
            <w:noWrap w:val="0"/>
            <w:tcMar>
              <w:top w:w="15" w:type="dxa"/>
              <w:left w:w="15" w:type="dxa"/>
              <w:right w:w="15" w:type="dxa"/>
            </w:tcMar>
            <w:vAlign w:val="center"/>
          </w:tcPr>
          <w:p w14:paraId="458EB962">
            <w:pPr>
              <w:widowControl/>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十</w:t>
            </w:r>
          </w:p>
        </w:tc>
        <w:tc>
          <w:tcPr>
            <w:tcW w:w="892" w:type="dxa"/>
            <w:vMerge w:val="restart"/>
            <w:tcBorders>
              <w:top w:val="single" w:color="000000" w:sz="4" w:space="0"/>
              <w:left w:val="single" w:color="000000" w:sz="4" w:space="0"/>
              <w:right w:val="single" w:color="000000" w:sz="4" w:space="0"/>
            </w:tcBorders>
            <w:noWrap w:val="0"/>
            <w:tcMar>
              <w:top w:w="15" w:type="dxa"/>
              <w:left w:w="15" w:type="dxa"/>
              <w:right w:w="15" w:type="dxa"/>
            </w:tcMar>
            <w:vAlign w:val="center"/>
          </w:tcPr>
          <w:p w14:paraId="1C0FA3D0">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内部控制程序</w:t>
            </w:r>
          </w:p>
        </w:tc>
        <w:tc>
          <w:tcPr>
            <w:tcW w:w="2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5A0C2917">
            <w:pPr>
              <w:widowControl/>
              <w:jc w:val="both"/>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w:t>
            </w:r>
            <w:r>
              <w:rPr>
                <w:rFonts w:hint="eastAsia" w:ascii="宋体" w:hAnsi="宋体" w:eastAsia="宋体" w:cs="宋体"/>
                <w:color w:val="auto"/>
                <w:kern w:val="0"/>
                <w:sz w:val="24"/>
                <w:szCs w:val="24"/>
                <w:highlight w:val="none"/>
                <w:lang w:bidi="ar"/>
              </w:rPr>
              <w:t>对工程项目暂定价设备和材料价格参与市场考察、独立调查或审查并提出意见</w:t>
            </w:r>
          </w:p>
        </w:tc>
        <w:tc>
          <w:tcPr>
            <w:tcW w:w="7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BC4D4DA">
            <w:pPr>
              <w:widowControl/>
              <w:jc w:val="center"/>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val="en-US" w:eastAsia="zh-CN" w:bidi="ar"/>
              </w:rPr>
              <w:t>2</w:t>
            </w:r>
          </w:p>
        </w:tc>
        <w:tc>
          <w:tcPr>
            <w:tcW w:w="5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159DBA5">
            <w:pPr>
              <w:jc w:val="left"/>
              <w:rPr>
                <w:rFonts w:hint="eastAsia" w:ascii="宋体" w:hAnsi="宋体" w:eastAsia="宋体" w:cs="宋体"/>
                <w:color w:val="auto"/>
                <w:sz w:val="24"/>
                <w:szCs w:val="24"/>
                <w:highlight w:val="none"/>
              </w:rPr>
            </w:pPr>
          </w:p>
        </w:tc>
        <w:tc>
          <w:tcPr>
            <w:tcW w:w="10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3EDFFC5">
            <w:pPr>
              <w:jc w:val="center"/>
              <w:rPr>
                <w:rFonts w:hint="eastAsia" w:ascii="宋体" w:hAnsi="宋体" w:eastAsia="宋体" w:cs="宋体"/>
                <w:color w:val="auto"/>
                <w:sz w:val="24"/>
                <w:szCs w:val="24"/>
                <w:highlight w:val="none"/>
              </w:rPr>
            </w:pPr>
          </w:p>
        </w:tc>
        <w:tc>
          <w:tcPr>
            <w:tcW w:w="35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33D10348">
            <w:pPr>
              <w:widowControl/>
              <w:jc w:val="both"/>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lang w:bidi="ar"/>
              </w:rPr>
              <w:t>跟</w:t>
            </w:r>
            <w:r>
              <w:rPr>
                <w:rFonts w:hint="eastAsia" w:ascii="宋体" w:hAnsi="宋体" w:eastAsia="宋体" w:cs="宋体"/>
                <w:color w:val="auto"/>
                <w:kern w:val="0"/>
                <w:sz w:val="21"/>
                <w:szCs w:val="21"/>
                <w:highlight w:val="none"/>
                <w:lang w:eastAsia="zh-CN" w:bidi="ar"/>
              </w:rPr>
              <w:t>审</w:t>
            </w:r>
            <w:r>
              <w:rPr>
                <w:rFonts w:hint="eastAsia" w:ascii="宋体" w:hAnsi="宋体" w:eastAsia="宋体" w:cs="宋体"/>
                <w:color w:val="auto"/>
                <w:kern w:val="0"/>
                <w:sz w:val="21"/>
                <w:szCs w:val="21"/>
                <w:highlight w:val="none"/>
                <w:lang w:bidi="ar"/>
              </w:rPr>
              <w:t>人员对工地所需暂定价材料、设备价格要定期询价，随时</w:t>
            </w:r>
            <w:r>
              <w:rPr>
                <w:rFonts w:hint="eastAsia" w:ascii="宋体" w:hAnsi="宋体" w:eastAsia="宋体" w:cs="宋体"/>
                <w:color w:val="auto"/>
                <w:kern w:val="0"/>
                <w:sz w:val="21"/>
                <w:szCs w:val="21"/>
                <w:highlight w:val="none"/>
                <w:lang w:eastAsia="zh-CN" w:bidi="ar"/>
              </w:rPr>
              <w:t>掌握</w:t>
            </w:r>
            <w:r>
              <w:rPr>
                <w:rFonts w:hint="eastAsia" w:ascii="宋体" w:hAnsi="宋体" w:eastAsia="宋体" w:cs="宋体"/>
                <w:color w:val="auto"/>
                <w:kern w:val="0"/>
                <w:sz w:val="21"/>
                <w:szCs w:val="21"/>
                <w:highlight w:val="none"/>
                <w:lang w:bidi="ar"/>
              </w:rPr>
              <w:t>价格的变化情况，为业主提供准确的价格信息，做好询价记录备查</w:t>
            </w:r>
          </w:p>
        </w:tc>
      </w:tr>
      <w:tr w14:paraId="554C437B">
        <w:tblPrEx>
          <w:tblCellMar>
            <w:top w:w="0" w:type="dxa"/>
            <w:left w:w="0" w:type="dxa"/>
            <w:bottom w:w="0" w:type="dxa"/>
            <w:right w:w="0" w:type="dxa"/>
          </w:tblCellMar>
        </w:tblPrEx>
        <w:trPr>
          <w:trHeight w:val="1275" w:hRule="atLeast"/>
          <w:jc w:val="center"/>
        </w:trPr>
        <w:tc>
          <w:tcPr>
            <w:tcW w:w="556" w:type="dxa"/>
            <w:vMerge w:val="continue"/>
            <w:tcBorders>
              <w:left w:val="single" w:color="000000" w:sz="4" w:space="0"/>
              <w:bottom w:val="single" w:color="000000" w:sz="4" w:space="0"/>
              <w:right w:val="single" w:color="000000" w:sz="4" w:space="0"/>
            </w:tcBorders>
            <w:noWrap w:val="0"/>
            <w:tcMar>
              <w:top w:w="15" w:type="dxa"/>
              <w:left w:w="15" w:type="dxa"/>
              <w:right w:w="15" w:type="dxa"/>
            </w:tcMar>
            <w:vAlign w:val="center"/>
          </w:tcPr>
          <w:p w14:paraId="3CC89897">
            <w:pPr>
              <w:jc w:val="center"/>
              <w:rPr>
                <w:rFonts w:hint="eastAsia" w:ascii="宋体" w:hAnsi="宋体" w:eastAsia="宋体" w:cs="宋体"/>
                <w:color w:val="auto"/>
                <w:sz w:val="24"/>
                <w:szCs w:val="24"/>
                <w:highlight w:val="none"/>
              </w:rPr>
            </w:pPr>
          </w:p>
        </w:tc>
        <w:tc>
          <w:tcPr>
            <w:tcW w:w="892" w:type="dxa"/>
            <w:vMerge w:val="continue"/>
            <w:tcBorders>
              <w:left w:val="single" w:color="000000" w:sz="4" w:space="0"/>
              <w:bottom w:val="single" w:color="000000" w:sz="4" w:space="0"/>
              <w:right w:val="single" w:color="000000" w:sz="4" w:space="0"/>
            </w:tcBorders>
            <w:noWrap w:val="0"/>
            <w:tcMar>
              <w:top w:w="15" w:type="dxa"/>
              <w:left w:w="15" w:type="dxa"/>
              <w:right w:w="15" w:type="dxa"/>
            </w:tcMar>
            <w:vAlign w:val="center"/>
          </w:tcPr>
          <w:p w14:paraId="4E40B81F">
            <w:pPr>
              <w:jc w:val="center"/>
              <w:rPr>
                <w:rFonts w:hint="eastAsia" w:ascii="宋体" w:hAnsi="宋体" w:eastAsia="宋体" w:cs="宋体"/>
                <w:color w:val="auto"/>
                <w:sz w:val="24"/>
                <w:szCs w:val="24"/>
                <w:highlight w:val="none"/>
              </w:rPr>
            </w:pPr>
          </w:p>
        </w:tc>
        <w:tc>
          <w:tcPr>
            <w:tcW w:w="2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9F84B51">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2.</w:t>
            </w:r>
            <w:r>
              <w:rPr>
                <w:rFonts w:hint="eastAsia" w:ascii="宋体" w:hAnsi="宋体" w:eastAsia="宋体" w:cs="宋体"/>
                <w:color w:val="auto"/>
                <w:kern w:val="0"/>
                <w:sz w:val="24"/>
                <w:szCs w:val="24"/>
                <w:highlight w:val="none"/>
                <w:lang w:bidi="ar"/>
              </w:rPr>
              <w:t>协助业主审核因设计变更、现场签证等发生的费用，相应调整造价控制目标，并及时向业主提供造价控制动态分析报告</w:t>
            </w:r>
          </w:p>
        </w:tc>
        <w:tc>
          <w:tcPr>
            <w:tcW w:w="7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ED43674">
            <w:pPr>
              <w:widowControl/>
              <w:jc w:val="center"/>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val="en-US" w:eastAsia="zh-CN" w:bidi="ar"/>
              </w:rPr>
              <w:t>3</w:t>
            </w:r>
          </w:p>
        </w:tc>
        <w:tc>
          <w:tcPr>
            <w:tcW w:w="5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1E02773">
            <w:pPr>
              <w:jc w:val="left"/>
              <w:rPr>
                <w:rFonts w:hint="eastAsia" w:ascii="宋体" w:hAnsi="宋体" w:eastAsia="宋体" w:cs="宋体"/>
                <w:color w:val="auto"/>
                <w:sz w:val="24"/>
                <w:szCs w:val="24"/>
                <w:highlight w:val="none"/>
              </w:rPr>
            </w:pPr>
          </w:p>
        </w:tc>
        <w:tc>
          <w:tcPr>
            <w:tcW w:w="10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2F9B19B">
            <w:pPr>
              <w:jc w:val="center"/>
              <w:rPr>
                <w:rFonts w:hint="eastAsia" w:ascii="宋体" w:hAnsi="宋体" w:eastAsia="宋体" w:cs="宋体"/>
                <w:color w:val="auto"/>
                <w:sz w:val="24"/>
                <w:szCs w:val="24"/>
                <w:highlight w:val="none"/>
              </w:rPr>
            </w:pPr>
          </w:p>
        </w:tc>
        <w:tc>
          <w:tcPr>
            <w:tcW w:w="35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E68B09C">
            <w:pPr>
              <w:widowControl/>
              <w:jc w:val="left"/>
              <w:textAlignment w:val="center"/>
              <w:rPr>
                <w:rFonts w:hint="eastAsia" w:ascii="宋体" w:hAnsi="宋体" w:eastAsia="宋体" w:cs="宋体"/>
                <w:color w:val="auto"/>
                <w:sz w:val="21"/>
                <w:szCs w:val="21"/>
                <w:highlight w:val="none"/>
              </w:rPr>
            </w:pPr>
          </w:p>
        </w:tc>
      </w:tr>
      <w:tr w14:paraId="4D29D9A0">
        <w:tblPrEx>
          <w:tblCellMar>
            <w:top w:w="0" w:type="dxa"/>
            <w:left w:w="0" w:type="dxa"/>
            <w:bottom w:w="0" w:type="dxa"/>
            <w:right w:w="0" w:type="dxa"/>
          </w:tblCellMar>
        </w:tblPrEx>
        <w:trPr>
          <w:trHeight w:val="3000" w:hRule="atLeast"/>
          <w:jc w:val="center"/>
        </w:trPr>
        <w:tc>
          <w:tcPr>
            <w:tcW w:w="556" w:type="dxa"/>
            <w:tcBorders>
              <w:top w:val="nil"/>
              <w:left w:val="single" w:color="000000" w:sz="4" w:space="0"/>
              <w:bottom w:val="nil"/>
              <w:right w:val="single" w:color="000000" w:sz="4" w:space="0"/>
            </w:tcBorders>
            <w:noWrap w:val="0"/>
            <w:tcMar>
              <w:top w:w="15" w:type="dxa"/>
              <w:left w:w="15" w:type="dxa"/>
              <w:right w:w="15" w:type="dxa"/>
            </w:tcMar>
            <w:vAlign w:val="center"/>
          </w:tcPr>
          <w:p w14:paraId="4416004F">
            <w:pPr>
              <w:widowControl/>
              <w:jc w:val="center"/>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eastAsia="zh-CN" w:bidi="ar"/>
              </w:rPr>
              <w:t>十一</w:t>
            </w:r>
          </w:p>
        </w:tc>
        <w:tc>
          <w:tcPr>
            <w:tcW w:w="892" w:type="dxa"/>
            <w:tcBorders>
              <w:top w:val="nil"/>
              <w:left w:val="single" w:color="000000" w:sz="4" w:space="0"/>
              <w:right w:val="single" w:color="000000" w:sz="4" w:space="0"/>
            </w:tcBorders>
            <w:noWrap w:val="0"/>
            <w:tcMar>
              <w:top w:w="15" w:type="dxa"/>
              <w:left w:w="15" w:type="dxa"/>
              <w:right w:w="15" w:type="dxa"/>
            </w:tcMar>
            <w:vAlign w:val="center"/>
          </w:tcPr>
          <w:p w14:paraId="60802952">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廉洁自律</w:t>
            </w:r>
          </w:p>
        </w:tc>
        <w:tc>
          <w:tcPr>
            <w:tcW w:w="2720" w:type="dxa"/>
            <w:tcBorders>
              <w:top w:val="nil"/>
              <w:left w:val="single" w:color="000000" w:sz="4" w:space="0"/>
              <w:right w:val="single" w:color="000000" w:sz="4" w:space="0"/>
            </w:tcBorders>
            <w:noWrap w:val="0"/>
            <w:tcMar>
              <w:top w:w="15" w:type="dxa"/>
              <w:left w:w="15" w:type="dxa"/>
              <w:right w:w="15" w:type="dxa"/>
            </w:tcMar>
            <w:vAlign w:val="center"/>
          </w:tcPr>
          <w:p w14:paraId="7C94B816">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审计单位是否保持廉洁自律要求</w:t>
            </w:r>
          </w:p>
        </w:tc>
        <w:tc>
          <w:tcPr>
            <w:tcW w:w="712" w:type="dxa"/>
            <w:tcBorders>
              <w:top w:val="nil"/>
              <w:left w:val="single" w:color="000000" w:sz="4" w:space="0"/>
              <w:right w:val="single" w:color="000000" w:sz="4" w:space="0"/>
            </w:tcBorders>
            <w:noWrap w:val="0"/>
            <w:tcMar>
              <w:top w:w="15" w:type="dxa"/>
              <w:left w:w="15" w:type="dxa"/>
              <w:right w:w="15" w:type="dxa"/>
            </w:tcMar>
            <w:vAlign w:val="center"/>
          </w:tcPr>
          <w:p w14:paraId="10B5996E">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5</w:t>
            </w:r>
          </w:p>
        </w:tc>
        <w:tc>
          <w:tcPr>
            <w:tcW w:w="596" w:type="dxa"/>
            <w:tcBorders>
              <w:top w:val="nil"/>
              <w:left w:val="single" w:color="000000" w:sz="4" w:space="0"/>
              <w:right w:val="single" w:color="000000" w:sz="4" w:space="0"/>
            </w:tcBorders>
            <w:noWrap w:val="0"/>
            <w:tcMar>
              <w:top w:w="15" w:type="dxa"/>
              <w:left w:w="15" w:type="dxa"/>
              <w:right w:w="15" w:type="dxa"/>
            </w:tcMar>
            <w:vAlign w:val="center"/>
          </w:tcPr>
          <w:p w14:paraId="6E2B99B6">
            <w:pPr>
              <w:jc w:val="left"/>
              <w:rPr>
                <w:rFonts w:hint="eastAsia" w:ascii="宋体" w:hAnsi="宋体" w:eastAsia="宋体" w:cs="宋体"/>
                <w:color w:val="auto"/>
                <w:sz w:val="24"/>
                <w:szCs w:val="24"/>
                <w:highlight w:val="none"/>
              </w:rPr>
            </w:pPr>
          </w:p>
        </w:tc>
        <w:tc>
          <w:tcPr>
            <w:tcW w:w="1002" w:type="dxa"/>
            <w:tcBorders>
              <w:top w:val="nil"/>
              <w:left w:val="single" w:color="000000" w:sz="4" w:space="0"/>
              <w:right w:val="single" w:color="000000" w:sz="4" w:space="0"/>
            </w:tcBorders>
            <w:noWrap w:val="0"/>
            <w:tcMar>
              <w:top w:w="15" w:type="dxa"/>
              <w:left w:w="15" w:type="dxa"/>
              <w:right w:w="15" w:type="dxa"/>
            </w:tcMar>
            <w:vAlign w:val="center"/>
          </w:tcPr>
          <w:p w14:paraId="11C1DFFA">
            <w:pPr>
              <w:jc w:val="center"/>
              <w:rPr>
                <w:rFonts w:hint="eastAsia" w:ascii="宋体" w:hAnsi="宋体" w:eastAsia="宋体" w:cs="宋体"/>
                <w:color w:val="auto"/>
                <w:sz w:val="24"/>
                <w:szCs w:val="24"/>
                <w:highlight w:val="none"/>
              </w:rPr>
            </w:pPr>
          </w:p>
        </w:tc>
        <w:tc>
          <w:tcPr>
            <w:tcW w:w="3520" w:type="dxa"/>
            <w:tcBorders>
              <w:top w:val="nil"/>
              <w:left w:val="single" w:color="000000" w:sz="4" w:space="0"/>
              <w:right w:val="single" w:color="000000" w:sz="4" w:space="0"/>
            </w:tcBorders>
            <w:noWrap w:val="0"/>
            <w:tcMar>
              <w:top w:w="15" w:type="dxa"/>
              <w:left w:w="15" w:type="dxa"/>
              <w:right w:w="15" w:type="dxa"/>
            </w:tcMar>
            <w:vAlign w:val="center"/>
          </w:tcPr>
          <w:p w14:paraId="50C9A65F">
            <w:pPr>
              <w:keepNext w:val="0"/>
              <w:keepLines w:val="0"/>
              <w:pageBreakBefore w:val="0"/>
              <w:widowControl/>
              <w:kinsoku/>
              <w:wordWrap/>
              <w:overflowPunct/>
              <w:topLinePunct w:val="0"/>
              <w:autoSpaceDE/>
              <w:autoSpaceDN/>
              <w:bidi w:val="0"/>
              <w:adjustRightInd/>
              <w:snapToGrid/>
              <w:spacing w:line="30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有无由被审计单位支付或补贴住宿费、餐费；有无使用被审计单位的交通工具等办理与审计工作无关的事项；有无参加被审计单位安排的旅游、娱乐等活动；有无接受被审计单位的任何礼品；有无在被审计的单位报销任何费用；有无利用审计职权为自己和他人谋利；有无向被审计单位提出任何与审计工作无关的要求。违反审计纪律规定中任何一项的,一经查实，本项分值全部扣除</w:t>
            </w:r>
          </w:p>
        </w:tc>
      </w:tr>
      <w:tr w14:paraId="1C6E2307">
        <w:tblPrEx>
          <w:tblCellMar>
            <w:top w:w="0" w:type="dxa"/>
            <w:left w:w="0" w:type="dxa"/>
            <w:bottom w:w="0" w:type="dxa"/>
            <w:right w:w="0" w:type="dxa"/>
          </w:tblCellMar>
        </w:tblPrEx>
        <w:trPr>
          <w:trHeight w:val="90" w:hRule="atLeast"/>
          <w:jc w:val="center"/>
        </w:trPr>
        <w:tc>
          <w:tcPr>
            <w:tcW w:w="556"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8E72A4C">
            <w:pPr>
              <w:widowControl/>
              <w:jc w:val="center"/>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eastAsia="zh-CN" w:bidi="ar"/>
              </w:rPr>
              <w:t>十二</w:t>
            </w:r>
          </w:p>
        </w:tc>
        <w:tc>
          <w:tcPr>
            <w:tcW w:w="892"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8A556F4">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附加分事项</w:t>
            </w:r>
          </w:p>
        </w:tc>
        <w:tc>
          <w:tcPr>
            <w:tcW w:w="2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33C51C">
            <w:pPr>
              <w:keepNext w:val="0"/>
              <w:keepLines w:val="0"/>
              <w:pageBreakBefore w:val="0"/>
              <w:widowControl/>
              <w:kinsoku/>
              <w:wordWrap/>
              <w:overflowPunct/>
              <w:topLinePunct w:val="0"/>
              <w:autoSpaceDE/>
              <w:autoSpaceDN/>
              <w:bidi w:val="0"/>
              <w:adjustRightInd/>
              <w:snapToGrid/>
              <w:spacing w:line="400" w:lineRule="exact"/>
              <w:jc w:val="both"/>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1.因勘察、设计失误或不合理，可能造成损失浪费等问题，及时提出整改和加强管理的合理化建议</w:t>
            </w:r>
          </w:p>
        </w:tc>
        <w:tc>
          <w:tcPr>
            <w:tcW w:w="7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54DF539">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5</w:t>
            </w:r>
          </w:p>
        </w:tc>
        <w:tc>
          <w:tcPr>
            <w:tcW w:w="5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9206EB4">
            <w:pPr>
              <w:jc w:val="left"/>
              <w:rPr>
                <w:rFonts w:hint="eastAsia" w:ascii="宋体" w:hAnsi="宋体" w:eastAsia="宋体" w:cs="宋体"/>
                <w:color w:val="auto"/>
                <w:sz w:val="24"/>
                <w:szCs w:val="24"/>
                <w:highlight w:val="none"/>
              </w:rPr>
            </w:pPr>
          </w:p>
        </w:tc>
        <w:tc>
          <w:tcPr>
            <w:tcW w:w="1002"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0B5A9367">
            <w:pPr>
              <w:jc w:val="center"/>
              <w:rPr>
                <w:rFonts w:hint="eastAsia" w:ascii="宋体" w:hAnsi="宋体" w:eastAsia="宋体" w:cs="宋体"/>
                <w:color w:val="auto"/>
                <w:sz w:val="24"/>
                <w:szCs w:val="24"/>
                <w:highlight w:val="none"/>
              </w:rPr>
            </w:pPr>
          </w:p>
        </w:tc>
        <w:tc>
          <w:tcPr>
            <w:tcW w:w="3520" w:type="dxa"/>
            <w:vMerge w:val="restart"/>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66B5D95F">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每一项加分</w:t>
            </w: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bidi="ar"/>
              </w:rPr>
              <w:t>分，5分为上限</w:t>
            </w:r>
            <w:r>
              <w:rPr>
                <w:rFonts w:hint="eastAsia" w:ascii="宋体" w:hAnsi="宋体" w:eastAsia="宋体" w:cs="宋体"/>
                <w:color w:val="auto"/>
                <w:kern w:val="0"/>
                <w:sz w:val="21"/>
                <w:szCs w:val="21"/>
                <w:highlight w:val="none"/>
                <w:lang w:val="en-US" w:eastAsia="zh-CN" w:bidi="ar"/>
              </w:rPr>
              <w:t>.     确定附加分资料的认定需满足三点要求：（1）满足时效性（设计、地勘等问题的发现需在实施前，未按图施工等问题的发现需为监理未发现但跟审主动发现）；（2）提交建议或发出整改通知函等必需书面；（3）经委托人认可，工程科确认基本事实后由分管领导召集相关科室研究。</w:t>
            </w:r>
          </w:p>
        </w:tc>
      </w:tr>
      <w:tr w14:paraId="7C2D9AD8">
        <w:tblPrEx>
          <w:tblCellMar>
            <w:top w:w="0" w:type="dxa"/>
            <w:left w:w="0" w:type="dxa"/>
            <w:bottom w:w="0" w:type="dxa"/>
            <w:right w:w="0" w:type="dxa"/>
          </w:tblCellMar>
        </w:tblPrEx>
        <w:trPr>
          <w:trHeight w:val="579" w:hRule="atLeast"/>
          <w:jc w:val="center"/>
        </w:trPr>
        <w:tc>
          <w:tcPr>
            <w:tcW w:w="55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C6B816A">
            <w:pPr>
              <w:jc w:val="center"/>
              <w:rPr>
                <w:rFonts w:hint="eastAsia" w:ascii="宋体" w:hAnsi="宋体" w:eastAsia="宋体" w:cs="宋体"/>
                <w:color w:val="auto"/>
                <w:sz w:val="24"/>
                <w:szCs w:val="24"/>
                <w:highlight w:val="none"/>
              </w:rPr>
            </w:pPr>
          </w:p>
        </w:tc>
        <w:tc>
          <w:tcPr>
            <w:tcW w:w="89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BDB23D6">
            <w:pPr>
              <w:jc w:val="center"/>
              <w:rPr>
                <w:rFonts w:hint="eastAsia" w:ascii="宋体" w:hAnsi="宋体" w:eastAsia="宋体" w:cs="宋体"/>
                <w:color w:val="auto"/>
                <w:sz w:val="24"/>
                <w:szCs w:val="24"/>
                <w:highlight w:val="none"/>
              </w:rPr>
            </w:pPr>
          </w:p>
        </w:tc>
        <w:tc>
          <w:tcPr>
            <w:tcW w:w="2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4FAC15D">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2.</w:t>
            </w:r>
            <w:r>
              <w:rPr>
                <w:rFonts w:hint="eastAsia" w:ascii="宋体" w:hAnsi="宋体" w:eastAsia="宋体" w:cs="宋体"/>
                <w:color w:val="auto"/>
                <w:kern w:val="0"/>
                <w:sz w:val="24"/>
                <w:szCs w:val="24"/>
                <w:highlight w:val="none"/>
                <w:lang w:bidi="ar"/>
              </w:rPr>
              <w:t>现场发现实际施工与设计图纸不一致或与招投标清单特征描述不一致、工程质量不合格等问题并及时取证</w:t>
            </w:r>
          </w:p>
        </w:tc>
        <w:tc>
          <w:tcPr>
            <w:tcW w:w="7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CE74401">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5</w:t>
            </w:r>
          </w:p>
        </w:tc>
        <w:tc>
          <w:tcPr>
            <w:tcW w:w="5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17AC1A">
            <w:pPr>
              <w:jc w:val="left"/>
              <w:rPr>
                <w:rFonts w:hint="eastAsia" w:ascii="宋体" w:hAnsi="宋体" w:eastAsia="宋体" w:cs="宋体"/>
                <w:color w:val="auto"/>
                <w:sz w:val="24"/>
                <w:szCs w:val="24"/>
                <w:highlight w:val="none"/>
              </w:rPr>
            </w:pPr>
          </w:p>
        </w:tc>
        <w:tc>
          <w:tcPr>
            <w:tcW w:w="1002"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170F07BB">
            <w:pPr>
              <w:jc w:val="center"/>
              <w:rPr>
                <w:rFonts w:hint="eastAsia" w:ascii="宋体" w:hAnsi="宋体" w:eastAsia="宋体" w:cs="宋体"/>
                <w:color w:val="auto"/>
                <w:sz w:val="24"/>
                <w:szCs w:val="24"/>
                <w:highlight w:val="none"/>
              </w:rPr>
            </w:pPr>
          </w:p>
        </w:tc>
        <w:tc>
          <w:tcPr>
            <w:tcW w:w="3520"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4D4280D1">
            <w:pPr>
              <w:widowControl/>
              <w:jc w:val="left"/>
              <w:textAlignment w:val="center"/>
              <w:rPr>
                <w:rFonts w:hint="eastAsia" w:ascii="宋体" w:hAnsi="宋体" w:eastAsia="宋体" w:cs="宋体"/>
                <w:color w:val="auto"/>
                <w:sz w:val="21"/>
                <w:szCs w:val="21"/>
                <w:highlight w:val="none"/>
              </w:rPr>
            </w:pPr>
          </w:p>
        </w:tc>
      </w:tr>
      <w:tr w14:paraId="01A763FB">
        <w:tblPrEx>
          <w:tblCellMar>
            <w:top w:w="0" w:type="dxa"/>
            <w:left w:w="0" w:type="dxa"/>
            <w:bottom w:w="0" w:type="dxa"/>
            <w:right w:w="0" w:type="dxa"/>
          </w:tblCellMar>
        </w:tblPrEx>
        <w:trPr>
          <w:trHeight w:val="431" w:hRule="atLeast"/>
          <w:jc w:val="center"/>
        </w:trPr>
        <w:tc>
          <w:tcPr>
            <w:tcW w:w="55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A50E471">
            <w:pPr>
              <w:jc w:val="center"/>
              <w:rPr>
                <w:rFonts w:hint="eastAsia" w:ascii="宋体" w:hAnsi="宋体" w:eastAsia="宋体" w:cs="宋体"/>
                <w:color w:val="auto"/>
                <w:sz w:val="24"/>
                <w:szCs w:val="24"/>
                <w:highlight w:val="none"/>
              </w:rPr>
            </w:pPr>
          </w:p>
        </w:tc>
        <w:tc>
          <w:tcPr>
            <w:tcW w:w="89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FFC080A">
            <w:pPr>
              <w:jc w:val="center"/>
              <w:rPr>
                <w:rFonts w:hint="eastAsia" w:ascii="宋体" w:hAnsi="宋体" w:eastAsia="宋体" w:cs="宋体"/>
                <w:color w:val="auto"/>
                <w:sz w:val="24"/>
                <w:szCs w:val="24"/>
                <w:highlight w:val="none"/>
              </w:rPr>
            </w:pPr>
          </w:p>
        </w:tc>
        <w:tc>
          <w:tcPr>
            <w:tcW w:w="2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C302F3A">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3.</w:t>
            </w:r>
            <w:r>
              <w:rPr>
                <w:rFonts w:hint="eastAsia" w:ascii="宋体" w:hAnsi="宋体" w:eastAsia="宋体" w:cs="宋体"/>
                <w:color w:val="auto"/>
                <w:kern w:val="0"/>
                <w:sz w:val="24"/>
                <w:szCs w:val="24"/>
                <w:highlight w:val="none"/>
                <w:lang w:bidi="ar"/>
              </w:rPr>
              <w:t>暂定项目招标或其他采购方式价格明显异常，及时上报</w:t>
            </w:r>
          </w:p>
        </w:tc>
        <w:tc>
          <w:tcPr>
            <w:tcW w:w="7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77AA739">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5</w:t>
            </w:r>
          </w:p>
        </w:tc>
        <w:tc>
          <w:tcPr>
            <w:tcW w:w="5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83568E5">
            <w:pPr>
              <w:jc w:val="left"/>
              <w:rPr>
                <w:rFonts w:hint="eastAsia" w:ascii="宋体" w:hAnsi="宋体" w:eastAsia="宋体" w:cs="宋体"/>
                <w:color w:val="auto"/>
                <w:sz w:val="24"/>
                <w:szCs w:val="24"/>
                <w:highlight w:val="none"/>
              </w:rPr>
            </w:pPr>
          </w:p>
        </w:tc>
        <w:tc>
          <w:tcPr>
            <w:tcW w:w="1002"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4D8E826B">
            <w:pPr>
              <w:jc w:val="center"/>
              <w:rPr>
                <w:rFonts w:hint="eastAsia" w:ascii="宋体" w:hAnsi="宋体" w:eastAsia="宋体" w:cs="宋体"/>
                <w:color w:val="auto"/>
                <w:sz w:val="24"/>
                <w:szCs w:val="24"/>
                <w:highlight w:val="none"/>
              </w:rPr>
            </w:pPr>
          </w:p>
        </w:tc>
        <w:tc>
          <w:tcPr>
            <w:tcW w:w="3520"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0394F488">
            <w:pPr>
              <w:widowControl/>
              <w:jc w:val="left"/>
              <w:textAlignment w:val="center"/>
              <w:rPr>
                <w:rFonts w:hint="eastAsia" w:ascii="宋体" w:hAnsi="宋体" w:eastAsia="宋体" w:cs="宋体"/>
                <w:color w:val="auto"/>
                <w:sz w:val="21"/>
                <w:szCs w:val="21"/>
                <w:highlight w:val="none"/>
              </w:rPr>
            </w:pPr>
          </w:p>
        </w:tc>
      </w:tr>
      <w:tr w14:paraId="45D41641">
        <w:tblPrEx>
          <w:tblCellMar>
            <w:top w:w="0" w:type="dxa"/>
            <w:left w:w="0" w:type="dxa"/>
            <w:bottom w:w="0" w:type="dxa"/>
            <w:right w:w="0" w:type="dxa"/>
          </w:tblCellMar>
        </w:tblPrEx>
        <w:trPr>
          <w:trHeight w:val="228" w:hRule="atLeast"/>
          <w:jc w:val="center"/>
        </w:trPr>
        <w:tc>
          <w:tcPr>
            <w:tcW w:w="55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1F84F4A">
            <w:pPr>
              <w:jc w:val="center"/>
              <w:rPr>
                <w:rFonts w:hint="eastAsia" w:ascii="宋体" w:hAnsi="宋体" w:eastAsia="宋体" w:cs="宋体"/>
                <w:color w:val="auto"/>
                <w:sz w:val="24"/>
                <w:szCs w:val="24"/>
                <w:highlight w:val="none"/>
              </w:rPr>
            </w:pPr>
          </w:p>
        </w:tc>
        <w:tc>
          <w:tcPr>
            <w:tcW w:w="89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3E8EF9E">
            <w:pPr>
              <w:jc w:val="center"/>
              <w:rPr>
                <w:rFonts w:hint="eastAsia" w:ascii="宋体" w:hAnsi="宋体" w:eastAsia="宋体" w:cs="宋体"/>
                <w:color w:val="auto"/>
                <w:sz w:val="24"/>
                <w:szCs w:val="24"/>
                <w:highlight w:val="none"/>
              </w:rPr>
            </w:pPr>
          </w:p>
        </w:tc>
        <w:tc>
          <w:tcPr>
            <w:tcW w:w="2720"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14:paraId="5535799B">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4.</w:t>
            </w:r>
            <w:r>
              <w:rPr>
                <w:rFonts w:hint="eastAsia" w:ascii="宋体" w:hAnsi="宋体" w:eastAsia="宋体" w:cs="宋体"/>
                <w:color w:val="auto"/>
                <w:kern w:val="0"/>
                <w:sz w:val="24"/>
                <w:szCs w:val="24"/>
                <w:highlight w:val="none"/>
                <w:lang w:bidi="ar"/>
              </w:rPr>
              <w:t>发现并移交经济案件线索且被立案查处</w:t>
            </w:r>
          </w:p>
        </w:tc>
        <w:tc>
          <w:tcPr>
            <w:tcW w:w="712"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14:paraId="1802A08D">
            <w:pPr>
              <w:jc w:val="center"/>
              <w:rPr>
                <w:rFonts w:hint="eastAsia" w:ascii="宋体" w:hAnsi="宋体" w:eastAsia="宋体" w:cs="宋体"/>
                <w:color w:val="auto"/>
                <w:sz w:val="24"/>
                <w:szCs w:val="24"/>
                <w:highlight w:val="none"/>
              </w:rPr>
            </w:pPr>
          </w:p>
        </w:tc>
        <w:tc>
          <w:tcPr>
            <w:tcW w:w="596"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14:paraId="595479D5">
            <w:pPr>
              <w:jc w:val="left"/>
              <w:rPr>
                <w:rFonts w:hint="eastAsia" w:ascii="宋体" w:hAnsi="宋体" w:eastAsia="宋体" w:cs="宋体"/>
                <w:color w:val="auto"/>
                <w:sz w:val="24"/>
                <w:szCs w:val="24"/>
                <w:highlight w:val="none"/>
              </w:rPr>
            </w:pPr>
          </w:p>
        </w:tc>
        <w:tc>
          <w:tcPr>
            <w:tcW w:w="1002" w:type="dxa"/>
            <w:tcBorders>
              <w:top w:val="nil"/>
              <w:left w:val="single" w:color="000000" w:sz="4" w:space="0"/>
              <w:bottom w:val="single" w:color="000000" w:sz="4" w:space="0"/>
              <w:right w:val="single" w:color="auto" w:sz="4" w:space="0"/>
            </w:tcBorders>
            <w:noWrap w:val="0"/>
            <w:tcMar>
              <w:top w:w="15" w:type="dxa"/>
              <w:left w:w="15" w:type="dxa"/>
              <w:right w:w="15" w:type="dxa"/>
            </w:tcMar>
            <w:vAlign w:val="center"/>
          </w:tcPr>
          <w:p w14:paraId="2111ED40">
            <w:pPr>
              <w:jc w:val="left"/>
              <w:rPr>
                <w:rFonts w:hint="eastAsia" w:ascii="宋体" w:hAnsi="宋体" w:eastAsia="宋体" w:cs="宋体"/>
                <w:color w:val="auto"/>
                <w:sz w:val="24"/>
                <w:szCs w:val="24"/>
                <w:highlight w:val="none"/>
              </w:rPr>
            </w:pPr>
          </w:p>
        </w:tc>
        <w:tc>
          <w:tcPr>
            <w:tcW w:w="3520"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5E1304AE">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每件加5分</w:t>
            </w:r>
          </w:p>
        </w:tc>
      </w:tr>
      <w:tr w14:paraId="06788983">
        <w:tblPrEx>
          <w:tblCellMar>
            <w:top w:w="0" w:type="dxa"/>
            <w:left w:w="0" w:type="dxa"/>
            <w:bottom w:w="0" w:type="dxa"/>
            <w:right w:w="0" w:type="dxa"/>
          </w:tblCellMar>
        </w:tblPrEx>
        <w:trPr>
          <w:trHeight w:val="445" w:hRule="atLeast"/>
          <w:jc w:val="center"/>
        </w:trPr>
        <w:tc>
          <w:tcPr>
            <w:tcW w:w="4880"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682EC5C">
            <w:pPr>
              <w:widowControl/>
              <w:jc w:val="right"/>
              <w:textAlignment w:val="center"/>
              <w:rPr>
                <w:rFonts w:hint="eastAsia" w:ascii="宋体" w:hAnsi="宋体" w:eastAsia="宋体" w:cs="宋体"/>
                <w:b/>
                <w:color w:val="auto"/>
                <w:sz w:val="24"/>
                <w:szCs w:val="24"/>
                <w:highlight w:val="none"/>
              </w:rPr>
            </w:pPr>
            <w:r>
              <w:rPr>
                <w:rFonts w:hint="eastAsia" w:ascii="宋体" w:hAnsi="宋体" w:eastAsia="宋体" w:cs="宋体"/>
                <w:b/>
                <w:color w:val="auto"/>
                <w:kern w:val="0"/>
                <w:sz w:val="24"/>
                <w:szCs w:val="24"/>
                <w:highlight w:val="none"/>
                <w:lang w:bidi="ar"/>
              </w:rPr>
              <w:t>合计</w:t>
            </w:r>
          </w:p>
        </w:tc>
        <w:tc>
          <w:tcPr>
            <w:tcW w:w="5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05B62B2">
            <w:pPr>
              <w:jc w:val="left"/>
              <w:rPr>
                <w:rFonts w:hint="eastAsia" w:ascii="宋体" w:hAnsi="宋体" w:eastAsia="宋体" w:cs="宋体"/>
                <w:b/>
                <w:color w:val="auto"/>
                <w:sz w:val="24"/>
                <w:szCs w:val="24"/>
                <w:highlight w:val="none"/>
              </w:rPr>
            </w:pPr>
          </w:p>
        </w:tc>
        <w:tc>
          <w:tcPr>
            <w:tcW w:w="10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1560612">
            <w:pPr>
              <w:jc w:val="left"/>
              <w:rPr>
                <w:rFonts w:hint="eastAsia" w:ascii="宋体" w:hAnsi="宋体" w:eastAsia="宋体" w:cs="宋体"/>
                <w:b/>
                <w:color w:val="auto"/>
                <w:sz w:val="24"/>
                <w:szCs w:val="24"/>
                <w:highlight w:val="none"/>
              </w:rPr>
            </w:pPr>
          </w:p>
        </w:tc>
        <w:tc>
          <w:tcPr>
            <w:tcW w:w="3520" w:type="dxa"/>
            <w:tcBorders>
              <w:top w:val="single" w:color="auto"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BC521FD">
            <w:pPr>
              <w:jc w:val="left"/>
              <w:rPr>
                <w:rFonts w:hint="eastAsia" w:ascii="宋体" w:hAnsi="宋体" w:eastAsia="宋体" w:cs="宋体"/>
                <w:color w:val="auto"/>
                <w:sz w:val="24"/>
                <w:szCs w:val="24"/>
                <w:highlight w:val="none"/>
              </w:rPr>
            </w:pPr>
          </w:p>
        </w:tc>
      </w:tr>
      <w:tr w14:paraId="69155607">
        <w:tblPrEx>
          <w:tblCellMar>
            <w:top w:w="0" w:type="dxa"/>
            <w:left w:w="0" w:type="dxa"/>
            <w:bottom w:w="0" w:type="dxa"/>
            <w:right w:w="0" w:type="dxa"/>
          </w:tblCellMar>
        </w:tblPrEx>
        <w:trPr>
          <w:trHeight w:val="1005" w:hRule="atLeast"/>
          <w:jc w:val="center"/>
        </w:trPr>
        <w:tc>
          <w:tcPr>
            <w:tcW w:w="9998" w:type="dxa"/>
            <w:gridSpan w:val="7"/>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66E092E">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跟审</w:t>
            </w:r>
            <w:r>
              <w:rPr>
                <w:rFonts w:hint="eastAsia" w:ascii="宋体" w:hAnsi="宋体" w:eastAsia="宋体" w:cs="宋体"/>
                <w:color w:val="auto"/>
                <w:kern w:val="0"/>
                <w:sz w:val="24"/>
                <w:szCs w:val="24"/>
                <w:highlight w:val="none"/>
                <w:lang w:eastAsia="zh-CN" w:bidi="ar"/>
              </w:rPr>
              <w:t>企业</w:t>
            </w:r>
            <w:r>
              <w:rPr>
                <w:rFonts w:hint="eastAsia" w:ascii="宋体" w:hAnsi="宋体" w:eastAsia="宋体" w:cs="宋体"/>
                <w:color w:val="auto"/>
                <w:kern w:val="0"/>
                <w:sz w:val="24"/>
                <w:szCs w:val="24"/>
                <w:highlight w:val="none"/>
                <w:lang w:bidi="ar"/>
              </w:rPr>
              <w:t xml:space="preserve">签字：                   </w:t>
            </w:r>
            <w:r>
              <w:rPr>
                <w:rFonts w:hint="eastAsia" w:ascii="宋体" w:hAnsi="宋体" w:eastAsia="宋体" w:cs="宋体"/>
                <w:color w:val="auto"/>
                <w:kern w:val="0"/>
                <w:sz w:val="24"/>
                <w:szCs w:val="24"/>
                <w:highlight w:val="none"/>
                <w:lang w:eastAsia="zh-CN" w:bidi="ar"/>
              </w:rPr>
              <w:t>考核组</w:t>
            </w:r>
            <w:r>
              <w:rPr>
                <w:rFonts w:hint="eastAsia" w:ascii="宋体" w:hAnsi="宋体" w:eastAsia="宋体" w:cs="宋体"/>
                <w:color w:val="auto"/>
                <w:kern w:val="0"/>
                <w:sz w:val="24"/>
                <w:szCs w:val="24"/>
                <w:highlight w:val="none"/>
                <w:lang w:bidi="ar"/>
              </w:rPr>
              <w:t xml:space="preserve">签字 ：                  </w:t>
            </w:r>
            <w:r>
              <w:rPr>
                <w:rStyle w:val="153"/>
                <w:rFonts w:hint="eastAsia" w:ascii="宋体" w:hAnsi="宋体" w:eastAsia="宋体" w:cs="宋体"/>
                <w:color w:val="auto"/>
                <w:sz w:val="24"/>
                <w:szCs w:val="24"/>
                <w:highlight w:val="none"/>
                <w:lang w:bidi="ar"/>
              </w:rPr>
              <w:t xml:space="preserve">     </w:t>
            </w:r>
            <w:r>
              <w:rPr>
                <w:rStyle w:val="156"/>
                <w:rFonts w:hint="eastAsia" w:ascii="宋体" w:hAnsi="宋体" w:eastAsia="宋体" w:cs="宋体"/>
                <w:color w:val="auto"/>
                <w:sz w:val="24"/>
                <w:szCs w:val="24"/>
                <w:highlight w:val="none"/>
                <w:lang w:bidi="ar"/>
              </w:rPr>
              <w:t>年</w:t>
            </w:r>
            <w:r>
              <w:rPr>
                <w:rStyle w:val="153"/>
                <w:rFonts w:hint="eastAsia" w:ascii="宋体" w:hAnsi="宋体" w:eastAsia="宋体" w:cs="宋体"/>
                <w:color w:val="auto"/>
                <w:sz w:val="24"/>
                <w:szCs w:val="24"/>
                <w:highlight w:val="none"/>
                <w:lang w:bidi="ar"/>
              </w:rPr>
              <w:t xml:space="preserve"> </w:t>
            </w:r>
            <w:r>
              <w:rPr>
                <w:rStyle w:val="153"/>
                <w:rFonts w:hint="eastAsia" w:ascii="宋体" w:hAnsi="宋体" w:eastAsia="宋体" w:cs="宋体"/>
                <w:color w:val="auto"/>
                <w:sz w:val="24"/>
                <w:szCs w:val="24"/>
                <w:highlight w:val="none"/>
                <w:lang w:val="en-US" w:eastAsia="zh-CN" w:bidi="ar"/>
              </w:rPr>
              <w:t xml:space="preserve"> </w:t>
            </w:r>
            <w:r>
              <w:rPr>
                <w:rStyle w:val="153"/>
                <w:rFonts w:hint="eastAsia" w:ascii="宋体" w:hAnsi="宋体" w:eastAsia="宋体" w:cs="宋体"/>
                <w:color w:val="auto"/>
                <w:sz w:val="24"/>
                <w:szCs w:val="24"/>
                <w:highlight w:val="none"/>
                <w:lang w:bidi="ar"/>
              </w:rPr>
              <w:t xml:space="preserve">  </w:t>
            </w:r>
            <w:r>
              <w:rPr>
                <w:rStyle w:val="156"/>
                <w:rFonts w:hint="eastAsia" w:ascii="宋体" w:hAnsi="宋体" w:eastAsia="宋体" w:cs="宋体"/>
                <w:color w:val="auto"/>
                <w:sz w:val="24"/>
                <w:szCs w:val="24"/>
                <w:highlight w:val="none"/>
                <w:lang w:bidi="ar"/>
              </w:rPr>
              <w:t>月</w:t>
            </w:r>
            <w:r>
              <w:rPr>
                <w:rStyle w:val="153"/>
                <w:rFonts w:hint="eastAsia" w:ascii="宋体" w:hAnsi="宋体" w:eastAsia="宋体" w:cs="宋体"/>
                <w:color w:val="auto"/>
                <w:sz w:val="24"/>
                <w:szCs w:val="24"/>
                <w:highlight w:val="none"/>
                <w:lang w:bidi="ar"/>
              </w:rPr>
              <w:t xml:space="preserve"> </w:t>
            </w:r>
            <w:r>
              <w:rPr>
                <w:rStyle w:val="153"/>
                <w:rFonts w:hint="eastAsia" w:ascii="宋体" w:hAnsi="宋体" w:eastAsia="宋体" w:cs="宋体"/>
                <w:color w:val="auto"/>
                <w:sz w:val="24"/>
                <w:szCs w:val="24"/>
                <w:highlight w:val="none"/>
                <w:lang w:val="en-US" w:eastAsia="zh-CN" w:bidi="ar"/>
              </w:rPr>
              <w:t xml:space="preserve"> </w:t>
            </w:r>
            <w:r>
              <w:rPr>
                <w:rStyle w:val="153"/>
                <w:rFonts w:hint="eastAsia" w:ascii="宋体" w:hAnsi="宋体" w:eastAsia="宋体" w:cs="宋体"/>
                <w:color w:val="auto"/>
                <w:sz w:val="24"/>
                <w:szCs w:val="24"/>
                <w:highlight w:val="none"/>
                <w:lang w:bidi="ar"/>
              </w:rPr>
              <w:t xml:space="preserve">  </w:t>
            </w:r>
            <w:r>
              <w:rPr>
                <w:rStyle w:val="156"/>
                <w:rFonts w:hint="eastAsia" w:ascii="宋体" w:hAnsi="宋体" w:eastAsia="宋体" w:cs="宋体"/>
                <w:color w:val="auto"/>
                <w:sz w:val="24"/>
                <w:szCs w:val="24"/>
                <w:highlight w:val="none"/>
                <w:lang w:bidi="ar"/>
              </w:rPr>
              <w:t xml:space="preserve">日     </w:t>
            </w:r>
          </w:p>
        </w:tc>
      </w:tr>
    </w:tbl>
    <w:p w14:paraId="7CE4C063">
      <w:pPr>
        <w:pStyle w:val="44"/>
        <w:ind w:left="0" w:leftChars="0" w:firstLine="0" w:firstLineChars="0"/>
        <w:rPr>
          <w:rFonts w:hint="eastAsia" w:ascii="宋体" w:hAnsi="宋体" w:eastAsia="宋体" w:cs="宋体"/>
          <w:color w:val="auto"/>
          <w:sz w:val="32"/>
          <w:szCs w:val="32"/>
          <w:highlight w:val="none"/>
        </w:rPr>
      </w:pPr>
    </w:p>
    <w:p w14:paraId="5502A1D9">
      <w:pPr>
        <w:pStyle w:val="44"/>
        <w:ind w:left="0" w:leftChars="0" w:firstLine="0" w:firstLineChars="0"/>
        <w:rPr>
          <w:rFonts w:hint="eastAsia" w:ascii="宋体" w:hAnsi="宋体" w:eastAsia="宋体" w:cs="宋体"/>
          <w:color w:val="auto"/>
          <w:sz w:val="32"/>
          <w:szCs w:val="32"/>
          <w:highlight w:val="none"/>
        </w:rPr>
      </w:pPr>
    </w:p>
    <w:p w14:paraId="02443E0A">
      <w:pPr>
        <w:pStyle w:val="44"/>
        <w:ind w:left="0" w:leftChars="0" w:firstLine="0" w:firstLineChars="0"/>
        <w:rPr>
          <w:rFonts w:hint="eastAsia" w:ascii="宋体" w:hAnsi="宋体" w:eastAsia="宋体" w:cs="宋体"/>
          <w:color w:val="auto"/>
          <w:sz w:val="32"/>
          <w:szCs w:val="32"/>
          <w:highlight w:val="none"/>
        </w:rPr>
      </w:pPr>
    </w:p>
    <w:p w14:paraId="2033E274">
      <w:pPr>
        <w:pStyle w:val="44"/>
        <w:ind w:left="0" w:leftChars="0" w:firstLine="0" w:firstLineChars="0"/>
        <w:rPr>
          <w:rFonts w:hint="eastAsia" w:ascii="宋体" w:hAnsi="宋体" w:eastAsia="宋体" w:cs="宋体"/>
          <w:color w:val="auto"/>
          <w:highlight w:val="none"/>
        </w:rPr>
      </w:pPr>
      <w:r>
        <w:rPr>
          <w:rFonts w:hint="eastAsia" w:ascii="宋体" w:hAnsi="宋体" w:eastAsia="宋体" w:cs="宋体"/>
          <w:color w:val="auto"/>
          <w:sz w:val="32"/>
          <w:szCs w:val="32"/>
          <w:highlight w:val="none"/>
        </w:rPr>
        <w:t>附件</w:t>
      </w:r>
      <w:r>
        <w:rPr>
          <w:rFonts w:hint="eastAsia" w:ascii="宋体" w:hAnsi="宋体" w:eastAsia="宋体" w:cs="宋体"/>
          <w:color w:val="auto"/>
          <w:sz w:val="32"/>
          <w:szCs w:val="32"/>
          <w:highlight w:val="none"/>
          <w:lang w:val="en-US" w:eastAsia="zh-CN"/>
        </w:rPr>
        <w:t>3</w:t>
      </w:r>
      <w:r>
        <w:rPr>
          <w:rFonts w:hint="eastAsia" w:ascii="宋体" w:hAnsi="宋体" w:eastAsia="宋体" w:cs="宋体"/>
          <w:color w:val="auto"/>
          <w:sz w:val="32"/>
          <w:szCs w:val="32"/>
          <w:highlight w:val="none"/>
        </w:rPr>
        <w:t>：</w:t>
      </w:r>
    </w:p>
    <w:tbl>
      <w:tblPr>
        <w:tblStyle w:val="45"/>
        <w:tblW w:w="9998" w:type="dxa"/>
        <w:jc w:val="center"/>
        <w:tblLayout w:type="fixed"/>
        <w:tblCellMar>
          <w:top w:w="0" w:type="dxa"/>
          <w:left w:w="0" w:type="dxa"/>
          <w:bottom w:w="0" w:type="dxa"/>
          <w:right w:w="0" w:type="dxa"/>
        </w:tblCellMar>
      </w:tblPr>
      <w:tblGrid>
        <w:gridCol w:w="556"/>
        <w:gridCol w:w="1084"/>
        <w:gridCol w:w="2670"/>
        <w:gridCol w:w="570"/>
        <w:gridCol w:w="596"/>
        <w:gridCol w:w="927"/>
        <w:gridCol w:w="3595"/>
      </w:tblGrid>
      <w:tr w14:paraId="1F8C3683">
        <w:tblPrEx>
          <w:tblCellMar>
            <w:top w:w="0" w:type="dxa"/>
            <w:left w:w="0" w:type="dxa"/>
            <w:bottom w:w="0" w:type="dxa"/>
            <w:right w:w="0" w:type="dxa"/>
          </w:tblCellMar>
        </w:tblPrEx>
        <w:trPr>
          <w:trHeight w:val="435" w:hRule="atLeast"/>
          <w:jc w:val="center"/>
        </w:trPr>
        <w:tc>
          <w:tcPr>
            <w:tcW w:w="9998" w:type="dxa"/>
            <w:gridSpan w:val="7"/>
            <w:tcBorders>
              <w:top w:val="nil"/>
              <w:left w:val="nil"/>
              <w:bottom w:val="single" w:color="000000" w:sz="4" w:space="0"/>
              <w:right w:val="nil"/>
            </w:tcBorders>
            <w:noWrap w:val="0"/>
            <w:tcMar>
              <w:top w:w="15" w:type="dxa"/>
              <w:left w:w="15" w:type="dxa"/>
              <w:right w:w="15" w:type="dxa"/>
            </w:tcMar>
            <w:vAlign w:val="center"/>
          </w:tcPr>
          <w:p w14:paraId="41284645">
            <w:pPr>
              <w:widowControl/>
              <w:jc w:val="center"/>
              <w:textAlignment w:val="center"/>
              <w:rPr>
                <w:rFonts w:hint="eastAsia" w:ascii="宋体" w:hAnsi="宋体" w:eastAsia="宋体" w:cs="宋体"/>
                <w:b/>
                <w:color w:val="auto"/>
                <w:szCs w:val="32"/>
                <w:highlight w:val="none"/>
              </w:rPr>
            </w:pPr>
            <w:r>
              <w:rPr>
                <w:rStyle w:val="155"/>
                <w:rFonts w:hint="eastAsia" w:ascii="宋体" w:hAnsi="宋体" w:eastAsia="宋体" w:cs="宋体"/>
                <w:b w:val="0"/>
                <w:color w:val="auto"/>
                <w:highlight w:val="none"/>
                <w:u w:val="single"/>
              </w:rPr>
              <w:t xml:space="preserve">   </w:t>
            </w:r>
            <w:r>
              <w:rPr>
                <w:rStyle w:val="155"/>
                <w:rFonts w:hint="eastAsia" w:ascii="宋体" w:hAnsi="宋体" w:eastAsia="宋体" w:cs="宋体"/>
                <w:b w:val="0"/>
                <w:color w:val="auto"/>
                <w:highlight w:val="none"/>
                <w:u w:val="single"/>
                <w:lang w:val="en-US" w:eastAsia="zh-CN"/>
              </w:rPr>
              <w:t xml:space="preserve">                        </w:t>
            </w:r>
            <w:r>
              <w:rPr>
                <w:rStyle w:val="155"/>
                <w:rFonts w:hint="eastAsia" w:ascii="宋体" w:hAnsi="宋体" w:eastAsia="宋体" w:cs="宋体"/>
                <w:b w:val="0"/>
                <w:color w:val="auto"/>
                <w:highlight w:val="none"/>
              </w:rPr>
              <w:t>项目结算审</w:t>
            </w:r>
            <w:r>
              <w:rPr>
                <w:rStyle w:val="155"/>
                <w:rFonts w:hint="eastAsia" w:ascii="宋体" w:hAnsi="宋体" w:eastAsia="宋体" w:cs="宋体"/>
                <w:b w:val="0"/>
                <w:color w:val="auto"/>
                <w:highlight w:val="none"/>
                <w:lang w:eastAsia="zh-CN"/>
              </w:rPr>
              <w:t>（复）</w:t>
            </w:r>
            <w:r>
              <w:rPr>
                <w:rStyle w:val="155"/>
                <w:rFonts w:hint="eastAsia" w:ascii="宋体" w:hAnsi="宋体" w:eastAsia="宋体" w:cs="宋体"/>
                <w:b w:val="0"/>
                <w:color w:val="auto"/>
                <w:highlight w:val="none"/>
              </w:rPr>
              <w:t>核</w:t>
            </w:r>
            <w:r>
              <w:rPr>
                <w:rStyle w:val="155"/>
                <w:rFonts w:hint="eastAsia" w:ascii="宋体" w:hAnsi="宋体" w:eastAsia="宋体" w:cs="宋体"/>
                <w:b w:val="0"/>
                <w:color w:val="auto"/>
                <w:highlight w:val="none"/>
                <w:lang w:eastAsia="zh-CN"/>
              </w:rPr>
              <w:t>成果质量</w:t>
            </w:r>
            <w:r>
              <w:rPr>
                <w:rStyle w:val="155"/>
                <w:rFonts w:hint="eastAsia" w:ascii="宋体" w:hAnsi="宋体" w:eastAsia="宋体" w:cs="宋体"/>
                <w:b w:val="0"/>
                <w:color w:val="auto"/>
                <w:highlight w:val="none"/>
              </w:rPr>
              <w:t>考核表</w:t>
            </w:r>
          </w:p>
        </w:tc>
      </w:tr>
      <w:tr w14:paraId="1420C580">
        <w:tblPrEx>
          <w:tblCellMar>
            <w:top w:w="0" w:type="dxa"/>
            <w:left w:w="0" w:type="dxa"/>
            <w:bottom w:w="0" w:type="dxa"/>
            <w:right w:w="0" w:type="dxa"/>
          </w:tblCellMar>
        </w:tblPrEx>
        <w:trPr>
          <w:trHeight w:val="90" w:hRule="atLeast"/>
          <w:jc w:val="center"/>
        </w:trPr>
        <w:tc>
          <w:tcPr>
            <w:tcW w:w="5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BC939B8">
            <w:pPr>
              <w:widowControl/>
              <w:jc w:val="center"/>
              <w:textAlignment w:val="center"/>
              <w:rPr>
                <w:rFonts w:hint="eastAsia" w:ascii="宋体" w:hAnsi="宋体" w:eastAsia="宋体" w:cs="宋体"/>
                <w:b/>
                <w:color w:val="auto"/>
                <w:sz w:val="22"/>
                <w:szCs w:val="22"/>
                <w:highlight w:val="none"/>
                <w:lang w:eastAsia="zh-CN"/>
              </w:rPr>
            </w:pPr>
            <w:r>
              <w:rPr>
                <w:rFonts w:hint="eastAsia" w:ascii="宋体" w:hAnsi="宋体" w:eastAsia="宋体" w:cs="宋体"/>
                <w:b/>
                <w:color w:val="auto"/>
                <w:kern w:val="0"/>
                <w:sz w:val="22"/>
                <w:szCs w:val="22"/>
                <w:highlight w:val="none"/>
                <w:lang w:eastAsia="zh-CN"/>
              </w:rPr>
              <w:t>序号</w:t>
            </w:r>
          </w:p>
        </w:tc>
        <w:tc>
          <w:tcPr>
            <w:tcW w:w="108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F576E21">
            <w:pPr>
              <w:widowControl/>
              <w:jc w:val="center"/>
              <w:textAlignment w:val="center"/>
              <w:rPr>
                <w:rFonts w:hint="eastAsia" w:ascii="宋体" w:hAnsi="宋体" w:eastAsia="宋体" w:cs="宋体"/>
                <w:b/>
                <w:color w:val="auto"/>
                <w:sz w:val="22"/>
                <w:szCs w:val="22"/>
                <w:highlight w:val="none"/>
              </w:rPr>
            </w:pPr>
            <w:r>
              <w:rPr>
                <w:rFonts w:hint="eastAsia" w:ascii="宋体" w:hAnsi="宋体" w:eastAsia="宋体" w:cs="宋体"/>
                <w:b/>
                <w:color w:val="auto"/>
                <w:kern w:val="0"/>
                <w:sz w:val="22"/>
                <w:szCs w:val="22"/>
                <w:highlight w:val="none"/>
              </w:rPr>
              <w:t>指标</w:t>
            </w:r>
          </w:p>
        </w:tc>
        <w:tc>
          <w:tcPr>
            <w:tcW w:w="267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0D9F844">
            <w:pPr>
              <w:widowControl/>
              <w:jc w:val="center"/>
              <w:textAlignment w:val="center"/>
              <w:rPr>
                <w:rFonts w:hint="eastAsia" w:ascii="宋体" w:hAnsi="宋体" w:eastAsia="宋体" w:cs="宋体"/>
                <w:b/>
                <w:color w:val="auto"/>
                <w:sz w:val="22"/>
                <w:szCs w:val="22"/>
                <w:highlight w:val="none"/>
              </w:rPr>
            </w:pPr>
            <w:r>
              <w:rPr>
                <w:rFonts w:hint="eastAsia" w:ascii="宋体" w:hAnsi="宋体" w:eastAsia="宋体" w:cs="宋体"/>
                <w:b/>
                <w:color w:val="auto"/>
                <w:kern w:val="0"/>
                <w:sz w:val="22"/>
                <w:szCs w:val="22"/>
                <w:highlight w:val="none"/>
              </w:rPr>
              <w:t>内容</w:t>
            </w:r>
          </w:p>
        </w:tc>
        <w:tc>
          <w:tcPr>
            <w:tcW w:w="57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EA93B2C">
            <w:pPr>
              <w:widowControl/>
              <w:jc w:val="center"/>
              <w:textAlignment w:val="center"/>
              <w:rPr>
                <w:rFonts w:hint="eastAsia" w:ascii="宋体" w:hAnsi="宋体" w:eastAsia="宋体" w:cs="宋体"/>
                <w:b/>
                <w:color w:val="auto"/>
                <w:sz w:val="22"/>
                <w:szCs w:val="22"/>
                <w:highlight w:val="none"/>
              </w:rPr>
            </w:pPr>
            <w:r>
              <w:rPr>
                <w:rFonts w:hint="eastAsia" w:ascii="宋体" w:hAnsi="宋体" w:eastAsia="宋体" w:cs="宋体"/>
                <w:b/>
                <w:color w:val="auto"/>
                <w:kern w:val="0"/>
                <w:sz w:val="22"/>
                <w:szCs w:val="22"/>
                <w:highlight w:val="none"/>
              </w:rPr>
              <w:t>总分</w:t>
            </w:r>
          </w:p>
        </w:tc>
        <w:tc>
          <w:tcPr>
            <w:tcW w:w="5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8EEE19E">
            <w:pPr>
              <w:widowControl/>
              <w:jc w:val="center"/>
              <w:textAlignment w:val="center"/>
              <w:rPr>
                <w:rFonts w:hint="eastAsia" w:ascii="宋体" w:hAnsi="宋体" w:eastAsia="宋体" w:cs="宋体"/>
                <w:b/>
                <w:color w:val="auto"/>
                <w:sz w:val="22"/>
                <w:szCs w:val="22"/>
                <w:highlight w:val="none"/>
              </w:rPr>
            </w:pPr>
            <w:r>
              <w:rPr>
                <w:rFonts w:hint="eastAsia" w:ascii="宋体" w:hAnsi="宋体" w:eastAsia="宋体" w:cs="宋体"/>
                <w:b/>
                <w:color w:val="auto"/>
                <w:kern w:val="0"/>
                <w:sz w:val="22"/>
                <w:szCs w:val="22"/>
                <w:highlight w:val="none"/>
              </w:rPr>
              <w:t>得分</w:t>
            </w:r>
          </w:p>
        </w:tc>
        <w:tc>
          <w:tcPr>
            <w:tcW w:w="9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DFD18FE">
            <w:pPr>
              <w:widowControl/>
              <w:jc w:val="center"/>
              <w:textAlignment w:val="center"/>
              <w:rPr>
                <w:rFonts w:hint="eastAsia" w:ascii="宋体" w:hAnsi="宋体" w:eastAsia="宋体" w:cs="宋体"/>
                <w:b/>
                <w:color w:val="auto"/>
                <w:sz w:val="22"/>
                <w:szCs w:val="22"/>
                <w:highlight w:val="none"/>
              </w:rPr>
            </w:pPr>
            <w:r>
              <w:rPr>
                <w:rFonts w:hint="eastAsia" w:ascii="宋体" w:hAnsi="宋体" w:eastAsia="宋体" w:cs="宋体"/>
                <w:b/>
                <w:color w:val="auto"/>
                <w:kern w:val="0"/>
                <w:sz w:val="22"/>
                <w:szCs w:val="22"/>
                <w:highlight w:val="none"/>
              </w:rPr>
              <w:t>打分说明</w:t>
            </w:r>
          </w:p>
        </w:tc>
        <w:tc>
          <w:tcPr>
            <w:tcW w:w="35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56AEDAA">
            <w:pPr>
              <w:widowControl/>
              <w:jc w:val="center"/>
              <w:textAlignment w:val="center"/>
              <w:rPr>
                <w:rFonts w:hint="eastAsia" w:ascii="宋体" w:hAnsi="宋体" w:eastAsia="宋体" w:cs="宋体"/>
                <w:b/>
                <w:color w:val="auto"/>
                <w:sz w:val="22"/>
                <w:szCs w:val="22"/>
                <w:highlight w:val="none"/>
              </w:rPr>
            </w:pPr>
            <w:r>
              <w:rPr>
                <w:rFonts w:hint="eastAsia" w:ascii="宋体" w:hAnsi="宋体" w:eastAsia="宋体" w:cs="宋体"/>
                <w:b/>
                <w:color w:val="auto"/>
                <w:kern w:val="0"/>
                <w:sz w:val="22"/>
                <w:szCs w:val="22"/>
                <w:highlight w:val="none"/>
              </w:rPr>
              <w:t>备注</w:t>
            </w:r>
          </w:p>
        </w:tc>
      </w:tr>
      <w:tr w14:paraId="5B36570B">
        <w:tblPrEx>
          <w:tblCellMar>
            <w:top w:w="0" w:type="dxa"/>
            <w:left w:w="0" w:type="dxa"/>
            <w:bottom w:w="0" w:type="dxa"/>
            <w:right w:w="0" w:type="dxa"/>
          </w:tblCellMar>
        </w:tblPrEx>
        <w:trPr>
          <w:trHeight w:val="1200" w:hRule="atLeast"/>
          <w:jc w:val="center"/>
        </w:trPr>
        <w:tc>
          <w:tcPr>
            <w:tcW w:w="556" w:type="dxa"/>
            <w:vMerge w:val="restart"/>
            <w:tcBorders>
              <w:top w:val="single" w:color="000000" w:sz="4" w:space="0"/>
              <w:left w:val="single" w:color="000000" w:sz="4" w:space="0"/>
              <w:right w:val="single" w:color="000000" w:sz="4" w:space="0"/>
            </w:tcBorders>
            <w:noWrap w:val="0"/>
            <w:tcMar>
              <w:top w:w="15" w:type="dxa"/>
              <w:left w:w="15" w:type="dxa"/>
              <w:right w:w="15" w:type="dxa"/>
            </w:tcMar>
            <w:vAlign w:val="center"/>
          </w:tcPr>
          <w:p w14:paraId="1B399EAD">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一</w:t>
            </w:r>
          </w:p>
        </w:tc>
        <w:tc>
          <w:tcPr>
            <w:tcW w:w="1084" w:type="dxa"/>
            <w:vMerge w:val="restart"/>
            <w:tcBorders>
              <w:top w:val="single" w:color="000000" w:sz="4" w:space="0"/>
              <w:left w:val="single" w:color="000000" w:sz="4" w:space="0"/>
              <w:right w:val="single" w:color="000000" w:sz="4" w:space="0"/>
            </w:tcBorders>
            <w:noWrap w:val="0"/>
            <w:tcMar>
              <w:top w:w="15" w:type="dxa"/>
              <w:left w:w="15" w:type="dxa"/>
              <w:right w:w="15" w:type="dxa"/>
            </w:tcMar>
            <w:vAlign w:val="center"/>
          </w:tcPr>
          <w:p w14:paraId="717D51BD">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审核人员履职情况</w:t>
            </w:r>
          </w:p>
        </w:tc>
        <w:tc>
          <w:tcPr>
            <w:tcW w:w="267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3482638">
            <w:pPr>
              <w:widowControl/>
              <w:spacing w:line="400" w:lineRule="exact"/>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bidi="ar"/>
              </w:rPr>
              <w:t>人员能力是否具备胜任本项目需要</w:t>
            </w:r>
          </w:p>
        </w:tc>
        <w:tc>
          <w:tcPr>
            <w:tcW w:w="57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75C7A1A">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5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E732A5E">
            <w:pPr>
              <w:jc w:val="left"/>
              <w:rPr>
                <w:rFonts w:hint="eastAsia" w:ascii="宋体" w:hAnsi="宋体" w:eastAsia="宋体" w:cs="宋体"/>
                <w:color w:val="auto"/>
                <w:sz w:val="24"/>
                <w:szCs w:val="24"/>
                <w:highlight w:val="none"/>
              </w:rPr>
            </w:pPr>
          </w:p>
        </w:tc>
        <w:tc>
          <w:tcPr>
            <w:tcW w:w="9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105D68">
            <w:pPr>
              <w:jc w:val="left"/>
              <w:rPr>
                <w:rFonts w:hint="eastAsia" w:ascii="宋体" w:hAnsi="宋体" w:eastAsia="宋体" w:cs="宋体"/>
                <w:color w:val="auto"/>
                <w:sz w:val="24"/>
                <w:szCs w:val="24"/>
                <w:highlight w:val="none"/>
              </w:rPr>
            </w:pPr>
          </w:p>
        </w:tc>
        <w:tc>
          <w:tcPr>
            <w:tcW w:w="35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376A7F3">
            <w:pPr>
              <w:widowControl/>
              <w:spacing w:line="40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审核负责人、现场记录人员与任命文</w:t>
            </w:r>
            <w:r>
              <w:rPr>
                <w:rFonts w:hint="eastAsia" w:ascii="宋体" w:hAnsi="宋体" w:eastAsia="宋体" w:cs="宋体"/>
                <w:color w:val="auto"/>
                <w:kern w:val="0"/>
                <w:sz w:val="21"/>
                <w:szCs w:val="21"/>
                <w:highlight w:val="none"/>
                <w:lang w:eastAsia="zh-CN"/>
              </w:rPr>
              <w:t>（投标文件）</w:t>
            </w:r>
            <w:r>
              <w:rPr>
                <w:rFonts w:hint="eastAsia" w:ascii="宋体" w:hAnsi="宋体" w:eastAsia="宋体" w:cs="宋体"/>
                <w:color w:val="auto"/>
                <w:kern w:val="0"/>
                <w:sz w:val="21"/>
                <w:szCs w:val="21"/>
                <w:highlight w:val="none"/>
              </w:rPr>
              <w:t>是否一致，</w:t>
            </w:r>
            <w:r>
              <w:rPr>
                <w:rFonts w:hint="eastAsia" w:ascii="宋体" w:hAnsi="宋体" w:eastAsia="宋体" w:cs="宋体"/>
                <w:color w:val="auto"/>
                <w:kern w:val="0"/>
                <w:sz w:val="21"/>
                <w:szCs w:val="21"/>
                <w:highlight w:val="none"/>
                <w:lang w:eastAsia="zh-CN"/>
              </w:rPr>
              <w:t>若出现</w:t>
            </w:r>
            <w:r>
              <w:rPr>
                <w:rFonts w:hint="eastAsia" w:ascii="宋体" w:hAnsi="宋体" w:eastAsia="宋体" w:cs="宋体"/>
                <w:color w:val="auto"/>
                <w:sz w:val="21"/>
                <w:szCs w:val="21"/>
                <w:highlight w:val="none"/>
              </w:rPr>
              <w:t>不一致</w:t>
            </w:r>
            <w:r>
              <w:rPr>
                <w:rFonts w:hint="eastAsia" w:ascii="宋体" w:hAnsi="宋体" w:eastAsia="宋体" w:cs="宋体"/>
                <w:color w:val="auto"/>
                <w:sz w:val="21"/>
                <w:szCs w:val="21"/>
                <w:highlight w:val="none"/>
                <w:lang w:eastAsia="zh-CN"/>
              </w:rPr>
              <w:t>或</w:t>
            </w:r>
            <w:r>
              <w:rPr>
                <w:rFonts w:hint="eastAsia" w:ascii="宋体" w:hAnsi="宋体" w:eastAsia="宋体" w:cs="宋体"/>
                <w:color w:val="auto"/>
                <w:kern w:val="0"/>
                <w:sz w:val="21"/>
                <w:szCs w:val="21"/>
                <w:highlight w:val="none"/>
              </w:rPr>
              <w:t>冒名顶替情况</w:t>
            </w:r>
            <w:r>
              <w:rPr>
                <w:rFonts w:hint="eastAsia" w:ascii="宋体" w:hAnsi="宋体" w:eastAsia="宋体" w:cs="宋体"/>
                <w:color w:val="auto"/>
                <w:sz w:val="21"/>
                <w:szCs w:val="21"/>
                <w:highlight w:val="none"/>
              </w:rPr>
              <w:t>的，本项得0分。</w:t>
            </w:r>
          </w:p>
        </w:tc>
      </w:tr>
      <w:tr w14:paraId="72AD1C87">
        <w:tblPrEx>
          <w:tblCellMar>
            <w:top w:w="0" w:type="dxa"/>
            <w:left w:w="0" w:type="dxa"/>
            <w:bottom w:w="0" w:type="dxa"/>
            <w:right w:w="0" w:type="dxa"/>
          </w:tblCellMar>
        </w:tblPrEx>
        <w:trPr>
          <w:trHeight w:val="4451" w:hRule="atLeast"/>
          <w:jc w:val="center"/>
        </w:trPr>
        <w:tc>
          <w:tcPr>
            <w:tcW w:w="556" w:type="dxa"/>
            <w:vMerge w:val="continue"/>
            <w:tcBorders>
              <w:left w:val="single" w:color="000000" w:sz="4" w:space="0"/>
              <w:bottom w:val="single" w:color="auto" w:sz="4" w:space="0"/>
              <w:right w:val="single" w:color="000000" w:sz="4" w:space="0"/>
            </w:tcBorders>
            <w:noWrap w:val="0"/>
            <w:tcMar>
              <w:top w:w="15" w:type="dxa"/>
              <w:left w:w="15" w:type="dxa"/>
              <w:right w:w="15" w:type="dxa"/>
            </w:tcMar>
            <w:vAlign w:val="center"/>
          </w:tcPr>
          <w:p w14:paraId="06C2BC32">
            <w:pPr>
              <w:widowControl/>
              <w:jc w:val="center"/>
              <w:textAlignment w:val="center"/>
              <w:rPr>
                <w:rFonts w:hint="eastAsia" w:ascii="宋体" w:hAnsi="宋体" w:eastAsia="宋体" w:cs="宋体"/>
                <w:color w:val="auto"/>
                <w:kern w:val="0"/>
                <w:sz w:val="24"/>
                <w:szCs w:val="24"/>
                <w:highlight w:val="none"/>
              </w:rPr>
            </w:pPr>
          </w:p>
        </w:tc>
        <w:tc>
          <w:tcPr>
            <w:tcW w:w="1084" w:type="dxa"/>
            <w:vMerge w:val="continue"/>
            <w:tcBorders>
              <w:left w:val="single" w:color="000000" w:sz="4" w:space="0"/>
              <w:bottom w:val="single" w:color="auto" w:sz="4" w:space="0"/>
              <w:right w:val="single" w:color="000000" w:sz="4" w:space="0"/>
            </w:tcBorders>
            <w:noWrap w:val="0"/>
            <w:tcMar>
              <w:top w:w="15" w:type="dxa"/>
              <w:left w:w="15" w:type="dxa"/>
              <w:right w:w="15" w:type="dxa"/>
            </w:tcMar>
            <w:vAlign w:val="center"/>
          </w:tcPr>
          <w:p w14:paraId="1D15AF73">
            <w:pPr>
              <w:widowControl/>
              <w:jc w:val="center"/>
              <w:textAlignment w:val="center"/>
              <w:rPr>
                <w:rFonts w:hint="eastAsia" w:ascii="宋体" w:hAnsi="宋体" w:eastAsia="宋体" w:cs="宋体"/>
                <w:color w:val="auto"/>
                <w:kern w:val="0"/>
                <w:sz w:val="24"/>
                <w:szCs w:val="24"/>
                <w:highlight w:val="none"/>
              </w:rPr>
            </w:pPr>
          </w:p>
        </w:tc>
        <w:tc>
          <w:tcPr>
            <w:tcW w:w="2670"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715E4D65">
            <w:pPr>
              <w:widowControl/>
              <w:spacing w:line="40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2.是否按时限完成结算</w:t>
            </w:r>
          </w:p>
        </w:tc>
        <w:tc>
          <w:tcPr>
            <w:tcW w:w="57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525B125">
            <w:pPr>
              <w:widowControl/>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5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1019F4A">
            <w:pPr>
              <w:jc w:val="left"/>
              <w:rPr>
                <w:rFonts w:hint="eastAsia" w:ascii="宋体" w:hAnsi="宋体" w:eastAsia="宋体" w:cs="宋体"/>
                <w:color w:val="auto"/>
                <w:sz w:val="24"/>
                <w:szCs w:val="24"/>
                <w:highlight w:val="none"/>
              </w:rPr>
            </w:pPr>
          </w:p>
        </w:tc>
        <w:tc>
          <w:tcPr>
            <w:tcW w:w="9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1BC610E">
            <w:pPr>
              <w:jc w:val="left"/>
              <w:rPr>
                <w:rFonts w:hint="eastAsia" w:ascii="宋体" w:hAnsi="宋体" w:eastAsia="宋体" w:cs="宋体"/>
                <w:color w:val="auto"/>
                <w:sz w:val="24"/>
                <w:szCs w:val="24"/>
                <w:highlight w:val="none"/>
              </w:rPr>
            </w:pPr>
          </w:p>
        </w:tc>
        <w:tc>
          <w:tcPr>
            <w:tcW w:w="35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FD17F61">
            <w:pPr>
              <w:widowControl/>
              <w:spacing w:line="400" w:lineRule="exact"/>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结算审核单位</w:t>
            </w:r>
            <w:r>
              <w:rPr>
                <w:rFonts w:hint="eastAsia" w:ascii="宋体" w:hAnsi="宋体" w:eastAsia="宋体" w:cs="宋体"/>
                <w:color w:val="auto"/>
                <w:sz w:val="21"/>
                <w:szCs w:val="21"/>
                <w:highlight w:val="none"/>
              </w:rPr>
              <w:t>应在</w:t>
            </w:r>
            <w:r>
              <w:rPr>
                <w:rFonts w:hint="eastAsia" w:ascii="宋体" w:hAnsi="宋体" w:eastAsia="宋体" w:cs="宋体"/>
                <w:color w:val="auto"/>
                <w:sz w:val="21"/>
                <w:szCs w:val="21"/>
                <w:highlight w:val="none"/>
                <w:lang w:eastAsia="zh-CN"/>
              </w:rPr>
              <w:t>7</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lang w:eastAsia="zh-CN"/>
              </w:rPr>
              <w:t>5000</w:t>
            </w:r>
            <w:r>
              <w:rPr>
                <w:rFonts w:hint="eastAsia" w:ascii="宋体" w:hAnsi="宋体" w:eastAsia="宋体" w:cs="宋体"/>
                <w:color w:val="auto"/>
                <w:sz w:val="21"/>
                <w:szCs w:val="21"/>
                <w:highlight w:val="none"/>
              </w:rPr>
              <w:t>万以下）或</w:t>
            </w:r>
            <w:r>
              <w:rPr>
                <w:rFonts w:hint="eastAsia" w:ascii="宋体" w:hAnsi="宋体" w:eastAsia="宋体" w:cs="宋体"/>
                <w:color w:val="auto"/>
                <w:sz w:val="21"/>
                <w:szCs w:val="21"/>
                <w:highlight w:val="none"/>
                <w:lang w:eastAsia="zh-CN"/>
              </w:rPr>
              <w:t>10</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lang w:eastAsia="zh-CN"/>
              </w:rPr>
              <w:t>5000</w:t>
            </w:r>
            <w:r>
              <w:rPr>
                <w:rFonts w:hint="eastAsia" w:ascii="宋体" w:hAnsi="宋体" w:eastAsia="宋体" w:cs="宋体"/>
                <w:color w:val="auto"/>
                <w:sz w:val="21"/>
                <w:szCs w:val="21"/>
                <w:highlight w:val="none"/>
              </w:rPr>
              <w:t>万以上）内，对施工单位报送的项目结算资料进行完整性检查，一次性书面告知，限期补充齐全。造价在</w:t>
            </w:r>
            <w:r>
              <w:rPr>
                <w:rFonts w:hint="eastAsia" w:ascii="宋体" w:hAnsi="宋体" w:eastAsia="宋体" w:cs="宋体"/>
                <w:color w:val="auto"/>
                <w:sz w:val="21"/>
                <w:szCs w:val="21"/>
                <w:highlight w:val="none"/>
                <w:lang w:eastAsia="zh-CN"/>
              </w:rPr>
              <w:t>500</w:t>
            </w:r>
            <w:r>
              <w:rPr>
                <w:rFonts w:hint="eastAsia" w:ascii="宋体" w:hAnsi="宋体" w:eastAsia="宋体" w:cs="宋体"/>
                <w:color w:val="auto"/>
                <w:sz w:val="21"/>
                <w:szCs w:val="21"/>
                <w:highlight w:val="none"/>
              </w:rPr>
              <w:t>万元以下、</w:t>
            </w:r>
            <w:r>
              <w:rPr>
                <w:rFonts w:hint="eastAsia" w:ascii="宋体" w:hAnsi="宋体" w:eastAsia="宋体" w:cs="宋体"/>
                <w:color w:val="auto"/>
                <w:sz w:val="21"/>
                <w:szCs w:val="21"/>
                <w:highlight w:val="none"/>
                <w:lang w:eastAsia="zh-CN"/>
              </w:rPr>
              <w:t>500</w:t>
            </w:r>
            <w:r>
              <w:rPr>
                <w:rFonts w:hint="eastAsia" w:ascii="宋体" w:hAnsi="宋体" w:eastAsia="宋体" w:cs="宋体"/>
                <w:color w:val="auto"/>
                <w:sz w:val="21"/>
                <w:szCs w:val="21"/>
                <w:highlight w:val="none"/>
              </w:rPr>
              <w:t>万元-</w:t>
            </w:r>
            <w:r>
              <w:rPr>
                <w:rFonts w:hint="eastAsia" w:ascii="宋体" w:hAnsi="宋体" w:eastAsia="宋体" w:cs="宋体"/>
                <w:color w:val="auto"/>
                <w:sz w:val="21"/>
                <w:szCs w:val="21"/>
                <w:highlight w:val="none"/>
                <w:lang w:eastAsia="zh-CN"/>
              </w:rPr>
              <w:t>2000</w:t>
            </w:r>
            <w:r>
              <w:rPr>
                <w:rFonts w:hint="eastAsia" w:ascii="宋体" w:hAnsi="宋体" w:eastAsia="宋体" w:cs="宋体"/>
                <w:color w:val="auto"/>
                <w:sz w:val="21"/>
                <w:szCs w:val="21"/>
                <w:highlight w:val="none"/>
              </w:rPr>
              <w:t>万元、</w:t>
            </w:r>
            <w:r>
              <w:rPr>
                <w:rFonts w:hint="eastAsia" w:ascii="宋体" w:hAnsi="宋体" w:eastAsia="宋体" w:cs="宋体"/>
                <w:color w:val="auto"/>
                <w:sz w:val="21"/>
                <w:szCs w:val="21"/>
                <w:highlight w:val="none"/>
                <w:lang w:eastAsia="zh-CN"/>
              </w:rPr>
              <w:t>2000</w:t>
            </w:r>
            <w:r>
              <w:rPr>
                <w:rFonts w:hint="eastAsia" w:ascii="宋体" w:hAnsi="宋体" w:eastAsia="宋体" w:cs="宋体"/>
                <w:color w:val="auto"/>
                <w:sz w:val="21"/>
                <w:szCs w:val="21"/>
                <w:highlight w:val="none"/>
              </w:rPr>
              <w:t>万元-</w:t>
            </w:r>
            <w:r>
              <w:rPr>
                <w:rFonts w:hint="eastAsia" w:ascii="宋体" w:hAnsi="宋体" w:eastAsia="宋体" w:cs="宋体"/>
                <w:color w:val="auto"/>
                <w:sz w:val="21"/>
                <w:szCs w:val="21"/>
                <w:highlight w:val="none"/>
                <w:lang w:eastAsia="zh-CN"/>
              </w:rPr>
              <w:t>5000</w:t>
            </w:r>
            <w:r>
              <w:rPr>
                <w:rFonts w:hint="eastAsia" w:ascii="宋体" w:hAnsi="宋体" w:eastAsia="宋体" w:cs="宋体"/>
                <w:color w:val="auto"/>
                <w:sz w:val="21"/>
                <w:szCs w:val="21"/>
                <w:highlight w:val="none"/>
              </w:rPr>
              <w:t>万元、</w:t>
            </w:r>
            <w:r>
              <w:rPr>
                <w:rFonts w:hint="eastAsia" w:ascii="宋体" w:hAnsi="宋体" w:eastAsia="宋体" w:cs="宋体"/>
                <w:color w:val="auto"/>
                <w:sz w:val="21"/>
                <w:szCs w:val="21"/>
                <w:highlight w:val="none"/>
                <w:lang w:eastAsia="zh-CN"/>
              </w:rPr>
              <w:t>5000</w:t>
            </w:r>
            <w:r>
              <w:rPr>
                <w:rFonts w:hint="eastAsia" w:ascii="宋体" w:hAnsi="宋体" w:eastAsia="宋体" w:cs="宋体"/>
                <w:color w:val="auto"/>
                <w:sz w:val="21"/>
                <w:szCs w:val="21"/>
                <w:highlight w:val="none"/>
              </w:rPr>
              <w:t>万元以上的单项工程，应</w:t>
            </w:r>
            <w:r>
              <w:rPr>
                <w:rFonts w:hint="eastAsia" w:ascii="宋体" w:hAnsi="宋体" w:eastAsia="宋体" w:cs="宋体"/>
                <w:color w:val="auto"/>
                <w:sz w:val="21"/>
                <w:szCs w:val="21"/>
                <w:highlight w:val="none"/>
                <w:lang w:eastAsia="zh-CN"/>
              </w:rPr>
              <w:t>分别</w:t>
            </w:r>
            <w:r>
              <w:rPr>
                <w:rFonts w:hint="eastAsia" w:ascii="宋体" w:hAnsi="宋体" w:eastAsia="宋体" w:cs="宋体"/>
                <w:color w:val="auto"/>
                <w:sz w:val="21"/>
                <w:szCs w:val="21"/>
                <w:highlight w:val="none"/>
              </w:rPr>
              <w:t>在施工单位报送的项目结算资料完整</w:t>
            </w:r>
            <w:r>
              <w:rPr>
                <w:rFonts w:hint="eastAsia" w:ascii="宋体" w:hAnsi="宋体" w:eastAsia="宋体" w:cs="宋体"/>
                <w:color w:val="auto"/>
                <w:sz w:val="21"/>
                <w:szCs w:val="21"/>
                <w:highlight w:val="none"/>
                <w:lang w:eastAsia="zh-CN"/>
              </w:rPr>
              <w:t>后的20</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lang w:eastAsia="zh-CN"/>
              </w:rPr>
              <w:t>30</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lang w:eastAsia="zh-CN"/>
              </w:rPr>
              <w:t>45</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lang w:eastAsia="zh-CN"/>
              </w:rPr>
              <w:t>60</w:t>
            </w:r>
            <w:r>
              <w:rPr>
                <w:rFonts w:hint="eastAsia" w:ascii="宋体" w:hAnsi="宋体" w:eastAsia="宋体" w:cs="宋体"/>
                <w:color w:val="auto"/>
                <w:sz w:val="21"/>
                <w:szCs w:val="21"/>
                <w:highlight w:val="none"/>
              </w:rPr>
              <w:t>日内完成，并出具审核报告。</w:t>
            </w:r>
            <w:r>
              <w:rPr>
                <w:rStyle w:val="152"/>
                <w:rFonts w:hint="eastAsia" w:ascii="宋体" w:hAnsi="宋体" w:eastAsia="宋体" w:cs="宋体"/>
                <w:color w:val="auto"/>
                <w:sz w:val="21"/>
                <w:szCs w:val="21"/>
                <w:highlight w:val="none"/>
                <w:lang w:eastAsia="zh-CN" w:bidi="ar"/>
              </w:rPr>
              <w:t>每延误</w:t>
            </w:r>
            <w:r>
              <w:rPr>
                <w:rStyle w:val="152"/>
                <w:rFonts w:hint="eastAsia" w:ascii="宋体" w:hAnsi="宋体" w:eastAsia="宋体" w:cs="宋体"/>
                <w:color w:val="auto"/>
                <w:sz w:val="21"/>
                <w:szCs w:val="21"/>
                <w:highlight w:val="none"/>
                <w:lang w:val="en-US" w:eastAsia="zh-CN" w:bidi="ar"/>
              </w:rPr>
              <w:t>5</w:t>
            </w:r>
            <w:r>
              <w:rPr>
                <w:rStyle w:val="152"/>
                <w:rFonts w:hint="eastAsia" w:ascii="宋体" w:hAnsi="宋体" w:eastAsia="宋体" w:cs="宋体"/>
                <w:color w:val="auto"/>
                <w:sz w:val="21"/>
                <w:szCs w:val="21"/>
                <w:highlight w:val="none"/>
                <w:lang w:eastAsia="zh-CN" w:bidi="ar"/>
              </w:rPr>
              <w:t>天扣</w:t>
            </w:r>
            <w:r>
              <w:rPr>
                <w:rStyle w:val="152"/>
                <w:rFonts w:hint="eastAsia" w:ascii="宋体" w:hAnsi="宋体" w:eastAsia="宋体" w:cs="宋体"/>
                <w:color w:val="auto"/>
                <w:sz w:val="21"/>
                <w:szCs w:val="21"/>
                <w:highlight w:val="none"/>
                <w:lang w:val="en-US" w:eastAsia="zh-CN" w:bidi="ar"/>
              </w:rPr>
              <w:t>1分，扣完为止。（本项业主代表参与打分）</w:t>
            </w:r>
          </w:p>
        </w:tc>
      </w:tr>
      <w:tr w14:paraId="165D19A2">
        <w:tblPrEx>
          <w:tblCellMar>
            <w:top w:w="0" w:type="dxa"/>
            <w:left w:w="0" w:type="dxa"/>
            <w:bottom w:w="0" w:type="dxa"/>
            <w:right w:w="0" w:type="dxa"/>
          </w:tblCellMar>
        </w:tblPrEx>
        <w:trPr>
          <w:trHeight w:val="90" w:hRule="atLeast"/>
          <w:jc w:val="center"/>
        </w:trPr>
        <w:tc>
          <w:tcPr>
            <w:tcW w:w="556" w:type="dxa"/>
            <w:vMerge w:val="restart"/>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5038005A">
            <w:pPr>
              <w:widowControl/>
              <w:jc w:val="center"/>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eastAsia="zh-CN"/>
              </w:rPr>
              <w:t>二</w:t>
            </w:r>
          </w:p>
        </w:tc>
        <w:tc>
          <w:tcPr>
            <w:tcW w:w="1084" w:type="dxa"/>
            <w:vMerge w:val="restart"/>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4697AEA5">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eastAsia="zh-CN"/>
              </w:rPr>
              <w:t>结算</w:t>
            </w:r>
            <w:r>
              <w:rPr>
                <w:rFonts w:hint="eastAsia" w:ascii="宋体" w:hAnsi="宋体" w:eastAsia="宋体" w:cs="宋体"/>
                <w:color w:val="auto"/>
                <w:kern w:val="0"/>
                <w:sz w:val="24"/>
                <w:szCs w:val="24"/>
                <w:highlight w:val="none"/>
              </w:rPr>
              <w:t>资料完整性</w:t>
            </w:r>
          </w:p>
        </w:tc>
        <w:tc>
          <w:tcPr>
            <w:tcW w:w="2670"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710FE267">
            <w:pPr>
              <w:widowControl/>
              <w:spacing w:line="400" w:lineRule="exact"/>
              <w:jc w:val="both"/>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资料是否齐全</w:t>
            </w:r>
          </w:p>
        </w:tc>
        <w:tc>
          <w:tcPr>
            <w:tcW w:w="570"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4104C7B3">
            <w:pPr>
              <w:widowControl/>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rPr>
              <w:t>10</w:t>
            </w:r>
          </w:p>
        </w:tc>
        <w:tc>
          <w:tcPr>
            <w:tcW w:w="5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8DA17CE">
            <w:pPr>
              <w:jc w:val="center"/>
              <w:rPr>
                <w:rFonts w:hint="eastAsia" w:ascii="宋体" w:hAnsi="宋体" w:eastAsia="宋体" w:cs="宋体"/>
                <w:color w:val="auto"/>
                <w:sz w:val="24"/>
                <w:szCs w:val="24"/>
                <w:highlight w:val="none"/>
              </w:rPr>
            </w:pPr>
          </w:p>
        </w:tc>
        <w:tc>
          <w:tcPr>
            <w:tcW w:w="9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854A0F7">
            <w:pPr>
              <w:jc w:val="center"/>
              <w:rPr>
                <w:rFonts w:hint="eastAsia" w:ascii="宋体" w:hAnsi="宋体" w:eastAsia="宋体" w:cs="宋体"/>
                <w:color w:val="auto"/>
                <w:sz w:val="24"/>
                <w:szCs w:val="24"/>
                <w:highlight w:val="none"/>
              </w:rPr>
            </w:pPr>
          </w:p>
        </w:tc>
        <w:tc>
          <w:tcPr>
            <w:tcW w:w="35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A73F3FA">
            <w:pPr>
              <w:widowControl/>
              <w:spacing w:line="400" w:lineRule="exact"/>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招标文件</w:t>
            </w:r>
            <w:r>
              <w:rPr>
                <w:rFonts w:hint="eastAsia" w:ascii="宋体" w:hAnsi="宋体" w:eastAsia="宋体" w:cs="宋体"/>
                <w:color w:val="auto"/>
                <w:sz w:val="21"/>
                <w:szCs w:val="21"/>
                <w:highlight w:val="none"/>
                <w:lang w:eastAsia="zh-CN"/>
              </w:rPr>
              <w:t>、工程量清单及</w:t>
            </w:r>
            <w:r>
              <w:rPr>
                <w:rFonts w:hint="eastAsia" w:ascii="宋体" w:hAnsi="宋体" w:eastAsia="宋体" w:cs="宋体"/>
                <w:color w:val="auto"/>
                <w:sz w:val="21"/>
                <w:szCs w:val="21"/>
                <w:highlight w:val="none"/>
              </w:rPr>
              <w:t>最高投标限价、投标文件、施工合同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工程计量单、第三方测量报告</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现场计录单、影像资料、变更申请表、会议纪要、工期延期审批报告、竣工图纸、竣工验收报告、竣工结算报告书、项目移交资料等资料是否齐全。每少一</w:t>
            </w:r>
            <w:r>
              <w:rPr>
                <w:rFonts w:hint="eastAsia" w:ascii="宋体" w:hAnsi="宋体" w:eastAsia="宋体" w:cs="宋体"/>
                <w:color w:val="auto"/>
                <w:sz w:val="21"/>
                <w:szCs w:val="21"/>
                <w:highlight w:val="none"/>
                <w:lang w:eastAsia="zh-CN"/>
              </w:rPr>
              <w:t>项</w:t>
            </w:r>
            <w:r>
              <w:rPr>
                <w:rFonts w:hint="eastAsia" w:ascii="宋体" w:hAnsi="宋体" w:eastAsia="宋体" w:cs="宋体"/>
                <w:color w:val="auto"/>
                <w:sz w:val="21"/>
                <w:szCs w:val="21"/>
                <w:highlight w:val="none"/>
              </w:rPr>
              <w:t>资料扣1分，扣完为止</w:t>
            </w:r>
            <w:r>
              <w:rPr>
                <w:rFonts w:hint="eastAsia" w:ascii="宋体" w:hAnsi="宋体" w:eastAsia="宋体" w:cs="宋体"/>
                <w:color w:val="auto"/>
                <w:sz w:val="21"/>
                <w:szCs w:val="21"/>
                <w:highlight w:val="none"/>
                <w:lang w:eastAsia="zh-CN"/>
              </w:rPr>
              <w:t>，资料不齐全的酌情扣分</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（本项第三方复审单位未尽检查提醒义务的予以扣分）</w:t>
            </w:r>
          </w:p>
        </w:tc>
      </w:tr>
      <w:tr w14:paraId="4B1AB370">
        <w:tblPrEx>
          <w:tblCellMar>
            <w:top w:w="0" w:type="dxa"/>
            <w:left w:w="0" w:type="dxa"/>
            <w:bottom w:w="0" w:type="dxa"/>
            <w:right w:w="0" w:type="dxa"/>
          </w:tblCellMar>
        </w:tblPrEx>
        <w:trPr>
          <w:trHeight w:val="3175" w:hRule="atLeast"/>
          <w:jc w:val="center"/>
        </w:trPr>
        <w:tc>
          <w:tcPr>
            <w:tcW w:w="556" w:type="dxa"/>
            <w:vMerge w:val="continue"/>
            <w:tcBorders>
              <w:top w:val="single" w:color="auto"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29DC7C44">
            <w:pPr>
              <w:jc w:val="center"/>
              <w:rPr>
                <w:rFonts w:hint="eastAsia" w:ascii="宋体" w:hAnsi="宋体" w:eastAsia="宋体" w:cs="宋体"/>
                <w:color w:val="auto"/>
                <w:sz w:val="24"/>
                <w:szCs w:val="24"/>
                <w:highlight w:val="none"/>
              </w:rPr>
            </w:pPr>
          </w:p>
        </w:tc>
        <w:tc>
          <w:tcPr>
            <w:tcW w:w="1084" w:type="dxa"/>
            <w:vMerge w:val="continue"/>
            <w:tcBorders>
              <w:top w:val="single" w:color="auto"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1C57692">
            <w:pPr>
              <w:jc w:val="center"/>
              <w:rPr>
                <w:rFonts w:hint="eastAsia" w:ascii="宋体" w:hAnsi="宋体" w:eastAsia="宋体" w:cs="宋体"/>
                <w:color w:val="auto"/>
                <w:sz w:val="24"/>
                <w:szCs w:val="24"/>
                <w:highlight w:val="none"/>
              </w:rPr>
            </w:pPr>
          </w:p>
        </w:tc>
        <w:tc>
          <w:tcPr>
            <w:tcW w:w="2670" w:type="dxa"/>
            <w:tcBorders>
              <w:top w:val="single" w:color="auto"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FC36762">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结算</w:t>
            </w:r>
            <w:r>
              <w:rPr>
                <w:rFonts w:hint="eastAsia" w:ascii="宋体" w:hAnsi="宋体" w:eastAsia="宋体" w:cs="宋体"/>
                <w:color w:val="auto"/>
                <w:sz w:val="24"/>
                <w:szCs w:val="24"/>
                <w:highlight w:val="none"/>
              </w:rPr>
              <w:t xml:space="preserve">资料是否装订整齐 </w:t>
            </w:r>
          </w:p>
        </w:tc>
        <w:tc>
          <w:tcPr>
            <w:tcW w:w="57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DE56E3D">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p>
        </w:tc>
        <w:tc>
          <w:tcPr>
            <w:tcW w:w="5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85236CF">
            <w:pPr>
              <w:jc w:val="center"/>
              <w:rPr>
                <w:rFonts w:hint="eastAsia" w:ascii="宋体" w:hAnsi="宋体" w:eastAsia="宋体" w:cs="宋体"/>
                <w:color w:val="auto"/>
                <w:sz w:val="24"/>
                <w:szCs w:val="24"/>
                <w:highlight w:val="none"/>
              </w:rPr>
            </w:pPr>
          </w:p>
        </w:tc>
        <w:tc>
          <w:tcPr>
            <w:tcW w:w="9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53D4C6D">
            <w:pPr>
              <w:jc w:val="center"/>
              <w:rPr>
                <w:rFonts w:hint="eastAsia" w:ascii="宋体" w:hAnsi="宋体" w:eastAsia="宋体" w:cs="宋体"/>
                <w:color w:val="auto"/>
                <w:sz w:val="24"/>
                <w:szCs w:val="24"/>
                <w:highlight w:val="none"/>
              </w:rPr>
            </w:pPr>
          </w:p>
        </w:tc>
        <w:tc>
          <w:tcPr>
            <w:tcW w:w="35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EE51E99">
            <w:pPr>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计量资料有目录、编码，</w:t>
            </w:r>
            <w:r>
              <w:rPr>
                <w:rFonts w:hint="eastAsia" w:ascii="宋体" w:hAnsi="宋体" w:eastAsia="宋体" w:cs="宋体"/>
                <w:color w:val="auto"/>
                <w:sz w:val="21"/>
                <w:szCs w:val="21"/>
                <w:highlight w:val="none"/>
              </w:rPr>
              <w:t>工程计量单、现场记录单、影像</w:t>
            </w:r>
            <w:r>
              <w:rPr>
                <w:rFonts w:hint="eastAsia" w:ascii="宋体" w:hAnsi="宋体" w:eastAsia="宋体" w:cs="宋体"/>
                <w:color w:val="auto"/>
                <w:sz w:val="21"/>
                <w:szCs w:val="21"/>
                <w:highlight w:val="none"/>
                <w:lang w:eastAsia="zh-CN"/>
              </w:rPr>
              <w:t>资料需一一对应，变更资料中</w:t>
            </w:r>
            <w:r>
              <w:rPr>
                <w:rFonts w:hint="eastAsia" w:ascii="宋体" w:hAnsi="宋体" w:eastAsia="宋体" w:cs="宋体"/>
                <w:color w:val="auto"/>
                <w:sz w:val="21"/>
                <w:szCs w:val="21"/>
                <w:highlight w:val="none"/>
              </w:rPr>
              <w:t>变更申请表、会议纪要、联系单、计量单、现场记录、影像资料</w:t>
            </w:r>
            <w:r>
              <w:rPr>
                <w:rFonts w:hint="eastAsia" w:ascii="宋体" w:hAnsi="宋体" w:eastAsia="宋体" w:cs="宋体"/>
                <w:color w:val="auto"/>
                <w:sz w:val="21"/>
                <w:szCs w:val="21"/>
                <w:highlight w:val="none"/>
                <w:lang w:eastAsia="zh-CN"/>
              </w:rPr>
              <w:t>需一一对应，</w:t>
            </w:r>
            <w:r>
              <w:rPr>
                <w:rFonts w:hint="eastAsia" w:ascii="宋体" w:hAnsi="宋体" w:eastAsia="宋体" w:cs="宋体"/>
                <w:color w:val="auto"/>
                <w:sz w:val="21"/>
                <w:szCs w:val="21"/>
                <w:highlight w:val="none"/>
              </w:rPr>
              <w:t>根据资料装订情况，差</w:t>
            </w:r>
            <w:r>
              <w:rPr>
                <w:rFonts w:hint="eastAsia" w:ascii="宋体" w:hAnsi="宋体" w:eastAsia="宋体" w:cs="宋体"/>
                <w:color w:val="auto"/>
                <w:kern w:val="0"/>
                <w:sz w:val="21"/>
                <w:szCs w:val="21"/>
                <w:highlight w:val="none"/>
              </w:rPr>
              <w:t>0分、一般</w:t>
            </w:r>
            <w:r>
              <w:rPr>
                <w:rFonts w:hint="eastAsia" w:ascii="宋体" w:hAnsi="宋体" w:eastAsia="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rPr>
              <w:t>分、较好</w:t>
            </w: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分，很好</w:t>
            </w:r>
            <w:r>
              <w:rPr>
                <w:rFonts w:hint="eastAsia" w:ascii="宋体" w:hAnsi="宋体" w:eastAsia="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rPr>
              <w:t>分</w:t>
            </w:r>
            <w:r>
              <w:rPr>
                <w:rFonts w:hint="eastAsia" w:ascii="宋体" w:hAnsi="宋体" w:eastAsia="宋体" w:cs="宋体"/>
                <w:color w:val="auto"/>
                <w:sz w:val="21"/>
                <w:szCs w:val="21"/>
                <w:highlight w:val="none"/>
                <w:lang w:eastAsia="zh-CN"/>
              </w:rPr>
              <w:t>（本项第三方复审单位未尽检查提醒义务的予以扣分）</w:t>
            </w:r>
          </w:p>
        </w:tc>
      </w:tr>
      <w:tr w14:paraId="0AFE7976">
        <w:tblPrEx>
          <w:tblCellMar>
            <w:top w:w="0" w:type="dxa"/>
            <w:left w:w="0" w:type="dxa"/>
            <w:bottom w:w="0" w:type="dxa"/>
            <w:right w:w="0" w:type="dxa"/>
          </w:tblCellMar>
        </w:tblPrEx>
        <w:trPr>
          <w:trHeight w:val="1202" w:hRule="atLeast"/>
          <w:jc w:val="center"/>
        </w:trPr>
        <w:tc>
          <w:tcPr>
            <w:tcW w:w="556" w:type="dxa"/>
            <w:vMerge w:val="restart"/>
            <w:tcBorders>
              <w:top w:val="single" w:color="000000" w:sz="4" w:space="0"/>
              <w:left w:val="single" w:color="000000" w:sz="4" w:space="0"/>
              <w:right w:val="single" w:color="000000" w:sz="4" w:space="0"/>
            </w:tcBorders>
            <w:noWrap w:val="0"/>
            <w:tcMar>
              <w:top w:w="15" w:type="dxa"/>
              <w:left w:w="15" w:type="dxa"/>
              <w:right w:w="15" w:type="dxa"/>
            </w:tcMar>
            <w:vAlign w:val="center"/>
          </w:tcPr>
          <w:p w14:paraId="026ADCCF">
            <w:pPr>
              <w:widowControl/>
              <w:jc w:val="center"/>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eastAsia="zh-CN"/>
              </w:rPr>
              <w:t>三</w:t>
            </w:r>
          </w:p>
        </w:tc>
        <w:tc>
          <w:tcPr>
            <w:tcW w:w="1084" w:type="dxa"/>
            <w:vMerge w:val="restart"/>
            <w:tcBorders>
              <w:top w:val="single" w:color="000000" w:sz="4" w:space="0"/>
              <w:left w:val="single" w:color="000000" w:sz="4" w:space="0"/>
              <w:right w:val="single" w:color="000000" w:sz="4" w:space="0"/>
            </w:tcBorders>
            <w:noWrap w:val="0"/>
            <w:tcMar>
              <w:top w:w="15" w:type="dxa"/>
              <w:left w:w="15" w:type="dxa"/>
              <w:right w:w="15" w:type="dxa"/>
            </w:tcMar>
            <w:vAlign w:val="center"/>
          </w:tcPr>
          <w:p w14:paraId="5A31911D">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工程计量</w:t>
            </w:r>
          </w:p>
        </w:tc>
        <w:tc>
          <w:tcPr>
            <w:tcW w:w="267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BF878FB">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1.签字盖章是否齐全</w:t>
            </w:r>
            <w:r>
              <w:rPr>
                <w:rFonts w:hint="eastAsia" w:ascii="宋体" w:hAnsi="宋体" w:eastAsia="宋体" w:cs="宋体"/>
                <w:color w:val="auto"/>
                <w:sz w:val="24"/>
                <w:szCs w:val="24"/>
                <w:highlight w:val="none"/>
              </w:rPr>
              <w:t xml:space="preserve"> </w:t>
            </w:r>
          </w:p>
        </w:tc>
        <w:tc>
          <w:tcPr>
            <w:tcW w:w="57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A4DD7A7">
            <w:pPr>
              <w:widowControl/>
              <w:jc w:val="center"/>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p>
        </w:tc>
        <w:tc>
          <w:tcPr>
            <w:tcW w:w="5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8D6B6FB">
            <w:pPr>
              <w:jc w:val="left"/>
              <w:rPr>
                <w:rFonts w:hint="eastAsia" w:ascii="宋体" w:hAnsi="宋体" w:eastAsia="宋体" w:cs="宋体"/>
                <w:color w:val="auto"/>
                <w:sz w:val="24"/>
                <w:szCs w:val="24"/>
                <w:highlight w:val="none"/>
              </w:rPr>
            </w:pPr>
          </w:p>
        </w:tc>
        <w:tc>
          <w:tcPr>
            <w:tcW w:w="9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4301EB3">
            <w:pPr>
              <w:jc w:val="left"/>
              <w:rPr>
                <w:rFonts w:hint="eastAsia" w:ascii="宋体" w:hAnsi="宋体" w:eastAsia="宋体" w:cs="宋体"/>
                <w:color w:val="auto"/>
                <w:sz w:val="24"/>
                <w:szCs w:val="24"/>
                <w:highlight w:val="none"/>
              </w:rPr>
            </w:pPr>
          </w:p>
        </w:tc>
        <w:tc>
          <w:tcPr>
            <w:tcW w:w="35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C6CAEC6">
            <w:pPr>
              <w:spacing w:line="4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缺少签字盖章的，每</w:t>
            </w:r>
            <w:r>
              <w:rPr>
                <w:rFonts w:hint="eastAsia" w:ascii="宋体" w:hAnsi="宋体" w:eastAsia="宋体" w:cs="宋体"/>
                <w:color w:val="auto"/>
                <w:sz w:val="21"/>
                <w:szCs w:val="21"/>
                <w:highlight w:val="none"/>
                <w:lang w:eastAsia="zh-CN"/>
              </w:rPr>
              <w:t>处</w:t>
            </w:r>
            <w:r>
              <w:rPr>
                <w:rFonts w:hint="eastAsia" w:ascii="宋体" w:hAnsi="宋体" w:eastAsia="宋体" w:cs="宋体"/>
                <w:color w:val="auto"/>
                <w:sz w:val="21"/>
                <w:szCs w:val="21"/>
                <w:highlight w:val="none"/>
              </w:rPr>
              <w:t>扣1分，扣完为止。</w:t>
            </w:r>
            <w:r>
              <w:rPr>
                <w:rFonts w:hint="eastAsia" w:ascii="宋体" w:hAnsi="宋体" w:eastAsia="宋体" w:cs="宋体"/>
                <w:color w:val="auto"/>
                <w:sz w:val="21"/>
                <w:szCs w:val="21"/>
                <w:highlight w:val="none"/>
                <w:lang w:eastAsia="zh-CN"/>
              </w:rPr>
              <w:t>（本项第三方复审单位未尽检查提醒义务的予以扣分）</w:t>
            </w:r>
          </w:p>
        </w:tc>
      </w:tr>
      <w:tr w14:paraId="729718A5">
        <w:tblPrEx>
          <w:tblCellMar>
            <w:top w:w="0" w:type="dxa"/>
            <w:left w:w="0" w:type="dxa"/>
            <w:bottom w:w="0" w:type="dxa"/>
            <w:right w:w="0" w:type="dxa"/>
          </w:tblCellMar>
        </w:tblPrEx>
        <w:trPr>
          <w:trHeight w:val="1616" w:hRule="atLeast"/>
          <w:jc w:val="center"/>
        </w:trPr>
        <w:tc>
          <w:tcPr>
            <w:tcW w:w="556" w:type="dxa"/>
            <w:vMerge w:val="continue"/>
            <w:tcBorders>
              <w:left w:val="single" w:color="000000" w:sz="4" w:space="0"/>
              <w:right w:val="single" w:color="000000" w:sz="4" w:space="0"/>
            </w:tcBorders>
            <w:noWrap w:val="0"/>
            <w:tcMar>
              <w:top w:w="15" w:type="dxa"/>
              <w:left w:w="15" w:type="dxa"/>
              <w:right w:w="15" w:type="dxa"/>
            </w:tcMar>
            <w:vAlign w:val="center"/>
          </w:tcPr>
          <w:p w14:paraId="673D0F69">
            <w:pPr>
              <w:jc w:val="center"/>
              <w:rPr>
                <w:rFonts w:hint="eastAsia" w:ascii="宋体" w:hAnsi="宋体" w:eastAsia="宋体" w:cs="宋体"/>
                <w:color w:val="auto"/>
                <w:sz w:val="24"/>
                <w:szCs w:val="24"/>
                <w:highlight w:val="none"/>
              </w:rPr>
            </w:pPr>
          </w:p>
        </w:tc>
        <w:tc>
          <w:tcPr>
            <w:tcW w:w="1084" w:type="dxa"/>
            <w:vMerge w:val="continue"/>
            <w:tcBorders>
              <w:left w:val="single" w:color="000000" w:sz="4" w:space="0"/>
              <w:right w:val="single" w:color="000000" w:sz="4" w:space="0"/>
            </w:tcBorders>
            <w:noWrap w:val="0"/>
            <w:tcMar>
              <w:top w:w="15" w:type="dxa"/>
              <w:left w:w="15" w:type="dxa"/>
              <w:right w:w="15" w:type="dxa"/>
            </w:tcMar>
            <w:vAlign w:val="center"/>
          </w:tcPr>
          <w:p w14:paraId="66EFA812">
            <w:pPr>
              <w:jc w:val="center"/>
              <w:rPr>
                <w:rFonts w:hint="eastAsia" w:ascii="宋体" w:hAnsi="宋体" w:eastAsia="宋体" w:cs="宋体"/>
                <w:color w:val="auto"/>
                <w:sz w:val="24"/>
                <w:szCs w:val="24"/>
                <w:highlight w:val="none"/>
              </w:rPr>
            </w:pPr>
          </w:p>
        </w:tc>
        <w:tc>
          <w:tcPr>
            <w:tcW w:w="267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8725BD7">
            <w:pPr>
              <w:widowControl/>
              <w:spacing w:line="400" w:lineRule="exact"/>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sz w:val="24"/>
                <w:szCs w:val="24"/>
                <w:highlight w:val="none"/>
              </w:rPr>
              <w:t xml:space="preserve"> 合同内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合同外工程量是否计量</w:t>
            </w:r>
          </w:p>
        </w:tc>
        <w:tc>
          <w:tcPr>
            <w:tcW w:w="57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A19F94E">
            <w:pPr>
              <w:widowControl/>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5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AD79B35">
            <w:pPr>
              <w:jc w:val="left"/>
              <w:rPr>
                <w:rFonts w:hint="eastAsia" w:ascii="宋体" w:hAnsi="宋体" w:eastAsia="宋体" w:cs="宋体"/>
                <w:color w:val="auto"/>
                <w:sz w:val="24"/>
                <w:szCs w:val="24"/>
                <w:highlight w:val="none"/>
              </w:rPr>
            </w:pPr>
          </w:p>
        </w:tc>
        <w:tc>
          <w:tcPr>
            <w:tcW w:w="9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11D598">
            <w:pPr>
              <w:jc w:val="left"/>
              <w:rPr>
                <w:rFonts w:hint="eastAsia" w:ascii="宋体" w:hAnsi="宋体" w:eastAsia="宋体" w:cs="宋体"/>
                <w:color w:val="auto"/>
                <w:sz w:val="24"/>
                <w:szCs w:val="24"/>
                <w:highlight w:val="none"/>
              </w:rPr>
            </w:pPr>
          </w:p>
        </w:tc>
        <w:tc>
          <w:tcPr>
            <w:tcW w:w="35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3192654">
            <w:pPr>
              <w:spacing w:line="4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结算审核报告中的分项工程，若存在无计量情况，每个扣1分，扣完为止。</w:t>
            </w:r>
            <w:r>
              <w:rPr>
                <w:rFonts w:hint="eastAsia" w:ascii="宋体" w:hAnsi="宋体" w:eastAsia="宋体" w:cs="宋体"/>
                <w:color w:val="auto"/>
                <w:sz w:val="21"/>
                <w:szCs w:val="21"/>
                <w:highlight w:val="none"/>
                <w:lang w:eastAsia="zh-CN"/>
              </w:rPr>
              <w:t>（本项第三方复审单位未尽检查提醒义务的予以扣分）</w:t>
            </w:r>
          </w:p>
        </w:tc>
      </w:tr>
      <w:tr w14:paraId="5A8296A3">
        <w:tblPrEx>
          <w:tblCellMar>
            <w:top w:w="0" w:type="dxa"/>
            <w:left w:w="0" w:type="dxa"/>
            <w:bottom w:w="0" w:type="dxa"/>
            <w:right w:w="0" w:type="dxa"/>
          </w:tblCellMar>
        </w:tblPrEx>
        <w:trPr>
          <w:trHeight w:val="1356" w:hRule="atLeast"/>
          <w:jc w:val="center"/>
        </w:trPr>
        <w:tc>
          <w:tcPr>
            <w:tcW w:w="556" w:type="dxa"/>
            <w:vMerge w:val="continue"/>
            <w:tcBorders>
              <w:left w:val="single" w:color="000000" w:sz="4" w:space="0"/>
              <w:right w:val="single" w:color="000000" w:sz="4" w:space="0"/>
            </w:tcBorders>
            <w:noWrap w:val="0"/>
            <w:tcMar>
              <w:top w:w="15" w:type="dxa"/>
              <w:left w:w="15" w:type="dxa"/>
              <w:right w:w="15" w:type="dxa"/>
            </w:tcMar>
            <w:vAlign w:val="center"/>
          </w:tcPr>
          <w:p w14:paraId="7E4E957F">
            <w:pPr>
              <w:jc w:val="center"/>
              <w:rPr>
                <w:rFonts w:hint="eastAsia" w:ascii="宋体" w:hAnsi="宋体" w:eastAsia="宋体" w:cs="宋体"/>
                <w:color w:val="auto"/>
                <w:sz w:val="24"/>
                <w:szCs w:val="24"/>
                <w:highlight w:val="none"/>
              </w:rPr>
            </w:pPr>
          </w:p>
        </w:tc>
        <w:tc>
          <w:tcPr>
            <w:tcW w:w="1084" w:type="dxa"/>
            <w:vMerge w:val="continue"/>
            <w:tcBorders>
              <w:left w:val="single" w:color="000000" w:sz="4" w:space="0"/>
              <w:right w:val="single" w:color="000000" w:sz="4" w:space="0"/>
            </w:tcBorders>
            <w:noWrap w:val="0"/>
            <w:tcMar>
              <w:top w:w="15" w:type="dxa"/>
              <w:left w:w="15" w:type="dxa"/>
              <w:right w:w="15" w:type="dxa"/>
            </w:tcMar>
            <w:vAlign w:val="center"/>
          </w:tcPr>
          <w:p w14:paraId="6D7DD900">
            <w:pPr>
              <w:jc w:val="center"/>
              <w:rPr>
                <w:rFonts w:hint="eastAsia" w:ascii="宋体" w:hAnsi="宋体" w:eastAsia="宋体" w:cs="宋体"/>
                <w:color w:val="auto"/>
                <w:sz w:val="24"/>
                <w:szCs w:val="24"/>
                <w:highlight w:val="none"/>
              </w:rPr>
            </w:pPr>
          </w:p>
        </w:tc>
        <w:tc>
          <w:tcPr>
            <w:tcW w:w="267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3FE432A">
            <w:pPr>
              <w:widowControl/>
              <w:spacing w:line="400" w:lineRule="exact"/>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、计量</w:t>
            </w:r>
            <w:r>
              <w:rPr>
                <w:rFonts w:hint="eastAsia" w:ascii="宋体" w:hAnsi="宋体" w:eastAsia="宋体" w:cs="宋体"/>
                <w:color w:val="auto"/>
                <w:kern w:val="0"/>
                <w:sz w:val="24"/>
                <w:szCs w:val="24"/>
                <w:highlight w:val="none"/>
                <w:lang w:eastAsia="zh-CN"/>
              </w:rPr>
              <w:t>单格式、内容</w:t>
            </w:r>
            <w:r>
              <w:rPr>
                <w:rFonts w:hint="eastAsia" w:ascii="宋体" w:hAnsi="宋体" w:eastAsia="宋体" w:cs="宋体"/>
                <w:color w:val="auto"/>
                <w:kern w:val="0"/>
                <w:sz w:val="24"/>
                <w:szCs w:val="24"/>
                <w:highlight w:val="none"/>
              </w:rPr>
              <w:t>是否规范</w:t>
            </w:r>
          </w:p>
        </w:tc>
        <w:tc>
          <w:tcPr>
            <w:tcW w:w="57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7151CB7">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5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5AAC9F2">
            <w:pPr>
              <w:jc w:val="left"/>
              <w:rPr>
                <w:rFonts w:hint="eastAsia" w:ascii="宋体" w:hAnsi="宋体" w:eastAsia="宋体" w:cs="宋体"/>
                <w:color w:val="auto"/>
                <w:sz w:val="24"/>
                <w:szCs w:val="24"/>
                <w:highlight w:val="none"/>
              </w:rPr>
            </w:pPr>
          </w:p>
        </w:tc>
        <w:tc>
          <w:tcPr>
            <w:tcW w:w="9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8EF4C01">
            <w:pPr>
              <w:jc w:val="left"/>
              <w:rPr>
                <w:rFonts w:hint="eastAsia" w:ascii="宋体" w:hAnsi="宋体" w:eastAsia="宋体" w:cs="宋体"/>
                <w:color w:val="auto"/>
                <w:sz w:val="24"/>
                <w:szCs w:val="24"/>
                <w:highlight w:val="none"/>
              </w:rPr>
            </w:pPr>
          </w:p>
        </w:tc>
        <w:tc>
          <w:tcPr>
            <w:tcW w:w="35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B728578">
            <w:pPr>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eastAsia="zh-CN"/>
              </w:rPr>
              <w:t>计量单需按我处格式执行，</w:t>
            </w:r>
            <w:r>
              <w:rPr>
                <w:rFonts w:hint="eastAsia" w:ascii="宋体" w:hAnsi="宋体" w:eastAsia="宋体" w:cs="宋体"/>
                <w:color w:val="auto"/>
                <w:kern w:val="0"/>
                <w:sz w:val="21"/>
                <w:szCs w:val="21"/>
                <w:highlight w:val="none"/>
              </w:rPr>
              <w:t>如存在应请第三方测量的项目，而由现场四方计量情况的</w:t>
            </w:r>
            <w:r>
              <w:rPr>
                <w:rFonts w:hint="eastAsia" w:ascii="宋体" w:hAnsi="宋体" w:eastAsia="宋体" w:cs="宋体"/>
                <w:color w:val="auto"/>
                <w:sz w:val="21"/>
                <w:szCs w:val="21"/>
                <w:highlight w:val="none"/>
              </w:rPr>
              <w:t>，每起扣1分，扣完为止。</w:t>
            </w:r>
            <w:r>
              <w:rPr>
                <w:rFonts w:hint="eastAsia" w:ascii="宋体" w:hAnsi="宋体" w:eastAsia="宋体" w:cs="宋体"/>
                <w:color w:val="auto"/>
                <w:sz w:val="21"/>
                <w:szCs w:val="21"/>
                <w:highlight w:val="none"/>
                <w:lang w:eastAsia="zh-CN"/>
              </w:rPr>
              <w:t>（本项第三方复审单位未尽检查提醒义务的予以扣分）</w:t>
            </w:r>
          </w:p>
        </w:tc>
      </w:tr>
      <w:tr w14:paraId="5CAF6541">
        <w:tblPrEx>
          <w:tblCellMar>
            <w:top w:w="0" w:type="dxa"/>
            <w:left w:w="0" w:type="dxa"/>
            <w:bottom w:w="0" w:type="dxa"/>
            <w:right w:w="0" w:type="dxa"/>
          </w:tblCellMar>
        </w:tblPrEx>
        <w:trPr>
          <w:trHeight w:val="1664" w:hRule="atLeast"/>
          <w:jc w:val="center"/>
        </w:trPr>
        <w:tc>
          <w:tcPr>
            <w:tcW w:w="556" w:type="dxa"/>
            <w:vMerge w:val="continue"/>
            <w:tcBorders>
              <w:left w:val="single" w:color="000000" w:sz="4" w:space="0"/>
              <w:bottom w:val="single" w:color="000000" w:sz="4" w:space="0"/>
              <w:right w:val="single" w:color="000000" w:sz="4" w:space="0"/>
            </w:tcBorders>
            <w:noWrap w:val="0"/>
            <w:tcMar>
              <w:top w:w="15" w:type="dxa"/>
              <w:left w:w="15" w:type="dxa"/>
              <w:right w:w="15" w:type="dxa"/>
            </w:tcMar>
            <w:vAlign w:val="center"/>
          </w:tcPr>
          <w:p w14:paraId="6155D564">
            <w:pPr>
              <w:widowControl/>
              <w:jc w:val="center"/>
              <w:textAlignment w:val="center"/>
              <w:rPr>
                <w:rFonts w:hint="eastAsia" w:ascii="宋体" w:hAnsi="宋体" w:eastAsia="宋体" w:cs="宋体"/>
                <w:color w:val="auto"/>
                <w:sz w:val="24"/>
                <w:szCs w:val="24"/>
                <w:highlight w:val="none"/>
              </w:rPr>
            </w:pPr>
          </w:p>
        </w:tc>
        <w:tc>
          <w:tcPr>
            <w:tcW w:w="1084" w:type="dxa"/>
            <w:vMerge w:val="continue"/>
            <w:tcBorders>
              <w:left w:val="single" w:color="000000" w:sz="4" w:space="0"/>
              <w:bottom w:val="single" w:color="000000" w:sz="4" w:space="0"/>
              <w:right w:val="single" w:color="000000" w:sz="4" w:space="0"/>
            </w:tcBorders>
            <w:noWrap w:val="0"/>
            <w:tcMar>
              <w:top w:w="15" w:type="dxa"/>
              <w:left w:w="15" w:type="dxa"/>
              <w:right w:w="15" w:type="dxa"/>
            </w:tcMar>
            <w:vAlign w:val="center"/>
          </w:tcPr>
          <w:p w14:paraId="2085478F">
            <w:pPr>
              <w:widowControl/>
              <w:jc w:val="center"/>
              <w:textAlignment w:val="center"/>
              <w:rPr>
                <w:rFonts w:hint="eastAsia" w:ascii="宋体" w:hAnsi="宋体" w:eastAsia="宋体" w:cs="宋体"/>
                <w:color w:val="auto"/>
                <w:sz w:val="24"/>
                <w:szCs w:val="24"/>
                <w:highlight w:val="none"/>
              </w:rPr>
            </w:pPr>
          </w:p>
        </w:tc>
        <w:tc>
          <w:tcPr>
            <w:tcW w:w="267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BB80ED4">
            <w:pPr>
              <w:widowControl/>
              <w:spacing w:line="400" w:lineRule="exact"/>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根据我处工程变更</w:t>
            </w:r>
            <w:r>
              <w:rPr>
                <w:rFonts w:hint="eastAsia" w:ascii="宋体" w:hAnsi="宋体" w:eastAsia="宋体" w:cs="宋体"/>
                <w:color w:val="auto"/>
                <w:kern w:val="0"/>
                <w:sz w:val="24"/>
                <w:szCs w:val="24"/>
                <w:highlight w:val="none"/>
                <w:lang w:eastAsia="zh-CN"/>
              </w:rPr>
              <w:t>相关</w:t>
            </w:r>
            <w:r>
              <w:rPr>
                <w:rFonts w:hint="eastAsia" w:ascii="宋体" w:hAnsi="宋体" w:eastAsia="宋体" w:cs="宋体"/>
                <w:color w:val="auto"/>
                <w:kern w:val="0"/>
                <w:sz w:val="24"/>
                <w:szCs w:val="24"/>
                <w:highlight w:val="none"/>
              </w:rPr>
              <w:t>管理办法，工程变更审批手续是否及时、齐全、规范</w:t>
            </w:r>
          </w:p>
        </w:tc>
        <w:tc>
          <w:tcPr>
            <w:tcW w:w="57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65E7B0">
            <w:pPr>
              <w:widowControl/>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5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B0E5921">
            <w:pPr>
              <w:jc w:val="left"/>
              <w:rPr>
                <w:rFonts w:hint="eastAsia" w:ascii="宋体" w:hAnsi="宋体" w:eastAsia="宋体" w:cs="宋体"/>
                <w:color w:val="auto"/>
                <w:sz w:val="24"/>
                <w:szCs w:val="24"/>
                <w:highlight w:val="none"/>
              </w:rPr>
            </w:pPr>
          </w:p>
        </w:tc>
        <w:tc>
          <w:tcPr>
            <w:tcW w:w="9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2A94D10">
            <w:pPr>
              <w:jc w:val="left"/>
              <w:rPr>
                <w:rFonts w:hint="eastAsia" w:ascii="宋体" w:hAnsi="宋体" w:eastAsia="宋体" w:cs="宋体"/>
                <w:color w:val="auto"/>
                <w:sz w:val="24"/>
                <w:szCs w:val="24"/>
                <w:highlight w:val="none"/>
              </w:rPr>
            </w:pPr>
          </w:p>
        </w:tc>
        <w:tc>
          <w:tcPr>
            <w:tcW w:w="35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1E0798B">
            <w:pPr>
              <w:keepNext w:val="0"/>
              <w:keepLines w:val="0"/>
              <w:pageBreakBefore w:val="0"/>
              <w:widowControl/>
              <w:kinsoku/>
              <w:wordWrap/>
              <w:overflowPunct/>
              <w:topLinePunct w:val="0"/>
              <w:autoSpaceDE/>
              <w:autoSpaceDN/>
              <w:bidi w:val="0"/>
              <w:adjustRightInd/>
              <w:snapToGrid/>
              <w:spacing w:line="300" w:lineRule="exact"/>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因审核人员原因，造成工程变更审批手续不及时、齐全、规范的，</w:t>
            </w:r>
            <w:r>
              <w:rPr>
                <w:rFonts w:hint="eastAsia" w:ascii="宋体" w:hAnsi="宋体" w:eastAsia="宋体" w:cs="宋体"/>
                <w:color w:val="auto"/>
                <w:sz w:val="21"/>
                <w:szCs w:val="21"/>
                <w:highlight w:val="none"/>
                <w:lang w:eastAsia="zh-CN"/>
              </w:rPr>
              <w:t>每项</w:t>
            </w:r>
            <w:r>
              <w:rPr>
                <w:rFonts w:hint="eastAsia" w:ascii="宋体" w:hAnsi="宋体" w:eastAsia="宋体" w:cs="宋体"/>
                <w:color w:val="auto"/>
                <w:sz w:val="21"/>
                <w:szCs w:val="21"/>
                <w:highlight w:val="none"/>
              </w:rPr>
              <w:t>扣1分，扣完为止。</w:t>
            </w:r>
            <w:r>
              <w:rPr>
                <w:rFonts w:hint="eastAsia" w:ascii="宋体" w:hAnsi="宋体" w:eastAsia="宋体" w:cs="宋体"/>
                <w:color w:val="auto"/>
                <w:sz w:val="21"/>
                <w:szCs w:val="21"/>
                <w:highlight w:val="none"/>
                <w:lang w:eastAsia="zh-CN"/>
              </w:rPr>
              <w:t>（本项业主代表参与打分，第三方复审单位未尽检查提醒义务的予以扣分）</w:t>
            </w:r>
          </w:p>
        </w:tc>
      </w:tr>
      <w:tr w14:paraId="4104DBCF">
        <w:tblPrEx>
          <w:tblCellMar>
            <w:top w:w="0" w:type="dxa"/>
            <w:left w:w="0" w:type="dxa"/>
            <w:bottom w:w="0" w:type="dxa"/>
            <w:right w:w="0" w:type="dxa"/>
          </w:tblCellMar>
        </w:tblPrEx>
        <w:trPr>
          <w:trHeight w:val="2705" w:hRule="atLeast"/>
          <w:jc w:val="center"/>
        </w:trPr>
        <w:tc>
          <w:tcPr>
            <w:tcW w:w="5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6F6FA92">
            <w:pPr>
              <w:widowControl/>
              <w:jc w:val="center"/>
              <w:textAlignment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四</w:t>
            </w:r>
          </w:p>
        </w:tc>
        <w:tc>
          <w:tcPr>
            <w:tcW w:w="108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446B999">
            <w:pPr>
              <w:widowControl/>
              <w:jc w:val="center"/>
              <w:textAlignment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rPr>
              <w:t>廉洁自律</w:t>
            </w:r>
          </w:p>
        </w:tc>
        <w:tc>
          <w:tcPr>
            <w:tcW w:w="267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7A0908C">
            <w:pPr>
              <w:widowControl/>
              <w:jc w:val="left"/>
              <w:textAlignment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rPr>
              <w:t>审计单位是否保持廉洁自律要求</w:t>
            </w:r>
          </w:p>
        </w:tc>
        <w:tc>
          <w:tcPr>
            <w:tcW w:w="57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B165202">
            <w:pPr>
              <w:widowControl/>
              <w:jc w:val="center"/>
              <w:textAlignment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10</w:t>
            </w:r>
          </w:p>
        </w:tc>
        <w:tc>
          <w:tcPr>
            <w:tcW w:w="5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B77414E">
            <w:pPr>
              <w:jc w:val="left"/>
              <w:rPr>
                <w:rFonts w:hint="eastAsia" w:ascii="宋体" w:hAnsi="宋体" w:eastAsia="宋体" w:cs="宋体"/>
                <w:color w:val="auto"/>
                <w:kern w:val="2"/>
                <w:sz w:val="24"/>
                <w:szCs w:val="24"/>
                <w:highlight w:val="none"/>
                <w:lang w:val="en-US" w:eastAsia="zh-CN" w:bidi="ar-SA"/>
              </w:rPr>
            </w:pPr>
          </w:p>
        </w:tc>
        <w:tc>
          <w:tcPr>
            <w:tcW w:w="9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7F4F096">
            <w:pPr>
              <w:jc w:val="center"/>
              <w:rPr>
                <w:rFonts w:hint="eastAsia" w:ascii="宋体" w:hAnsi="宋体" w:eastAsia="宋体" w:cs="宋体"/>
                <w:color w:val="auto"/>
                <w:kern w:val="2"/>
                <w:sz w:val="24"/>
                <w:szCs w:val="24"/>
                <w:highlight w:val="none"/>
                <w:lang w:val="en-US" w:eastAsia="zh-CN" w:bidi="ar-SA"/>
              </w:rPr>
            </w:pPr>
          </w:p>
        </w:tc>
        <w:tc>
          <w:tcPr>
            <w:tcW w:w="35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BC2D152">
            <w:pPr>
              <w:widowControl/>
              <w:spacing w:line="300" w:lineRule="exact"/>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rPr>
              <w:t>有无由被审计单位支付或补贴住宿费、餐费；有无使用被审计单位的交通工具等办理与审计工作无关的事项；有无参加被审计单位安排的旅游、娱乐等活动；有无接受被审计单位的任何礼品；有无在被审计的单位报销任何费用；有无利用审计职权为自己和他人谋利；有无向被审计单位提出任何与审计工作无关的要求。违反审计纪律规定中任何一项的,一经查实，本项分值全部扣除.（本项党办参与打分）</w:t>
            </w:r>
          </w:p>
        </w:tc>
      </w:tr>
      <w:tr w14:paraId="29F63595">
        <w:tblPrEx>
          <w:tblCellMar>
            <w:top w:w="0" w:type="dxa"/>
            <w:left w:w="0" w:type="dxa"/>
            <w:bottom w:w="0" w:type="dxa"/>
            <w:right w:w="0" w:type="dxa"/>
          </w:tblCellMar>
        </w:tblPrEx>
        <w:trPr>
          <w:trHeight w:val="2593" w:hRule="atLeast"/>
          <w:jc w:val="center"/>
        </w:trPr>
        <w:tc>
          <w:tcPr>
            <w:tcW w:w="5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1B468B5">
            <w:pPr>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eastAsia="zh-CN"/>
              </w:rPr>
              <w:t>五</w:t>
            </w:r>
          </w:p>
        </w:tc>
        <w:tc>
          <w:tcPr>
            <w:tcW w:w="108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293E5E0">
            <w:pPr>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竣工结算审核的误差</w:t>
            </w:r>
          </w:p>
        </w:tc>
        <w:tc>
          <w:tcPr>
            <w:tcW w:w="267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EFDDBE0">
            <w:pPr>
              <w:widowControl/>
              <w:spacing w:line="400" w:lineRule="exact"/>
              <w:jc w:val="left"/>
              <w:textAlignment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根据我处竣工结算审核流程，经第三方、计划科、审价中心复审后，对竣工结算审核报告的误差率进行打分</w:t>
            </w:r>
          </w:p>
        </w:tc>
        <w:tc>
          <w:tcPr>
            <w:tcW w:w="57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B55AB03">
            <w:pPr>
              <w:widowControl/>
              <w:jc w:val="center"/>
              <w:textAlignment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0</w:t>
            </w:r>
          </w:p>
        </w:tc>
        <w:tc>
          <w:tcPr>
            <w:tcW w:w="5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C8BE18E">
            <w:pPr>
              <w:jc w:val="left"/>
              <w:rPr>
                <w:rFonts w:hint="eastAsia" w:ascii="宋体" w:hAnsi="宋体" w:eastAsia="宋体" w:cs="宋体"/>
                <w:color w:val="auto"/>
                <w:kern w:val="2"/>
                <w:sz w:val="24"/>
                <w:szCs w:val="24"/>
                <w:highlight w:val="none"/>
                <w:lang w:val="en-US" w:eastAsia="zh-CN" w:bidi="ar-SA"/>
              </w:rPr>
            </w:pPr>
          </w:p>
        </w:tc>
        <w:tc>
          <w:tcPr>
            <w:tcW w:w="9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E212372">
            <w:pPr>
              <w:jc w:val="left"/>
              <w:rPr>
                <w:rFonts w:hint="eastAsia" w:ascii="宋体" w:hAnsi="宋体" w:eastAsia="宋体" w:cs="宋体"/>
                <w:color w:val="auto"/>
                <w:kern w:val="2"/>
                <w:sz w:val="24"/>
                <w:szCs w:val="24"/>
                <w:highlight w:val="none"/>
                <w:lang w:val="en-US" w:eastAsia="zh-CN" w:bidi="ar-SA"/>
              </w:rPr>
            </w:pPr>
          </w:p>
        </w:tc>
        <w:tc>
          <w:tcPr>
            <w:tcW w:w="35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F298763">
            <w:pPr>
              <w:widowControl/>
              <w:spacing w:line="40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误差率1%</w:t>
            </w:r>
            <w:r>
              <w:rPr>
                <w:rFonts w:hint="eastAsia" w:ascii="宋体" w:hAnsi="宋体" w:eastAsia="宋体" w:cs="宋体"/>
                <w:color w:val="auto"/>
                <w:sz w:val="21"/>
                <w:szCs w:val="21"/>
                <w:highlight w:val="none"/>
                <w:lang w:eastAsia="zh-CN"/>
              </w:rPr>
              <w:t>（含）</w:t>
            </w:r>
            <w:r>
              <w:rPr>
                <w:rFonts w:hint="eastAsia" w:ascii="宋体" w:hAnsi="宋体" w:eastAsia="宋体" w:cs="宋体"/>
                <w:color w:val="auto"/>
                <w:sz w:val="21"/>
                <w:szCs w:val="21"/>
                <w:highlight w:val="none"/>
              </w:rPr>
              <w:t>-2%的，扣5分；</w:t>
            </w:r>
          </w:p>
          <w:p w14:paraId="51CB24BE">
            <w:pPr>
              <w:widowControl/>
              <w:spacing w:line="40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（含）</w:t>
            </w:r>
            <w:r>
              <w:rPr>
                <w:rFonts w:hint="eastAsia" w:ascii="宋体" w:hAnsi="宋体" w:eastAsia="宋体" w:cs="宋体"/>
                <w:color w:val="auto"/>
                <w:sz w:val="21"/>
                <w:szCs w:val="21"/>
                <w:highlight w:val="none"/>
              </w:rPr>
              <w:t>-2.5%的，扣</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0分；</w:t>
            </w:r>
          </w:p>
          <w:p w14:paraId="6912F1F3">
            <w:pPr>
              <w:widowControl/>
              <w:spacing w:line="40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w:t>
            </w:r>
            <w:r>
              <w:rPr>
                <w:rFonts w:hint="eastAsia" w:ascii="宋体" w:hAnsi="宋体" w:eastAsia="宋体" w:cs="宋体"/>
                <w:color w:val="auto"/>
                <w:sz w:val="21"/>
                <w:szCs w:val="21"/>
                <w:highlight w:val="none"/>
                <w:lang w:eastAsia="zh-CN"/>
              </w:rPr>
              <w:t>（含）</w:t>
            </w:r>
            <w:r>
              <w:rPr>
                <w:rFonts w:hint="eastAsia" w:ascii="宋体" w:hAnsi="宋体" w:eastAsia="宋体" w:cs="宋体"/>
                <w:color w:val="auto"/>
                <w:sz w:val="21"/>
                <w:szCs w:val="21"/>
                <w:highlight w:val="none"/>
              </w:rPr>
              <w:t>-3%的，扣</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5分；</w:t>
            </w:r>
          </w:p>
          <w:p w14:paraId="7610F5BD">
            <w:pPr>
              <w:widowControl/>
              <w:spacing w:line="40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（含）</w:t>
            </w:r>
            <w:r>
              <w:rPr>
                <w:rFonts w:hint="eastAsia" w:ascii="宋体" w:hAnsi="宋体" w:eastAsia="宋体" w:cs="宋体"/>
                <w:color w:val="auto"/>
                <w:sz w:val="21"/>
                <w:szCs w:val="21"/>
                <w:highlight w:val="none"/>
              </w:rPr>
              <w:t>-3.5%的，扣</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0分；</w:t>
            </w:r>
          </w:p>
          <w:p w14:paraId="4AF0AD54">
            <w:pPr>
              <w:widowControl/>
              <w:spacing w:line="400" w:lineRule="exact"/>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3.5%</w:t>
            </w:r>
            <w:r>
              <w:rPr>
                <w:rFonts w:hint="eastAsia" w:ascii="宋体" w:hAnsi="宋体" w:eastAsia="宋体" w:cs="宋体"/>
                <w:color w:val="auto"/>
                <w:sz w:val="21"/>
                <w:szCs w:val="21"/>
                <w:highlight w:val="none"/>
                <w:lang w:eastAsia="zh-CN"/>
              </w:rPr>
              <w:t>（含）</w:t>
            </w:r>
            <w:r>
              <w:rPr>
                <w:rFonts w:hint="eastAsia" w:ascii="宋体" w:hAnsi="宋体" w:eastAsia="宋体" w:cs="宋体"/>
                <w:color w:val="auto"/>
                <w:sz w:val="21"/>
                <w:szCs w:val="21"/>
                <w:highlight w:val="none"/>
              </w:rPr>
              <w:t>-4%的，扣</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5分</w:t>
            </w:r>
            <w:r>
              <w:rPr>
                <w:rFonts w:hint="eastAsia" w:ascii="宋体" w:hAnsi="宋体" w:eastAsia="宋体" w:cs="宋体"/>
                <w:color w:val="auto"/>
                <w:sz w:val="21"/>
                <w:szCs w:val="21"/>
                <w:highlight w:val="none"/>
                <w:lang w:eastAsia="zh-CN"/>
              </w:rPr>
              <w:t>；</w:t>
            </w:r>
          </w:p>
          <w:p w14:paraId="4899B39A">
            <w:pPr>
              <w:widowControl/>
              <w:spacing w:line="400" w:lineRule="exact"/>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eastAsia="zh-CN"/>
              </w:rPr>
              <w:t>（含）</w:t>
            </w:r>
            <w:r>
              <w:rPr>
                <w:rFonts w:hint="eastAsia" w:ascii="宋体" w:hAnsi="宋体" w:eastAsia="宋体" w:cs="宋体"/>
                <w:color w:val="auto"/>
                <w:sz w:val="21"/>
                <w:szCs w:val="21"/>
                <w:highlight w:val="none"/>
              </w:rPr>
              <w:t>以上的，扣</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0分。</w:t>
            </w:r>
          </w:p>
        </w:tc>
      </w:tr>
      <w:tr w14:paraId="60813322">
        <w:tblPrEx>
          <w:tblCellMar>
            <w:top w:w="0" w:type="dxa"/>
            <w:left w:w="0" w:type="dxa"/>
            <w:bottom w:w="0" w:type="dxa"/>
            <w:right w:w="0" w:type="dxa"/>
          </w:tblCellMar>
        </w:tblPrEx>
        <w:trPr>
          <w:trHeight w:val="558" w:hRule="atLeast"/>
          <w:jc w:val="center"/>
        </w:trPr>
        <w:tc>
          <w:tcPr>
            <w:tcW w:w="4880"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F0F972B">
            <w:pPr>
              <w:widowControl/>
              <w:jc w:val="right"/>
              <w:textAlignment w:val="center"/>
              <w:rPr>
                <w:rFonts w:hint="eastAsia" w:ascii="宋体" w:hAnsi="宋体" w:eastAsia="宋体" w:cs="宋体"/>
                <w:b/>
                <w:color w:val="auto"/>
                <w:sz w:val="24"/>
                <w:szCs w:val="24"/>
                <w:highlight w:val="none"/>
              </w:rPr>
            </w:pPr>
            <w:r>
              <w:rPr>
                <w:rFonts w:hint="eastAsia" w:ascii="宋体" w:hAnsi="宋体" w:eastAsia="宋体" w:cs="宋体"/>
                <w:b/>
                <w:color w:val="auto"/>
                <w:kern w:val="0"/>
                <w:sz w:val="24"/>
                <w:szCs w:val="24"/>
                <w:highlight w:val="none"/>
              </w:rPr>
              <w:t>合计</w:t>
            </w:r>
          </w:p>
        </w:tc>
        <w:tc>
          <w:tcPr>
            <w:tcW w:w="5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5E91370">
            <w:pPr>
              <w:jc w:val="left"/>
              <w:rPr>
                <w:rFonts w:hint="eastAsia" w:ascii="宋体" w:hAnsi="宋体" w:eastAsia="宋体" w:cs="宋体"/>
                <w:b/>
                <w:color w:val="auto"/>
                <w:sz w:val="24"/>
                <w:szCs w:val="24"/>
                <w:highlight w:val="none"/>
              </w:rPr>
            </w:pPr>
          </w:p>
        </w:tc>
        <w:tc>
          <w:tcPr>
            <w:tcW w:w="9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FDDD66A">
            <w:pPr>
              <w:jc w:val="left"/>
              <w:rPr>
                <w:rFonts w:hint="eastAsia" w:ascii="宋体" w:hAnsi="宋体" w:eastAsia="宋体" w:cs="宋体"/>
                <w:b/>
                <w:color w:val="auto"/>
                <w:sz w:val="24"/>
                <w:szCs w:val="24"/>
                <w:highlight w:val="none"/>
              </w:rPr>
            </w:pPr>
          </w:p>
        </w:tc>
        <w:tc>
          <w:tcPr>
            <w:tcW w:w="3595" w:type="dxa"/>
            <w:tcBorders>
              <w:top w:val="single" w:color="auto"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0998F53">
            <w:pPr>
              <w:jc w:val="left"/>
              <w:rPr>
                <w:rFonts w:hint="eastAsia" w:ascii="宋体" w:hAnsi="宋体" w:eastAsia="宋体" w:cs="宋体"/>
                <w:color w:val="auto"/>
                <w:sz w:val="21"/>
                <w:szCs w:val="21"/>
                <w:highlight w:val="none"/>
              </w:rPr>
            </w:pPr>
          </w:p>
        </w:tc>
      </w:tr>
      <w:tr w14:paraId="43DB1712">
        <w:tblPrEx>
          <w:tblCellMar>
            <w:top w:w="0" w:type="dxa"/>
            <w:left w:w="0" w:type="dxa"/>
            <w:bottom w:w="0" w:type="dxa"/>
            <w:right w:w="0" w:type="dxa"/>
          </w:tblCellMar>
        </w:tblPrEx>
        <w:trPr>
          <w:trHeight w:val="1429" w:hRule="atLeast"/>
          <w:jc w:val="center"/>
        </w:trPr>
        <w:tc>
          <w:tcPr>
            <w:tcW w:w="9998" w:type="dxa"/>
            <w:gridSpan w:val="7"/>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7D9193B">
            <w:pPr>
              <w:widowControl/>
              <w:jc w:val="left"/>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 xml:space="preserve">企业签字：                   考核组签字 ：                  </w:t>
            </w:r>
            <w:r>
              <w:rPr>
                <w:rFonts w:hint="eastAsia" w:ascii="宋体" w:hAnsi="宋体" w:eastAsia="宋体" w:cs="宋体"/>
                <w:color w:val="auto"/>
                <w:kern w:val="0"/>
                <w:sz w:val="24"/>
                <w:szCs w:val="24"/>
                <w:highlight w:val="none"/>
                <w:lang w:val="en-US" w:eastAsia="zh-CN"/>
              </w:rPr>
              <w:t xml:space="preserve">       </w:t>
            </w:r>
          </w:p>
          <w:p w14:paraId="5E40DE5E">
            <w:pPr>
              <w:widowControl/>
              <w:ind w:firstLine="8160" w:firstLineChars="3400"/>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rPr>
              <w:t xml:space="preserve">  </w:t>
            </w:r>
            <w:r>
              <w:rPr>
                <w:rStyle w:val="156"/>
                <w:rFonts w:hint="eastAsia" w:ascii="宋体" w:hAnsi="宋体" w:eastAsia="宋体" w:cs="宋体"/>
                <w:color w:val="auto"/>
                <w:sz w:val="24"/>
                <w:szCs w:val="24"/>
                <w:highlight w:val="none"/>
              </w:rPr>
              <w:t>年</w:t>
            </w:r>
            <w:r>
              <w:rPr>
                <w:rStyle w:val="156"/>
                <w:rFonts w:hint="eastAsia" w:ascii="宋体" w:hAnsi="宋体" w:eastAsia="宋体" w:cs="宋体"/>
                <w:color w:val="auto"/>
                <w:sz w:val="24"/>
                <w:szCs w:val="24"/>
                <w:highlight w:val="none"/>
                <w:lang w:val="en-US" w:eastAsia="zh-CN"/>
              </w:rPr>
              <w:t xml:space="preserve">  </w:t>
            </w:r>
            <w:r>
              <w:rPr>
                <w:rStyle w:val="156"/>
                <w:rFonts w:hint="eastAsia" w:ascii="宋体" w:hAnsi="宋体" w:eastAsia="宋体" w:cs="宋体"/>
                <w:color w:val="auto"/>
                <w:sz w:val="24"/>
                <w:szCs w:val="24"/>
                <w:highlight w:val="none"/>
              </w:rPr>
              <w:t>月</w:t>
            </w:r>
            <w:r>
              <w:rPr>
                <w:rStyle w:val="156"/>
                <w:rFonts w:hint="eastAsia" w:ascii="宋体" w:hAnsi="宋体" w:eastAsia="宋体" w:cs="宋体"/>
                <w:color w:val="auto"/>
                <w:sz w:val="24"/>
                <w:szCs w:val="24"/>
                <w:highlight w:val="none"/>
                <w:lang w:val="en-US" w:eastAsia="zh-CN"/>
              </w:rPr>
              <w:t xml:space="preserve">  </w:t>
            </w:r>
            <w:r>
              <w:rPr>
                <w:rStyle w:val="156"/>
                <w:rFonts w:hint="eastAsia" w:ascii="宋体" w:hAnsi="宋体" w:eastAsia="宋体" w:cs="宋体"/>
                <w:color w:val="auto"/>
                <w:sz w:val="24"/>
                <w:szCs w:val="24"/>
                <w:highlight w:val="none"/>
              </w:rPr>
              <w:t>日</w:t>
            </w:r>
          </w:p>
        </w:tc>
      </w:tr>
    </w:tbl>
    <w:p w14:paraId="7089A4A2">
      <w:pPr>
        <w:pStyle w:val="27"/>
        <w:ind w:left="0" w:leftChars="0" w:firstLine="0" w:firstLineChars="0"/>
        <w:rPr>
          <w:rFonts w:hint="eastAsia" w:ascii="宋体" w:hAnsi="宋体" w:eastAsia="宋体" w:cs="宋体"/>
          <w:color w:val="auto"/>
          <w:sz w:val="32"/>
          <w:szCs w:val="32"/>
          <w:highlight w:val="none"/>
          <w:lang w:val="en-US" w:eastAsia="zh-CN"/>
        </w:rPr>
      </w:pPr>
    </w:p>
    <w:p w14:paraId="5E059EEE">
      <w:pPr>
        <w:spacing w:before="156" w:beforeLines="50" w:after="156" w:afterLines="50" w:line="312" w:lineRule="auto"/>
        <w:jc w:val="center"/>
        <w:rPr>
          <w:rFonts w:hint="eastAsia" w:ascii="宋体" w:hAnsi="宋体" w:eastAsia="宋体" w:cs="宋体"/>
          <w:b/>
          <w:color w:val="auto"/>
          <w:sz w:val="32"/>
          <w:szCs w:val="32"/>
          <w:highlight w:val="none"/>
        </w:rPr>
      </w:pPr>
    </w:p>
    <w:p w14:paraId="58E16F62">
      <w:pPr>
        <w:rPr>
          <w:rFonts w:hint="eastAsia" w:ascii="宋体" w:hAnsi="宋体" w:eastAsia="宋体" w:cs="宋体"/>
          <w:color w:val="auto"/>
          <w:highlight w:val="none"/>
        </w:rPr>
      </w:pPr>
    </w:p>
    <w:p w14:paraId="473F545B">
      <w:pPr>
        <w:pStyle w:val="27"/>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textAlignment w:val="auto"/>
        <w:rPr>
          <w:rFonts w:hint="eastAsia" w:ascii="宋体" w:hAnsi="宋体" w:eastAsia="宋体" w:cs="宋体"/>
          <w:color w:val="auto"/>
          <w:sz w:val="24"/>
          <w:szCs w:val="24"/>
          <w:highlight w:val="none"/>
          <w:lang w:val="en-US" w:eastAsia="zh-CN"/>
        </w:rPr>
        <w:sectPr>
          <w:footerReference r:id="rId8" w:type="default"/>
          <w:pgSz w:w="11906" w:h="16838"/>
          <w:pgMar w:top="1417" w:right="1417" w:bottom="1134" w:left="1417" w:header="680" w:footer="680" w:gutter="0"/>
          <w:pgBorders w:offsetFrom="page">
            <w:top w:val="none" w:sz="0" w:space="0"/>
            <w:left w:val="none" w:sz="0" w:space="0"/>
            <w:bottom w:val="none" w:sz="0" w:space="0"/>
            <w:right w:val="none" w:sz="0" w:space="0"/>
          </w:pgBorders>
          <w:pgNumType w:fmt="decimal"/>
          <w:cols w:space="0" w:num="1"/>
          <w:rtlGutter w:val="0"/>
          <w:docGrid w:type="lines" w:linePitch="318" w:charSpace="0"/>
        </w:sectPr>
      </w:pPr>
    </w:p>
    <w:p w14:paraId="6ADE1352">
      <w:pPr>
        <w:keepNext w:val="0"/>
        <w:keepLines w:val="0"/>
        <w:pageBreakBefore/>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工程建设约谈管理规定</w:t>
      </w:r>
    </w:p>
    <w:p w14:paraId="44D0E64A">
      <w:pPr>
        <w:keepNext w:val="0"/>
        <w:keepLines w:val="0"/>
        <w:pageBreakBefore w:val="0"/>
        <w:kinsoku/>
        <w:wordWrap/>
        <w:overflowPunct/>
        <w:topLinePunct w:val="0"/>
        <w:autoSpaceDE/>
        <w:autoSpaceDN/>
        <w:bidi w:val="0"/>
        <w:adjustRightInd/>
        <w:snapToGrid/>
        <w:spacing w:line="288" w:lineRule="auto"/>
        <w:ind w:firstLine="413" w:firstLineChars="196"/>
        <w:jc w:val="left"/>
        <w:textAlignment w:val="auto"/>
        <w:outlineLvl w:val="9"/>
        <w:rPr>
          <w:rFonts w:hint="eastAsia" w:ascii="宋体" w:hAnsi="宋体" w:eastAsia="宋体" w:cs="宋体"/>
          <w:b/>
          <w:color w:val="auto"/>
          <w:sz w:val="21"/>
          <w:szCs w:val="21"/>
          <w:highlight w:val="none"/>
        </w:rPr>
      </w:pPr>
    </w:p>
    <w:p w14:paraId="59898B43">
      <w:pPr>
        <w:keepNext w:val="0"/>
        <w:keepLines w:val="0"/>
        <w:pageBreakBefore w:val="0"/>
        <w:kinsoku/>
        <w:wordWrap/>
        <w:overflowPunct/>
        <w:topLinePunct w:val="0"/>
        <w:autoSpaceDE/>
        <w:autoSpaceDN/>
        <w:bidi w:val="0"/>
        <w:adjustRightInd/>
        <w:snapToGrid/>
        <w:spacing w:line="288" w:lineRule="auto"/>
        <w:ind w:firstLine="413" w:firstLineChars="196"/>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第一条</w:t>
      </w:r>
      <w:r>
        <w:rPr>
          <w:rFonts w:hint="eastAsia" w:ascii="宋体" w:hAnsi="宋体" w:eastAsia="宋体" w:cs="宋体"/>
          <w:b/>
          <w:bCs/>
          <w:color w:val="auto"/>
          <w:sz w:val="21"/>
          <w:szCs w:val="21"/>
          <w:highlight w:val="none"/>
        </w:rPr>
        <w:t xml:space="preserve"> </w:t>
      </w:r>
      <w:r>
        <w:rPr>
          <w:rFonts w:hint="eastAsia" w:ascii="宋体" w:hAnsi="宋体" w:eastAsia="宋体" w:cs="宋体"/>
          <w:color w:val="auto"/>
          <w:sz w:val="21"/>
          <w:szCs w:val="21"/>
          <w:highlight w:val="none"/>
        </w:rPr>
        <w:t>为进一步规范工程建设管理约谈行为，加强</w:t>
      </w:r>
      <w:r>
        <w:rPr>
          <w:rFonts w:hint="eastAsia" w:ascii="宋体" w:hAnsi="宋体" w:eastAsia="宋体" w:cs="宋体"/>
          <w:color w:val="auto"/>
          <w:sz w:val="21"/>
          <w:szCs w:val="21"/>
          <w:highlight w:val="none"/>
          <w:lang w:eastAsia="zh-CN"/>
        </w:rPr>
        <w:t>各参建</w:t>
      </w:r>
      <w:r>
        <w:rPr>
          <w:rFonts w:hint="eastAsia" w:ascii="宋体" w:hAnsi="宋体" w:eastAsia="宋体" w:cs="宋体"/>
          <w:color w:val="auto"/>
          <w:sz w:val="21"/>
          <w:szCs w:val="21"/>
          <w:highlight w:val="none"/>
        </w:rPr>
        <w:t>单位履约意识，保障项目建设，制定本规定。</w:t>
      </w:r>
    </w:p>
    <w:p w14:paraId="0D9D399D">
      <w:pPr>
        <w:keepNext w:val="0"/>
        <w:keepLines w:val="0"/>
        <w:pageBreakBefore w:val="0"/>
        <w:kinsoku/>
        <w:wordWrap/>
        <w:overflowPunct/>
        <w:topLinePunct w:val="0"/>
        <w:autoSpaceDE/>
        <w:autoSpaceDN/>
        <w:bidi w:val="0"/>
        <w:adjustRightInd/>
        <w:snapToGrid/>
        <w:spacing w:line="288" w:lineRule="auto"/>
        <w:ind w:firstLine="413" w:firstLineChars="196"/>
        <w:textAlignment w:val="auto"/>
        <w:outlineLvl w:val="9"/>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第二条</w:t>
      </w:r>
      <w:r>
        <w:rPr>
          <w:rFonts w:hint="eastAsia" w:ascii="宋体" w:hAnsi="宋体" w:eastAsia="宋体" w:cs="宋体"/>
          <w:b/>
          <w:bCs/>
          <w:color w:val="auto"/>
          <w:sz w:val="21"/>
          <w:szCs w:val="21"/>
          <w:highlight w:val="none"/>
        </w:rPr>
        <w:t xml:space="preserve"> </w:t>
      </w:r>
      <w:r>
        <w:rPr>
          <w:rFonts w:hint="eastAsia" w:ascii="宋体" w:hAnsi="宋体" w:eastAsia="宋体" w:cs="宋体"/>
          <w:color w:val="auto"/>
          <w:sz w:val="21"/>
          <w:szCs w:val="21"/>
          <w:highlight w:val="none"/>
        </w:rPr>
        <w:t>约谈分为中标人约谈和履约约谈。</w:t>
      </w:r>
    </w:p>
    <w:p w14:paraId="1A0E5A05">
      <w:pPr>
        <w:keepNext w:val="0"/>
        <w:keepLines w:val="0"/>
        <w:pageBreakBefore w:val="0"/>
        <w:kinsoku/>
        <w:wordWrap/>
        <w:overflowPunct/>
        <w:topLinePunct w:val="0"/>
        <w:autoSpaceDE/>
        <w:autoSpaceDN/>
        <w:bidi w:val="0"/>
        <w:adjustRightInd/>
        <w:snapToGrid/>
        <w:spacing w:line="288" w:lineRule="auto"/>
        <w:ind w:firstLine="422"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第三条 </w:t>
      </w:r>
      <w:r>
        <w:rPr>
          <w:rFonts w:hint="eastAsia" w:ascii="宋体" w:hAnsi="宋体" w:eastAsia="宋体" w:cs="宋体"/>
          <w:color w:val="auto"/>
          <w:sz w:val="21"/>
          <w:szCs w:val="21"/>
          <w:highlight w:val="none"/>
        </w:rPr>
        <w:t>中标人约谈是指中标通知书发出后，项目开工前，处相关科室对中标人进行的约谈。履约约谈是指项目管理过程中</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处相关科室对中标人进行的约谈。中标人包括勘察、设计、施工、监理</w:t>
      </w:r>
      <w:r>
        <w:rPr>
          <w:rFonts w:hint="eastAsia" w:ascii="宋体" w:hAnsi="宋体" w:eastAsia="宋体" w:cs="宋体"/>
          <w:color w:val="auto"/>
          <w:sz w:val="21"/>
          <w:szCs w:val="21"/>
          <w:highlight w:val="none"/>
          <w:lang w:eastAsia="zh-CN"/>
        </w:rPr>
        <w:t>、跟踪审计</w:t>
      </w:r>
      <w:r>
        <w:rPr>
          <w:rFonts w:hint="eastAsia" w:ascii="宋体" w:hAnsi="宋体" w:eastAsia="宋体" w:cs="宋体"/>
          <w:color w:val="auto"/>
          <w:sz w:val="21"/>
          <w:szCs w:val="21"/>
          <w:highlight w:val="none"/>
        </w:rPr>
        <w:t>及重要设备（材料）供货商等相关单位</w:t>
      </w:r>
      <w:r>
        <w:rPr>
          <w:rFonts w:hint="eastAsia" w:ascii="宋体" w:hAnsi="宋体" w:eastAsia="宋体" w:cs="宋体"/>
          <w:color w:val="auto"/>
          <w:sz w:val="21"/>
          <w:szCs w:val="21"/>
          <w:highlight w:val="none"/>
          <w:lang w:eastAsia="zh-CN"/>
        </w:rPr>
        <w:t>（以下简称“被约谈单位”）</w:t>
      </w:r>
      <w:r>
        <w:rPr>
          <w:rFonts w:hint="eastAsia" w:ascii="宋体" w:hAnsi="宋体" w:eastAsia="宋体" w:cs="宋体"/>
          <w:color w:val="auto"/>
          <w:sz w:val="21"/>
          <w:szCs w:val="21"/>
          <w:highlight w:val="none"/>
        </w:rPr>
        <w:t xml:space="preserve">。 </w:t>
      </w:r>
    </w:p>
    <w:p w14:paraId="74624E99">
      <w:pPr>
        <w:pStyle w:val="15"/>
        <w:keepNext w:val="0"/>
        <w:keepLines w:val="0"/>
        <w:pageBreakBefore w:val="0"/>
        <w:kinsoku/>
        <w:wordWrap/>
        <w:overflowPunct/>
        <w:topLinePunct w:val="0"/>
        <w:autoSpaceDE/>
        <w:autoSpaceDN/>
        <w:bidi w:val="0"/>
        <w:adjustRightInd/>
        <w:snapToGrid/>
        <w:spacing w:line="288" w:lineRule="auto"/>
        <w:ind w:firstLine="422"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第四条</w:t>
      </w:r>
      <w:r>
        <w:rPr>
          <w:rFonts w:hint="eastAsia" w:ascii="宋体" w:hAnsi="宋体" w:eastAsia="宋体" w:cs="宋体"/>
          <w:bCs/>
          <w:color w:val="auto"/>
          <w:sz w:val="21"/>
          <w:szCs w:val="21"/>
          <w:highlight w:val="none"/>
        </w:rPr>
        <w:t xml:space="preserve"> </w:t>
      </w:r>
      <w:r>
        <w:rPr>
          <w:rFonts w:hint="eastAsia" w:ascii="宋体" w:hAnsi="宋体" w:eastAsia="宋体" w:cs="宋体"/>
          <w:color w:val="auto"/>
          <w:sz w:val="21"/>
          <w:szCs w:val="21"/>
          <w:highlight w:val="none"/>
        </w:rPr>
        <w:t>中标人约谈由综合计划科牵头，</w:t>
      </w:r>
      <w:r>
        <w:rPr>
          <w:rFonts w:hint="eastAsia" w:ascii="宋体" w:hAnsi="宋体" w:eastAsia="宋体" w:cs="宋体"/>
          <w:color w:val="auto"/>
          <w:sz w:val="21"/>
          <w:szCs w:val="21"/>
          <w:highlight w:val="none"/>
          <w:lang w:eastAsia="zh-CN"/>
        </w:rPr>
        <w:t>项目</w:t>
      </w:r>
      <w:r>
        <w:rPr>
          <w:rFonts w:hint="eastAsia" w:ascii="宋体" w:hAnsi="宋体" w:eastAsia="宋体" w:cs="宋体"/>
          <w:color w:val="auto"/>
          <w:sz w:val="21"/>
          <w:szCs w:val="21"/>
          <w:highlight w:val="none"/>
        </w:rPr>
        <w:t>分管领导、工程</w:t>
      </w:r>
      <w:r>
        <w:rPr>
          <w:rFonts w:hint="eastAsia" w:ascii="宋体" w:hAnsi="宋体" w:eastAsia="宋体" w:cs="宋体"/>
          <w:color w:val="auto"/>
          <w:sz w:val="21"/>
          <w:szCs w:val="21"/>
          <w:highlight w:val="none"/>
          <w:lang w:eastAsia="zh-CN"/>
        </w:rPr>
        <w:t>建设</w:t>
      </w:r>
      <w:r>
        <w:rPr>
          <w:rFonts w:hint="eastAsia" w:ascii="宋体" w:hAnsi="宋体" w:eastAsia="宋体" w:cs="宋体"/>
          <w:color w:val="auto"/>
          <w:sz w:val="21"/>
          <w:szCs w:val="21"/>
          <w:highlight w:val="none"/>
        </w:rPr>
        <w:t>科、监管科、协调科、财务科、党办等相关科室参加，</w:t>
      </w:r>
      <w:r>
        <w:rPr>
          <w:rFonts w:hint="eastAsia" w:ascii="宋体" w:hAnsi="宋体" w:eastAsia="宋体" w:cs="宋体"/>
          <w:color w:val="auto"/>
          <w:sz w:val="21"/>
          <w:szCs w:val="21"/>
          <w:highlight w:val="none"/>
          <w:lang w:eastAsia="zh-CN"/>
        </w:rPr>
        <w:t>特殊</w:t>
      </w:r>
      <w:r>
        <w:rPr>
          <w:rFonts w:hint="eastAsia" w:ascii="宋体" w:hAnsi="宋体" w:eastAsia="宋体" w:cs="宋体"/>
          <w:color w:val="auto"/>
          <w:sz w:val="21"/>
          <w:szCs w:val="21"/>
          <w:highlight w:val="none"/>
        </w:rPr>
        <w:t>项目邀请纪检组参加</w:t>
      </w:r>
      <w:r>
        <w:rPr>
          <w:rStyle w:val="58"/>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履约约谈由处职能科室牵头，在项目管理过程中</w:t>
      </w:r>
      <w:r>
        <w:rPr>
          <w:rFonts w:hint="eastAsia" w:ascii="宋体" w:hAnsi="宋体" w:eastAsia="宋体" w:cs="宋体"/>
          <w:bCs/>
          <w:color w:val="auto"/>
          <w:sz w:val="21"/>
          <w:szCs w:val="21"/>
          <w:highlight w:val="none"/>
        </w:rPr>
        <w:t>对承包人（</w:t>
      </w:r>
      <w:r>
        <w:rPr>
          <w:rFonts w:hint="eastAsia" w:ascii="宋体" w:hAnsi="宋体" w:eastAsia="宋体" w:cs="宋体"/>
          <w:bCs/>
          <w:color w:val="auto"/>
          <w:sz w:val="21"/>
          <w:szCs w:val="21"/>
          <w:highlight w:val="none"/>
          <w:lang w:eastAsia="zh-CN"/>
        </w:rPr>
        <w:t>受</w:t>
      </w:r>
      <w:r>
        <w:rPr>
          <w:rFonts w:hint="eastAsia" w:ascii="宋体" w:hAnsi="宋体" w:eastAsia="宋体" w:cs="宋体"/>
          <w:bCs/>
          <w:color w:val="auto"/>
          <w:sz w:val="21"/>
          <w:szCs w:val="21"/>
          <w:highlight w:val="none"/>
        </w:rPr>
        <w:t>托人）进行的</w:t>
      </w:r>
      <w:r>
        <w:rPr>
          <w:rFonts w:hint="eastAsia" w:ascii="宋体" w:hAnsi="宋体" w:eastAsia="宋体" w:cs="宋体"/>
          <w:color w:val="auto"/>
          <w:sz w:val="21"/>
          <w:szCs w:val="21"/>
          <w:highlight w:val="none"/>
        </w:rPr>
        <w:t>提醒、警告等形式</w:t>
      </w:r>
      <w:r>
        <w:rPr>
          <w:rFonts w:hint="eastAsia" w:ascii="宋体" w:hAnsi="宋体" w:eastAsia="宋体" w:cs="宋体"/>
          <w:color w:val="auto"/>
          <w:sz w:val="21"/>
          <w:szCs w:val="21"/>
          <w:highlight w:val="none"/>
          <w:lang w:eastAsia="zh-CN"/>
        </w:rPr>
        <w:t>的约谈</w:t>
      </w:r>
      <w:r>
        <w:rPr>
          <w:rFonts w:hint="eastAsia" w:ascii="宋体" w:hAnsi="宋体" w:eastAsia="宋体" w:cs="宋体"/>
          <w:color w:val="auto"/>
          <w:sz w:val="21"/>
          <w:szCs w:val="21"/>
          <w:highlight w:val="none"/>
        </w:rPr>
        <w:t>。</w:t>
      </w:r>
    </w:p>
    <w:p w14:paraId="7C182D8E">
      <w:pPr>
        <w:pStyle w:val="15"/>
        <w:keepNext w:val="0"/>
        <w:keepLines w:val="0"/>
        <w:pageBreakBefore w:val="0"/>
        <w:kinsoku/>
        <w:wordWrap/>
        <w:overflowPunct/>
        <w:topLinePunct w:val="0"/>
        <w:autoSpaceDE/>
        <w:autoSpaceDN/>
        <w:bidi w:val="0"/>
        <w:adjustRightInd/>
        <w:snapToGrid/>
        <w:spacing w:line="288" w:lineRule="auto"/>
        <w:ind w:firstLine="422"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第五条</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lang w:val="en-US" w:eastAsia="zh-CN"/>
        </w:rPr>
        <w:t>被</w:t>
      </w:r>
      <w:r>
        <w:rPr>
          <w:rFonts w:hint="eastAsia" w:ascii="宋体" w:hAnsi="宋体" w:eastAsia="宋体" w:cs="宋体"/>
          <w:color w:val="auto"/>
          <w:sz w:val="21"/>
          <w:szCs w:val="21"/>
          <w:highlight w:val="none"/>
          <w:lang w:eastAsia="zh-CN"/>
        </w:rPr>
        <w:t>约谈单位需</w:t>
      </w:r>
      <w:r>
        <w:rPr>
          <w:rFonts w:hint="eastAsia" w:ascii="宋体" w:hAnsi="宋体" w:eastAsia="宋体" w:cs="宋体"/>
          <w:color w:val="auto"/>
          <w:sz w:val="21"/>
          <w:szCs w:val="21"/>
          <w:highlight w:val="none"/>
        </w:rPr>
        <w:t>法定代表人或</w:t>
      </w:r>
      <w:r>
        <w:rPr>
          <w:rFonts w:hint="eastAsia" w:ascii="宋体" w:hAnsi="宋体" w:eastAsia="宋体" w:cs="宋体"/>
          <w:color w:val="auto"/>
          <w:sz w:val="21"/>
          <w:szCs w:val="21"/>
          <w:highlight w:val="none"/>
          <w:lang w:eastAsia="zh-CN"/>
        </w:rPr>
        <w:t>企业</w:t>
      </w:r>
      <w:r>
        <w:rPr>
          <w:rFonts w:hint="eastAsia" w:ascii="宋体" w:hAnsi="宋体" w:eastAsia="宋体" w:cs="宋体"/>
          <w:color w:val="auto"/>
          <w:sz w:val="21"/>
          <w:szCs w:val="21"/>
          <w:highlight w:val="none"/>
        </w:rPr>
        <w:t>负责人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项目负责人</w:t>
      </w:r>
      <w:r>
        <w:rPr>
          <w:rFonts w:hint="eastAsia" w:ascii="宋体" w:hAnsi="宋体" w:eastAsia="宋体" w:cs="宋体"/>
          <w:color w:val="auto"/>
          <w:sz w:val="21"/>
          <w:szCs w:val="21"/>
          <w:highlight w:val="none"/>
          <w:lang w:eastAsia="zh-CN"/>
        </w:rPr>
        <w:t>和</w:t>
      </w:r>
      <w:r>
        <w:rPr>
          <w:rFonts w:hint="eastAsia" w:ascii="宋体" w:hAnsi="宋体" w:eastAsia="宋体" w:cs="宋体"/>
          <w:color w:val="auto"/>
          <w:sz w:val="21"/>
          <w:szCs w:val="21"/>
          <w:highlight w:val="none"/>
        </w:rPr>
        <w:t>项目技术负责人等携带有效</w:t>
      </w:r>
      <w:r>
        <w:rPr>
          <w:rFonts w:hint="eastAsia" w:ascii="宋体" w:hAnsi="宋体" w:eastAsia="宋体" w:cs="宋体"/>
          <w:color w:val="auto"/>
          <w:sz w:val="21"/>
          <w:szCs w:val="21"/>
          <w:highlight w:val="none"/>
          <w:lang w:eastAsia="zh-CN"/>
        </w:rPr>
        <w:t>身份</w:t>
      </w:r>
      <w:r>
        <w:rPr>
          <w:rFonts w:hint="eastAsia" w:ascii="宋体" w:hAnsi="宋体" w:eastAsia="宋体" w:cs="宋体"/>
          <w:color w:val="auto"/>
          <w:sz w:val="21"/>
          <w:szCs w:val="21"/>
          <w:highlight w:val="none"/>
        </w:rPr>
        <w:t>证件参加约谈，</w:t>
      </w:r>
      <w:r>
        <w:rPr>
          <w:rFonts w:hint="eastAsia" w:ascii="宋体" w:hAnsi="宋体" w:eastAsia="宋体" w:cs="宋体"/>
          <w:color w:val="auto"/>
          <w:sz w:val="21"/>
          <w:szCs w:val="21"/>
          <w:highlight w:val="none"/>
          <w:lang w:eastAsia="zh-CN"/>
        </w:rPr>
        <w:t>企业</w:t>
      </w:r>
      <w:r>
        <w:rPr>
          <w:rFonts w:hint="eastAsia" w:ascii="宋体" w:hAnsi="宋体" w:eastAsia="宋体" w:cs="宋体"/>
          <w:color w:val="auto"/>
          <w:sz w:val="21"/>
          <w:szCs w:val="21"/>
          <w:highlight w:val="none"/>
        </w:rPr>
        <w:t>负责人</w:t>
      </w:r>
      <w:r>
        <w:rPr>
          <w:rFonts w:hint="eastAsia" w:ascii="宋体" w:hAnsi="宋体" w:eastAsia="宋体" w:cs="宋体"/>
          <w:color w:val="auto"/>
          <w:sz w:val="21"/>
          <w:szCs w:val="21"/>
          <w:highlight w:val="none"/>
          <w:lang w:eastAsia="zh-CN"/>
        </w:rPr>
        <w:t>还</w:t>
      </w:r>
      <w:r>
        <w:rPr>
          <w:rFonts w:hint="eastAsia" w:ascii="宋体" w:hAnsi="宋体" w:eastAsia="宋体" w:cs="宋体"/>
          <w:color w:val="auto"/>
          <w:sz w:val="21"/>
          <w:szCs w:val="21"/>
          <w:highlight w:val="none"/>
        </w:rPr>
        <w:t>需携带公司授权委托书</w:t>
      </w:r>
      <w:r>
        <w:rPr>
          <w:rFonts w:hint="eastAsia" w:ascii="宋体" w:hAnsi="宋体" w:eastAsia="宋体" w:cs="宋体"/>
          <w:color w:val="auto"/>
          <w:sz w:val="21"/>
          <w:szCs w:val="21"/>
          <w:highlight w:val="none"/>
          <w:lang w:eastAsia="zh-CN"/>
        </w:rPr>
        <w:t>和职务证明</w:t>
      </w:r>
      <w:r>
        <w:rPr>
          <w:rFonts w:hint="eastAsia" w:ascii="宋体" w:hAnsi="宋体" w:eastAsia="宋体" w:cs="宋体"/>
          <w:color w:val="auto"/>
          <w:sz w:val="21"/>
          <w:szCs w:val="21"/>
          <w:highlight w:val="none"/>
        </w:rPr>
        <w:t>文件。</w:t>
      </w:r>
    </w:p>
    <w:p w14:paraId="5793FB8B">
      <w:pPr>
        <w:pStyle w:val="15"/>
        <w:keepNext w:val="0"/>
        <w:keepLines w:val="0"/>
        <w:pageBreakBefore w:val="0"/>
        <w:kinsoku/>
        <w:wordWrap/>
        <w:overflowPunct/>
        <w:topLinePunct w:val="0"/>
        <w:autoSpaceDE/>
        <w:autoSpaceDN/>
        <w:bidi w:val="0"/>
        <w:adjustRightInd/>
        <w:snapToGrid/>
        <w:spacing w:line="288" w:lineRule="auto"/>
        <w:ind w:firstLine="422" w:firstLineChars="200"/>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b/>
          <w:color w:val="auto"/>
          <w:sz w:val="21"/>
          <w:szCs w:val="21"/>
          <w:highlight w:val="none"/>
        </w:rPr>
        <w:t>第</w:t>
      </w:r>
      <w:r>
        <w:rPr>
          <w:rFonts w:hint="eastAsia" w:ascii="宋体" w:hAnsi="宋体" w:eastAsia="宋体" w:cs="宋体"/>
          <w:b/>
          <w:color w:val="auto"/>
          <w:sz w:val="21"/>
          <w:szCs w:val="21"/>
          <w:highlight w:val="none"/>
          <w:lang w:eastAsia="zh-CN"/>
        </w:rPr>
        <w:t>六</w:t>
      </w:r>
      <w:r>
        <w:rPr>
          <w:rFonts w:hint="eastAsia" w:ascii="宋体" w:hAnsi="宋体" w:eastAsia="宋体" w:cs="宋体"/>
          <w:b/>
          <w:color w:val="auto"/>
          <w:sz w:val="21"/>
          <w:szCs w:val="21"/>
          <w:highlight w:val="none"/>
        </w:rPr>
        <w:t xml:space="preserve">条 </w:t>
      </w:r>
      <w:r>
        <w:rPr>
          <w:rFonts w:hint="eastAsia" w:ascii="宋体" w:hAnsi="宋体" w:eastAsia="宋体" w:cs="宋体"/>
          <w:color w:val="auto"/>
          <w:sz w:val="21"/>
          <w:szCs w:val="21"/>
          <w:highlight w:val="none"/>
        </w:rPr>
        <w:t>履约约谈</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rPr>
        <w:t>情形</w:t>
      </w:r>
      <w:r>
        <w:rPr>
          <w:rFonts w:hint="eastAsia" w:ascii="宋体" w:hAnsi="宋体" w:eastAsia="宋体" w:cs="宋体"/>
          <w:color w:val="auto"/>
          <w:sz w:val="21"/>
          <w:szCs w:val="21"/>
          <w:highlight w:val="none"/>
          <w:lang w:eastAsia="zh-CN"/>
        </w:rPr>
        <w:t>：</w:t>
      </w:r>
    </w:p>
    <w:p w14:paraId="1F037885">
      <w:pPr>
        <w:pStyle w:val="15"/>
        <w:keepNext w:val="0"/>
        <w:keepLines w:val="0"/>
        <w:pageBreakBefore w:val="0"/>
        <w:kinsoku/>
        <w:wordWrap/>
        <w:overflowPunct/>
        <w:topLinePunct w:val="0"/>
        <w:autoSpaceDE/>
        <w:autoSpaceDN/>
        <w:bidi w:val="0"/>
        <w:adjustRightInd/>
        <w:snapToGrid/>
        <w:spacing w:line="288" w:lineRule="auto"/>
        <w:ind w:firstLine="420" w:firstLineChars="200"/>
        <w:textAlignment w:val="auto"/>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（一）人员</w:t>
      </w:r>
      <w:r>
        <w:rPr>
          <w:rFonts w:hint="eastAsia" w:ascii="宋体" w:hAnsi="宋体" w:eastAsia="宋体" w:cs="宋体"/>
          <w:color w:val="auto"/>
          <w:sz w:val="21"/>
          <w:szCs w:val="21"/>
          <w:highlight w:val="none"/>
        </w:rPr>
        <w:t>到岗、履责</w:t>
      </w:r>
      <w:r>
        <w:rPr>
          <w:rFonts w:hint="eastAsia" w:ascii="宋体" w:hAnsi="宋体" w:eastAsia="宋体" w:cs="宋体"/>
          <w:bCs/>
          <w:color w:val="auto"/>
          <w:sz w:val="21"/>
          <w:szCs w:val="21"/>
          <w:highlight w:val="none"/>
        </w:rPr>
        <w:t>不符合要求的；</w:t>
      </w:r>
    </w:p>
    <w:p w14:paraId="44BE9017">
      <w:pPr>
        <w:keepNext w:val="0"/>
        <w:keepLines w:val="0"/>
        <w:pageBreakBefore w:val="0"/>
        <w:kinsoku/>
        <w:wordWrap/>
        <w:overflowPunct/>
        <w:topLinePunct w:val="0"/>
        <w:autoSpaceDE/>
        <w:autoSpaceDN/>
        <w:bidi w:val="0"/>
        <w:adjustRightInd/>
        <w:snapToGrid/>
        <w:spacing w:line="288"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（二）不配合办理项目建设手续的；</w:t>
      </w:r>
    </w:p>
    <w:p w14:paraId="4D409953">
      <w:pPr>
        <w:pStyle w:val="15"/>
        <w:keepNext w:val="0"/>
        <w:keepLines w:val="0"/>
        <w:pageBreakBefore w:val="0"/>
        <w:kinsoku/>
        <w:wordWrap/>
        <w:overflowPunct/>
        <w:topLinePunct w:val="0"/>
        <w:autoSpaceDE/>
        <w:autoSpaceDN/>
        <w:bidi w:val="0"/>
        <w:adjustRightInd/>
        <w:snapToGrid/>
        <w:spacing w:line="288" w:lineRule="auto"/>
        <w:ind w:firstLine="420" w:firstLineChars="200"/>
        <w:textAlignment w:val="auto"/>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（三）出现质量安全隐患整改</w:t>
      </w:r>
      <w:r>
        <w:rPr>
          <w:rFonts w:hint="eastAsia" w:ascii="宋体" w:hAnsi="宋体" w:eastAsia="宋体" w:cs="宋体"/>
          <w:color w:val="auto"/>
          <w:sz w:val="21"/>
          <w:szCs w:val="21"/>
          <w:highlight w:val="none"/>
        </w:rPr>
        <w:t>不及时、不到位的</w:t>
      </w:r>
      <w:r>
        <w:rPr>
          <w:rFonts w:hint="eastAsia" w:ascii="宋体" w:hAnsi="宋体" w:eastAsia="宋体" w:cs="宋体"/>
          <w:bCs/>
          <w:color w:val="auto"/>
          <w:sz w:val="21"/>
          <w:szCs w:val="21"/>
          <w:highlight w:val="none"/>
        </w:rPr>
        <w:t>；</w:t>
      </w:r>
    </w:p>
    <w:p w14:paraId="3D9C6642">
      <w:pPr>
        <w:pStyle w:val="15"/>
        <w:keepNext w:val="0"/>
        <w:keepLines w:val="0"/>
        <w:pageBreakBefore w:val="0"/>
        <w:kinsoku/>
        <w:wordWrap/>
        <w:overflowPunct/>
        <w:topLinePunct w:val="0"/>
        <w:autoSpaceDE/>
        <w:autoSpaceDN/>
        <w:bidi w:val="0"/>
        <w:adjustRightInd/>
        <w:snapToGrid/>
        <w:spacing w:line="288" w:lineRule="auto"/>
        <w:ind w:firstLine="420" w:firstLineChars="200"/>
        <w:textAlignment w:val="auto"/>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（四）施工现场不服从调度或工程进度</w:t>
      </w:r>
      <w:r>
        <w:rPr>
          <w:rFonts w:hint="eastAsia" w:ascii="宋体" w:hAnsi="宋体" w:eastAsia="宋体" w:cs="宋体"/>
          <w:color w:val="auto"/>
          <w:sz w:val="21"/>
          <w:szCs w:val="21"/>
          <w:highlight w:val="none"/>
        </w:rPr>
        <w:t>滞后</w:t>
      </w:r>
      <w:r>
        <w:rPr>
          <w:rFonts w:hint="eastAsia" w:ascii="宋体" w:hAnsi="宋体" w:eastAsia="宋体" w:cs="宋体"/>
          <w:bCs/>
          <w:color w:val="auto"/>
          <w:sz w:val="21"/>
          <w:szCs w:val="21"/>
          <w:highlight w:val="none"/>
        </w:rPr>
        <w:t>，严重影响工期的；</w:t>
      </w:r>
    </w:p>
    <w:p w14:paraId="590476DE">
      <w:pPr>
        <w:keepNext w:val="0"/>
        <w:keepLines w:val="0"/>
        <w:pageBreakBefore w:val="0"/>
        <w:kinsoku/>
        <w:wordWrap/>
        <w:overflowPunct/>
        <w:topLinePunct w:val="0"/>
        <w:autoSpaceDE/>
        <w:autoSpaceDN/>
        <w:bidi w:val="0"/>
        <w:adjustRightInd/>
        <w:snapToGrid/>
        <w:spacing w:line="288" w:lineRule="auto"/>
        <w:ind w:firstLine="420" w:firstLineChars="200"/>
        <w:textAlignment w:val="auto"/>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（五）出现质量安全事故的；</w:t>
      </w:r>
    </w:p>
    <w:p w14:paraId="6EF07AFE">
      <w:pPr>
        <w:keepNext w:val="0"/>
        <w:keepLines w:val="0"/>
        <w:pageBreakBefore w:val="0"/>
        <w:widowControl/>
        <w:kinsoku/>
        <w:wordWrap/>
        <w:overflowPunct/>
        <w:topLinePunct w:val="0"/>
        <w:autoSpaceDE/>
        <w:autoSpaceDN/>
        <w:bidi w:val="0"/>
        <w:adjustRightInd/>
        <w:snapToGrid/>
        <w:spacing w:line="288" w:lineRule="auto"/>
        <w:ind w:firstLine="420" w:firstLineChars="200"/>
        <w:textAlignment w:val="auto"/>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（六）拖欠农民工工资或因工资、材料款</w:t>
      </w:r>
      <w:r>
        <w:rPr>
          <w:rFonts w:hint="eastAsia" w:ascii="宋体" w:hAnsi="宋体" w:eastAsia="宋体" w:cs="宋体"/>
          <w:color w:val="auto"/>
          <w:sz w:val="21"/>
          <w:szCs w:val="21"/>
          <w:highlight w:val="none"/>
        </w:rPr>
        <w:t>原因</w:t>
      </w:r>
      <w:r>
        <w:rPr>
          <w:rFonts w:hint="eastAsia" w:ascii="宋体" w:hAnsi="宋体" w:eastAsia="宋体" w:cs="宋体"/>
          <w:bCs/>
          <w:color w:val="auto"/>
          <w:sz w:val="21"/>
          <w:szCs w:val="21"/>
          <w:highlight w:val="none"/>
        </w:rPr>
        <w:t>等造成一定影响的</w:t>
      </w:r>
      <w:r>
        <w:rPr>
          <w:rFonts w:hint="eastAsia" w:ascii="宋体" w:hAnsi="宋体" w:eastAsia="宋体" w:cs="宋体"/>
          <w:bCs/>
          <w:color w:val="auto"/>
          <w:sz w:val="21"/>
          <w:szCs w:val="21"/>
          <w:highlight w:val="none"/>
          <w:lang w:eastAsia="zh-CN"/>
        </w:rPr>
        <w:t>或</w:t>
      </w:r>
      <w:r>
        <w:rPr>
          <w:rFonts w:hint="eastAsia" w:ascii="宋体" w:hAnsi="宋体" w:eastAsia="宋体" w:cs="宋体"/>
          <w:bCs/>
          <w:color w:val="auto"/>
          <w:sz w:val="21"/>
          <w:szCs w:val="21"/>
          <w:highlight w:val="none"/>
        </w:rPr>
        <w:t>出现群访事件处理不及时的；</w:t>
      </w:r>
    </w:p>
    <w:p w14:paraId="2CF3B601">
      <w:pPr>
        <w:pStyle w:val="44"/>
        <w:keepNext w:val="0"/>
        <w:keepLines w:val="0"/>
        <w:pageBreakBefore w:val="0"/>
        <w:kinsoku/>
        <w:wordWrap/>
        <w:overflowPunct/>
        <w:topLinePunct w:val="0"/>
        <w:autoSpaceDE/>
        <w:autoSpaceDN/>
        <w:bidi w:val="0"/>
        <w:adjustRightInd/>
        <w:snapToGrid/>
        <w:spacing w:line="288" w:lineRule="auto"/>
        <w:ind w:left="0" w:leftChars="0" w:firstLine="640"/>
        <w:textAlignment w:val="auto"/>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（七）工程竣工半年(含)以上经多次催促未完成竣工结算的；</w:t>
      </w:r>
    </w:p>
    <w:p w14:paraId="406981B5">
      <w:pPr>
        <w:keepNext w:val="0"/>
        <w:keepLines w:val="0"/>
        <w:pageBreakBefore w:val="0"/>
        <w:widowControl/>
        <w:kinsoku/>
        <w:wordWrap/>
        <w:overflowPunct/>
        <w:topLinePunct w:val="0"/>
        <w:autoSpaceDE/>
        <w:autoSpaceDN/>
        <w:bidi w:val="0"/>
        <w:adjustRightInd/>
        <w:snapToGrid/>
        <w:spacing w:line="288" w:lineRule="auto"/>
        <w:ind w:firstLine="420" w:firstLineChars="200"/>
        <w:textAlignment w:val="auto"/>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（八）未按合同期限按时移交的；</w:t>
      </w:r>
    </w:p>
    <w:p w14:paraId="43D6C604">
      <w:pPr>
        <w:pStyle w:val="44"/>
        <w:keepNext w:val="0"/>
        <w:keepLines w:val="0"/>
        <w:pageBreakBefore w:val="0"/>
        <w:kinsoku/>
        <w:wordWrap/>
        <w:overflowPunct/>
        <w:topLinePunct w:val="0"/>
        <w:autoSpaceDE/>
        <w:autoSpaceDN/>
        <w:bidi w:val="0"/>
        <w:adjustRightInd/>
        <w:snapToGrid/>
        <w:spacing w:line="288" w:lineRule="auto"/>
        <w:ind w:left="0" w:leftChars="0" w:firstLine="640"/>
        <w:textAlignment w:val="auto"/>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（九）不按规定提供工程资料造成不能归档的或归档不及时的；</w:t>
      </w:r>
    </w:p>
    <w:p w14:paraId="121C47E0">
      <w:pPr>
        <w:keepNext w:val="0"/>
        <w:keepLines w:val="0"/>
        <w:pageBreakBefore w:val="0"/>
        <w:widowControl/>
        <w:kinsoku/>
        <w:wordWrap/>
        <w:overflowPunct/>
        <w:topLinePunct w:val="0"/>
        <w:autoSpaceDE/>
        <w:autoSpaceDN/>
        <w:bidi w:val="0"/>
        <w:adjustRightInd/>
        <w:snapToGrid/>
        <w:spacing w:line="288" w:lineRule="auto"/>
        <w:ind w:firstLine="420" w:firstLineChars="200"/>
        <w:textAlignment w:val="auto"/>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（十）其他情形。</w:t>
      </w:r>
    </w:p>
    <w:p w14:paraId="6154561E">
      <w:pPr>
        <w:keepNext w:val="0"/>
        <w:keepLines w:val="0"/>
        <w:pageBreakBefore w:val="0"/>
        <w:kinsoku/>
        <w:wordWrap/>
        <w:overflowPunct/>
        <w:topLinePunct w:val="0"/>
        <w:autoSpaceDE/>
        <w:autoSpaceDN/>
        <w:bidi w:val="0"/>
        <w:adjustRightInd/>
        <w:snapToGrid/>
        <w:spacing w:line="288" w:lineRule="auto"/>
        <w:ind w:firstLine="422" w:firstLineChars="200"/>
        <w:textAlignment w:val="auto"/>
        <w:outlineLvl w:val="9"/>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第</w:t>
      </w:r>
      <w:r>
        <w:rPr>
          <w:rFonts w:hint="eastAsia" w:ascii="宋体" w:hAnsi="宋体" w:eastAsia="宋体" w:cs="宋体"/>
          <w:b/>
          <w:color w:val="auto"/>
          <w:sz w:val="21"/>
          <w:szCs w:val="21"/>
          <w:highlight w:val="none"/>
          <w:lang w:eastAsia="zh-CN"/>
        </w:rPr>
        <w:t>七</w:t>
      </w:r>
      <w:r>
        <w:rPr>
          <w:rFonts w:hint="eastAsia" w:ascii="宋体" w:hAnsi="宋体" w:eastAsia="宋体" w:cs="宋体"/>
          <w:b/>
          <w:color w:val="auto"/>
          <w:sz w:val="21"/>
          <w:szCs w:val="21"/>
          <w:highlight w:val="none"/>
        </w:rPr>
        <w:t xml:space="preserve">条 </w:t>
      </w:r>
      <w:r>
        <w:rPr>
          <w:rFonts w:hint="eastAsia" w:ascii="宋体" w:hAnsi="宋体" w:eastAsia="宋体" w:cs="宋体"/>
          <w:bCs/>
          <w:color w:val="auto"/>
          <w:sz w:val="21"/>
          <w:szCs w:val="21"/>
          <w:highlight w:val="none"/>
        </w:rPr>
        <w:t>罚则</w:t>
      </w:r>
    </w:p>
    <w:p w14:paraId="66EB0EB3">
      <w:pPr>
        <w:pStyle w:val="15"/>
        <w:keepNext w:val="0"/>
        <w:keepLines w:val="0"/>
        <w:pageBreakBefore w:val="0"/>
        <w:kinsoku/>
        <w:wordWrap/>
        <w:overflowPunct/>
        <w:topLinePunct w:val="0"/>
        <w:autoSpaceDE/>
        <w:autoSpaceDN/>
        <w:bidi w:val="0"/>
        <w:adjustRightInd/>
        <w:snapToGrid/>
        <w:spacing w:line="288"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w:t>
      </w:r>
      <w:r>
        <w:rPr>
          <w:rFonts w:hint="eastAsia" w:ascii="宋体" w:hAnsi="宋体" w:eastAsia="宋体" w:cs="宋体"/>
          <w:bCs/>
          <w:color w:val="auto"/>
          <w:sz w:val="21"/>
          <w:szCs w:val="21"/>
          <w:highlight w:val="none"/>
        </w:rPr>
        <w:t>未经批准</w:t>
      </w:r>
      <w:r>
        <w:rPr>
          <w:rFonts w:hint="eastAsia" w:ascii="宋体" w:hAnsi="宋体" w:eastAsia="宋体" w:cs="宋体"/>
          <w:bCs/>
          <w:color w:val="auto"/>
          <w:sz w:val="21"/>
          <w:szCs w:val="21"/>
          <w:highlight w:val="none"/>
          <w:lang w:eastAsia="zh-CN"/>
        </w:rPr>
        <w:t>不</w:t>
      </w:r>
      <w:r>
        <w:rPr>
          <w:rFonts w:hint="eastAsia" w:ascii="宋体" w:hAnsi="宋体" w:eastAsia="宋体" w:cs="宋体"/>
          <w:bCs/>
          <w:color w:val="auto"/>
          <w:sz w:val="21"/>
          <w:szCs w:val="21"/>
          <w:highlight w:val="none"/>
        </w:rPr>
        <w:t>按规定参加中标约谈的，取消中标资格，</w:t>
      </w:r>
      <w:r>
        <w:rPr>
          <w:rFonts w:hint="eastAsia" w:ascii="宋体" w:hAnsi="宋体" w:eastAsia="宋体" w:cs="宋体"/>
          <w:color w:val="auto"/>
          <w:sz w:val="21"/>
          <w:szCs w:val="21"/>
          <w:highlight w:val="none"/>
        </w:rPr>
        <w:t>投标保证金</w:t>
      </w:r>
      <w:r>
        <w:rPr>
          <w:rFonts w:hint="eastAsia" w:ascii="宋体" w:hAnsi="宋体" w:eastAsia="宋体" w:cs="宋体"/>
          <w:color w:val="auto"/>
          <w:sz w:val="21"/>
          <w:szCs w:val="21"/>
          <w:highlight w:val="none"/>
          <w:lang w:eastAsia="zh-CN"/>
        </w:rPr>
        <w:t>不予退还</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rPr>
        <w:t>情节严重的，提请建设、招标等行政主管部门依法查处。</w:t>
      </w:r>
    </w:p>
    <w:p w14:paraId="26510ADC">
      <w:pPr>
        <w:keepNext w:val="0"/>
        <w:keepLines w:val="0"/>
        <w:pageBreakBefore w:val="0"/>
        <w:kinsoku/>
        <w:wordWrap/>
        <w:overflowPunct/>
        <w:topLinePunct w:val="0"/>
        <w:autoSpaceDE/>
        <w:autoSpaceDN/>
        <w:bidi w:val="0"/>
        <w:adjustRightInd/>
        <w:snapToGrid/>
        <w:spacing w:line="288"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（二）未经批准</w:t>
      </w:r>
      <w:r>
        <w:rPr>
          <w:rFonts w:hint="eastAsia" w:ascii="宋体" w:hAnsi="宋体" w:eastAsia="宋体" w:cs="宋体"/>
          <w:color w:val="auto"/>
          <w:sz w:val="21"/>
          <w:szCs w:val="21"/>
          <w:highlight w:val="none"/>
          <w:lang w:eastAsia="zh-CN"/>
        </w:rPr>
        <w:t>不</w:t>
      </w:r>
      <w:r>
        <w:rPr>
          <w:rFonts w:hint="eastAsia" w:ascii="宋体" w:hAnsi="宋体" w:eastAsia="宋体" w:cs="宋体"/>
          <w:color w:val="auto"/>
          <w:sz w:val="21"/>
          <w:szCs w:val="21"/>
          <w:highlight w:val="none"/>
        </w:rPr>
        <w:t>按规定参加履约约谈</w:t>
      </w:r>
      <w:r>
        <w:rPr>
          <w:rFonts w:hint="eastAsia" w:ascii="宋体" w:hAnsi="宋体" w:eastAsia="宋体" w:cs="宋体"/>
          <w:bCs/>
          <w:color w:val="auto"/>
          <w:sz w:val="21"/>
          <w:szCs w:val="21"/>
          <w:highlight w:val="none"/>
        </w:rPr>
        <w:t>的或</w:t>
      </w:r>
      <w:r>
        <w:rPr>
          <w:rFonts w:hint="eastAsia" w:ascii="宋体" w:hAnsi="宋体" w:eastAsia="宋体" w:cs="宋体"/>
          <w:color w:val="auto"/>
          <w:sz w:val="21"/>
          <w:szCs w:val="21"/>
          <w:highlight w:val="none"/>
        </w:rPr>
        <w:t>约谈后未按要求整改的</w:t>
      </w:r>
      <w:r>
        <w:rPr>
          <w:rFonts w:hint="eastAsia" w:ascii="宋体" w:hAnsi="宋体" w:eastAsia="宋体" w:cs="宋体"/>
          <w:color w:val="auto"/>
          <w:sz w:val="21"/>
          <w:szCs w:val="21"/>
          <w:highlight w:val="none"/>
          <w:lang w:eastAsia="zh-CN"/>
        </w:rPr>
        <w:t>或</w:t>
      </w:r>
      <w:r>
        <w:rPr>
          <w:rFonts w:hint="eastAsia" w:ascii="宋体" w:hAnsi="宋体" w:eastAsia="宋体" w:cs="宋体"/>
          <w:color w:val="auto"/>
          <w:sz w:val="21"/>
          <w:szCs w:val="21"/>
          <w:highlight w:val="none"/>
        </w:rPr>
        <w:t>限期内整改</w:t>
      </w:r>
      <w:r>
        <w:rPr>
          <w:rFonts w:hint="eastAsia" w:ascii="宋体" w:hAnsi="宋体" w:eastAsia="宋体" w:cs="宋体"/>
          <w:color w:val="auto"/>
          <w:sz w:val="21"/>
          <w:szCs w:val="21"/>
          <w:highlight w:val="none"/>
          <w:lang w:eastAsia="zh-CN"/>
        </w:rPr>
        <w:t>不到位</w:t>
      </w:r>
      <w:r>
        <w:rPr>
          <w:rFonts w:hint="eastAsia" w:ascii="宋体" w:hAnsi="宋体" w:eastAsia="宋体" w:cs="宋体"/>
          <w:color w:val="auto"/>
          <w:sz w:val="21"/>
          <w:szCs w:val="21"/>
          <w:highlight w:val="none"/>
        </w:rPr>
        <w:t>的，情节严重的，提请建设、招标等行政主管部门依法查处。</w:t>
      </w:r>
    </w:p>
    <w:p w14:paraId="4CB71B43">
      <w:pPr>
        <w:keepNext w:val="0"/>
        <w:keepLines w:val="0"/>
        <w:pageBreakBefore w:val="0"/>
        <w:kinsoku/>
        <w:wordWrap/>
        <w:overflowPunct/>
        <w:topLinePunct w:val="0"/>
        <w:autoSpaceDE/>
        <w:autoSpaceDN/>
        <w:bidi w:val="0"/>
        <w:adjustRightInd/>
        <w:snapToGrid/>
        <w:spacing w:line="288" w:lineRule="auto"/>
        <w:ind w:firstLine="422"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b/>
          <w:bCs w:val="0"/>
          <w:color w:val="auto"/>
          <w:sz w:val="21"/>
          <w:szCs w:val="21"/>
          <w:highlight w:val="none"/>
        </w:rPr>
        <w:t>第</w:t>
      </w:r>
      <w:r>
        <w:rPr>
          <w:rFonts w:hint="eastAsia" w:ascii="宋体" w:hAnsi="宋体" w:eastAsia="宋体" w:cs="宋体"/>
          <w:b/>
          <w:bCs w:val="0"/>
          <w:color w:val="auto"/>
          <w:sz w:val="21"/>
          <w:szCs w:val="21"/>
          <w:highlight w:val="none"/>
          <w:lang w:eastAsia="zh-CN"/>
        </w:rPr>
        <w:t>八</w:t>
      </w:r>
      <w:r>
        <w:rPr>
          <w:rFonts w:hint="eastAsia" w:ascii="宋体" w:hAnsi="宋体" w:eastAsia="宋体" w:cs="宋体"/>
          <w:b/>
          <w:bCs w:val="0"/>
          <w:color w:val="auto"/>
          <w:sz w:val="21"/>
          <w:szCs w:val="21"/>
          <w:highlight w:val="none"/>
        </w:rPr>
        <w:t>条</w:t>
      </w:r>
      <w:r>
        <w:rPr>
          <w:rFonts w:hint="eastAsia" w:ascii="宋体" w:hAnsi="宋体" w:eastAsia="宋体" w:cs="宋体"/>
          <w:b/>
          <w:bCs/>
          <w:color w:val="auto"/>
          <w:sz w:val="21"/>
          <w:szCs w:val="21"/>
          <w:highlight w:val="none"/>
        </w:rPr>
        <w:t xml:space="preserve"> </w:t>
      </w:r>
      <w:r>
        <w:rPr>
          <w:rFonts w:hint="eastAsia" w:ascii="宋体" w:hAnsi="宋体" w:eastAsia="宋体" w:cs="宋体"/>
          <w:color w:val="auto"/>
          <w:sz w:val="21"/>
          <w:szCs w:val="21"/>
          <w:highlight w:val="none"/>
        </w:rPr>
        <w:t>本规定自发布之日起施行</w:t>
      </w:r>
      <w:r>
        <w:rPr>
          <w:rFonts w:hint="eastAsia" w:ascii="宋体" w:hAnsi="宋体" w:eastAsia="宋体" w:cs="宋体"/>
          <w:color w:val="auto"/>
          <w:sz w:val="21"/>
          <w:szCs w:val="21"/>
          <w:highlight w:val="none"/>
          <w:lang w:eastAsia="zh-CN"/>
        </w:rPr>
        <w:t>，处属各中心参照执行</w:t>
      </w:r>
      <w:r>
        <w:rPr>
          <w:rFonts w:hint="eastAsia" w:ascii="宋体" w:hAnsi="宋体" w:eastAsia="宋体" w:cs="宋体"/>
          <w:color w:val="auto"/>
          <w:sz w:val="21"/>
          <w:szCs w:val="21"/>
          <w:highlight w:val="none"/>
        </w:rPr>
        <w:t>。</w:t>
      </w:r>
    </w:p>
    <w:p w14:paraId="6294B307">
      <w:pPr>
        <w:pStyle w:val="27"/>
        <w:keepNext w:val="0"/>
        <w:keepLines w:val="0"/>
        <w:pageBreakBefore w:val="0"/>
        <w:kinsoku/>
        <w:wordWrap/>
        <w:overflowPunct/>
        <w:topLinePunct w:val="0"/>
        <w:autoSpaceDE/>
        <w:autoSpaceDN/>
        <w:bidi w:val="0"/>
        <w:adjustRightInd/>
        <w:snapToGrid/>
        <w:spacing w:line="288" w:lineRule="auto"/>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附件：到岗履责承诺书</w:t>
      </w:r>
    </w:p>
    <w:p w14:paraId="7669EDFD">
      <w:pPr>
        <w:keepNext w:val="0"/>
        <w:keepLines w:val="0"/>
        <w:pageBreakBefore/>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到岗履责承诺书</w:t>
      </w:r>
    </w:p>
    <w:p w14:paraId="435CB845">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p>
    <w:p w14:paraId="74BEB8A3">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本人被任命为</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工程</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岗位职务，本人保证能到岗到位，履行岗位管理职责，并做如下郑重承诺：</w:t>
      </w:r>
    </w:p>
    <w:p w14:paraId="1C60C9B9">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一、按本项目招标文件及滁州市相关文件等要求，若不能按要求到岗，同意接受处罚；</w:t>
      </w:r>
    </w:p>
    <w:p w14:paraId="37E76E39">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二、本人按招、投标文件的承诺等，履行相关法律、法规、规范和合同约定的义务；否则，按有关法律、法规和重点</w:t>
      </w:r>
      <w:r>
        <w:rPr>
          <w:rFonts w:hint="eastAsia" w:ascii="宋体" w:hAnsi="宋体" w:eastAsia="宋体" w:cs="宋体"/>
          <w:color w:val="auto"/>
          <w:sz w:val="24"/>
          <w:szCs w:val="24"/>
          <w:highlight w:val="none"/>
          <w:lang w:eastAsia="zh-CN"/>
        </w:rPr>
        <w:t>处</w:t>
      </w:r>
      <w:r>
        <w:rPr>
          <w:rFonts w:hint="eastAsia" w:ascii="宋体" w:hAnsi="宋体" w:eastAsia="宋体" w:cs="宋体"/>
          <w:color w:val="auto"/>
          <w:sz w:val="24"/>
          <w:szCs w:val="24"/>
          <w:highlight w:val="none"/>
        </w:rPr>
        <w:t>有关文件进行处罚。</w:t>
      </w:r>
    </w:p>
    <w:p w14:paraId="2FC1E33D">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三、本人同意把岗位证书交重点</w:t>
      </w:r>
      <w:r>
        <w:rPr>
          <w:rFonts w:hint="eastAsia" w:ascii="宋体" w:hAnsi="宋体" w:eastAsia="宋体" w:cs="宋体"/>
          <w:color w:val="auto"/>
          <w:sz w:val="24"/>
          <w:szCs w:val="24"/>
          <w:highlight w:val="none"/>
          <w:lang w:eastAsia="zh-CN"/>
        </w:rPr>
        <w:t>处</w:t>
      </w:r>
      <w:r>
        <w:rPr>
          <w:rFonts w:hint="eastAsia" w:ascii="宋体" w:hAnsi="宋体" w:eastAsia="宋体" w:cs="宋体"/>
          <w:color w:val="auto"/>
          <w:sz w:val="24"/>
          <w:szCs w:val="24"/>
          <w:highlight w:val="none"/>
        </w:rPr>
        <w:t>保管，直至工程竣工验收。若在工程施工管理过程中存在违法违规行为，愿意把自己岗位证书交相关管理部门注销。</w:t>
      </w:r>
    </w:p>
    <w:p w14:paraId="44E28758">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四、施工单位建造师、项目技术负责人、“五大员”等承诺常驻现场；监理单位总监、总监代表、专业监理、监理员、见证取样员等承诺常驻现场。</w:t>
      </w:r>
    </w:p>
    <w:p w14:paraId="2EC9EA40">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五、项目部、监理部组成人员承诺一周内到岗，否则同意取消中标资格。</w:t>
      </w:r>
    </w:p>
    <w:p w14:paraId="1F8D9D96">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六、项目部人员考勤由总监理工程师负责，业主代表每周进行随机考勤抽查，如考勤抽查记录与监理考勤记录不符，情况核实后，将对监理单位进行严厉处罚。</w:t>
      </w:r>
    </w:p>
    <w:p w14:paraId="51A99F4E">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p>
    <w:p w14:paraId="38A4245E">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承诺人：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承诺人所在单位：</w:t>
      </w:r>
    </w:p>
    <w:p w14:paraId="7EAACB42">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                             年   月   日</w:t>
      </w:r>
    </w:p>
    <w:p w14:paraId="55110887">
      <w:pPr>
        <w:pStyle w:val="17"/>
        <w:jc w:val="left"/>
        <w:rPr>
          <w:rFonts w:hint="eastAsia" w:ascii="宋体" w:hAnsi="宋体" w:eastAsia="宋体" w:cs="宋体"/>
          <w:color w:val="auto"/>
          <w:kern w:val="0"/>
          <w:sz w:val="24"/>
          <w:szCs w:val="24"/>
          <w:highlight w:val="none"/>
        </w:rPr>
      </w:pPr>
    </w:p>
    <w:sectPr>
      <w:footerReference r:id="rId9" w:type="default"/>
      <w:pgSz w:w="11906" w:h="16838"/>
      <w:pgMar w:top="935" w:right="1106" w:bottom="936" w:left="1259" w:header="680" w:footer="680" w:gutter="0"/>
      <w:pgNumType w:fmt="decimal"/>
      <w:cols w:space="0" w:num="1"/>
      <w:docGrid w:type="lines" w:linePitch="318"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Times">
    <w:altName w:val="Times New Roman"/>
    <w:panose1 w:val="02020603060405020304"/>
    <w:charset w:val="00"/>
    <w:family w:val="roman"/>
    <w:pitch w:val="default"/>
    <w:sig w:usb0="00000000" w:usb1="00000000" w:usb2="00000000" w:usb3="00000000" w:csb0="00000093"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华文中宋">
    <w:panose1 w:val="02010600040101010101"/>
    <w:charset w:val="86"/>
    <w:family w:val="auto"/>
    <w:pitch w:val="default"/>
    <w:sig w:usb0="00000287" w:usb1="080F0000" w:usb2="00000000" w:usb3="00000000" w:csb0="0004009F" w:csb1="DFD70000"/>
  </w:font>
  <w:font w:name="Wingdings 2">
    <w:panose1 w:val="05020102010507070707"/>
    <w:charset w:val="02"/>
    <w:family w:val="auto"/>
    <w:pitch w:val="default"/>
    <w:sig w:usb0="00000000" w:usb1="00000000" w:usb2="00000000" w:usb3="00000000" w:csb0="80000000" w:csb1="00000000"/>
  </w:font>
  <w:font w:name="方正小标宋简体">
    <w:altName w:val="黑体"/>
    <w:panose1 w:val="03000509000000000000"/>
    <w:charset w:val="86"/>
    <w:family w:val="auto"/>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EE9D1">
    <w:pPr>
      <w:pStyle w:val="29"/>
      <w:rPr>
        <w:rStyle w:val="49"/>
      </w:rPr>
    </w:pPr>
  </w:p>
  <w:p w14:paraId="24D89652">
    <w:pPr>
      <w:pStyle w:val="29"/>
      <w:ind w:right="360"/>
      <w:rPr>
        <w:kern w:val="0"/>
      </w:rPr>
    </w:pPr>
    <w:r>
      <mc:AlternateContent>
        <mc:Choice Requires="wps">
          <w:drawing>
            <wp:anchor distT="0" distB="0" distL="114300" distR="114300" simplePos="0" relativeHeight="251659264" behindDoc="0" locked="0" layoutInCell="1" allowOverlap="1">
              <wp:simplePos x="0" y="0"/>
              <wp:positionH relativeFrom="margin">
                <wp:posOffset>2400300</wp:posOffset>
              </wp:positionH>
              <wp:positionV relativeFrom="paragraph">
                <wp:posOffset>172720</wp:posOffset>
              </wp:positionV>
              <wp:extent cx="1285875" cy="198120"/>
              <wp:effectExtent l="0" t="0" r="0" b="0"/>
              <wp:wrapNone/>
              <wp:docPr id="5" name="文本框2"/>
              <wp:cNvGraphicFramePr/>
              <a:graphic xmlns:a="http://schemas.openxmlformats.org/drawingml/2006/main">
                <a:graphicData uri="http://schemas.microsoft.com/office/word/2010/wordprocessingShape">
                  <wps:wsp>
                    <wps:cNvSpPr/>
                    <wps:spPr>
                      <a:xfrm>
                        <a:off x="0" y="0"/>
                        <a:ext cx="1285875" cy="198120"/>
                      </a:xfrm>
                      <a:prstGeom prst="rect">
                        <a:avLst/>
                      </a:prstGeom>
                      <a:noFill/>
                      <a:ln>
                        <a:noFill/>
                      </a:ln>
                      <a:effectLst/>
                    </wps:spPr>
                    <wps:txbx>
                      <w:txbxContent>
                        <w:p w14:paraId="113FE5FF"/>
                      </w:txbxContent>
                    </wps:txbx>
                    <wps:bodyPr lIns="0" tIns="0" rIns="0" bIns="0" upright="1"/>
                  </wps:wsp>
                </a:graphicData>
              </a:graphic>
            </wp:anchor>
          </w:drawing>
        </mc:Choice>
        <mc:Fallback>
          <w:pict>
            <v:rect id="文本框2" o:spid="_x0000_s1026" o:spt="1" style="position:absolute;left:0pt;margin-left:189pt;margin-top:13.6pt;height:15.6pt;width:101.25pt;mso-position-horizontal-relative:margin;z-index:251659264;mso-width-relative:page;mso-height-relative:page;" filled="f" stroked="f" coordsize="21600,21600" o:gfxdata="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IksdxLaAAAACQEAAA8AAAAAAAAAAQAgAAAAIgAAAGRycy9kb3ducmV2LnhtbFBLAQIU&#10;ABQAAAAIAIdO4kAQQliKuAEAAHUDAAAOAAAAAAAAAAEAIAAAACkBAABkcnMvZTJvRG9jLnhtbFBL&#10;BQYAAAAABgAGAFkBAABTBQAAAAA=&#10;">
              <v:fill on="f" focussize="0,0"/>
              <v:stroke on="f"/>
              <v:imagedata o:title=""/>
              <o:lock v:ext="edit" aspectratio="f"/>
              <v:textbox inset="0mm,0mm,0mm,0mm">
                <w:txbxContent>
                  <w:p w14:paraId="113FE5FF"/>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8F5F65">
    <w:pPr>
      <w:pStyle w:val="29"/>
      <w:tabs>
        <w:tab w:val="center" w:pos="7483"/>
        <w:tab w:val="clear" w:pos="4153"/>
      </w:tabs>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12467DE">
                          <w:pPr>
                            <w:pStyle w:val="29"/>
                          </w:pPr>
                          <w:r>
                            <w:fldChar w:fldCharType="begin"/>
                          </w:r>
                          <w:r>
                            <w:instrText xml:space="preserve"> PAGE  \* MERGEFORMAT </w:instrText>
                          </w:r>
                          <w:r>
                            <w:fldChar w:fldCharType="separate"/>
                          </w:r>
                          <w:r>
                            <w:t></w:t>
                          </w:r>
                          <w:r>
                            <w:fldChar w:fldCharType="end"/>
                          </w:r>
                        </w:p>
                      </w:txbxContent>
                    </wps:txbx>
                    <wps:bodyPr wrap="none" lIns="0" tIns="0" rIns="0" bIns="0" upright="1">
                      <a:spAutoFit/>
                    </wps:bodyPr>
                  </wps:wsp>
                </a:graphicData>
              </a:graphic>
            </wp:anchor>
          </w:drawing>
        </mc:Choice>
        <mc:Fallback>
          <w:pict>
            <v:shape id="文本框 103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YmK+1NABAACqAwAADgAAAAAAAAABACAAAAAeAQAAZHJz&#10;L2Uyb0RvYy54bWxQSwUGAAAAAAYABgBZAQAAYAUAAAAA&#10;">
              <v:fill on="f" focussize="0,0"/>
              <v:stroke on="f"/>
              <v:imagedata o:title=""/>
              <o:lock v:ext="edit" aspectratio="f"/>
              <v:textbox inset="0mm,0mm,0mm,0mm" style="mso-fit-shape-to-text:t;">
                <w:txbxContent>
                  <w:p w14:paraId="612467DE">
                    <w:pPr>
                      <w:pStyle w:val="29"/>
                    </w:pPr>
                    <w:r>
                      <w:fldChar w:fldCharType="begin"/>
                    </w:r>
                    <w:r>
                      <w:instrText xml:space="preserve"> PAGE  \* MERGEFORMAT </w:instrText>
                    </w:r>
                    <w:r>
                      <w:fldChar w:fldCharType="separate"/>
                    </w:r>
                    <w:r>
                      <w:t></w:t>
                    </w:r>
                    <w:r>
                      <w:fldChar w:fldCharType="end"/>
                    </w:r>
                  </w:p>
                </w:txbxContent>
              </v:textbox>
            </v:shape>
          </w:pict>
        </mc:Fallback>
      </mc:AlternateContent>
    </w: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62D085">
    <w:pPr>
      <w:pStyle w:val="29"/>
      <w:ind w:right="360" w:firstLine="360"/>
      <w:jc w:val="right"/>
      <w:rPr>
        <w:rFonts w:hint="default" w:eastAsia="Times New Roman"/>
        <w:sz w:val="18"/>
        <w:szCs w:val="24"/>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C22376">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3EC22376">
                    <w:pPr>
                      <w:pStyle w:val="29"/>
                    </w:pPr>
                    <w:r>
                      <w:fldChar w:fldCharType="begin"/>
                    </w:r>
                    <w:r>
                      <w:instrText xml:space="preserve"> PAGE  \* MERGEFORMAT </w:instrText>
                    </w:r>
                    <w:r>
                      <w:fldChar w:fldCharType="separate"/>
                    </w:r>
                    <w:r>
                      <w:t>1</w:t>
                    </w:r>
                    <w:r>
                      <w:fldChar w:fldCharType="end"/>
                    </w:r>
                  </w:p>
                </w:txbxContent>
              </v:textbox>
            </v:shape>
          </w:pict>
        </mc:Fallback>
      </mc:AlternateContent>
    </w:r>
  </w:p>
  <w:p w14:paraId="6950247D">
    <w:pPr>
      <w:pStyle w:val="29"/>
      <w:rPr>
        <w:rFonts w:hint="default" w:eastAsia="Times New Roman"/>
        <w:sz w:val="18"/>
        <w:szCs w:val="2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361A02">
    <w:pPr>
      <w:pStyle w:val="29"/>
      <w:ind w:right="360" w:firstLine="360"/>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7ADB62">
                          <w:pPr>
                            <w:pStyle w:val="29"/>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77ADB62">
                    <w:pPr>
                      <w:pStyle w:val="29"/>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BF37F9">
    <w:pPr>
      <w:pStyle w:val="29"/>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B90042">
                          <w:pPr>
                            <w:pStyle w:val="29"/>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78B90042">
                    <w:pPr>
                      <w:pStyle w:val="29"/>
                    </w:pPr>
                    <w:r>
                      <w:fldChar w:fldCharType="begin"/>
                    </w:r>
                    <w:r>
                      <w:instrText xml:space="preserve"> PAGE  \* MERGEFORMAT </w:instrText>
                    </w:r>
                    <w:r>
                      <w:fldChar w:fldCharType="separate"/>
                    </w:r>
                    <w:r>
                      <w:t>65</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462396">
    <w:pPr>
      <w:pStyle w:val="29"/>
      <w:rPr>
        <w:rStyle w:val="49"/>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2FB10A">
                          <w:pPr>
                            <w:pStyle w:val="29"/>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5E2FB10A">
                    <w:pPr>
                      <w:pStyle w:val="29"/>
                    </w:pPr>
                    <w:r>
                      <w:fldChar w:fldCharType="begin"/>
                    </w:r>
                    <w:r>
                      <w:instrText xml:space="preserve"> PAGE  \* MERGEFORMAT </w:instrText>
                    </w:r>
                    <w:r>
                      <w:fldChar w:fldCharType="separate"/>
                    </w:r>
                    <w:r>
                      <w:t>26</w:t>
                    </w:r>
                    <w:r>
                      <w:fldChar w:fldCharType="end"/>
                    </w:r>
                  </w:p>
                </w:txbxContent>
              </v:textbox>
            </v:shape>
          </w:pict>
        </mc:Fallback>
      </mc:AlternateContent>
    </w:r>
  </w:p>
  <w:p w14:paraId="157870D5">
    <w:pPr>
      <w:pStyle w:val="29"/>
      <w:ind w:right="360"/>
      <w:rPr>
        <w:kern w:val="0"/>
      </w:rPr>
    </w:pPr>
    <w:r>
      <mc:AlternateContent>
        <mc:Choice Requires="wps">
          <w:drawing>
            <wp:anchor distT="0" distB="0" distL="114300" distR="114300" simplePos="0" relativeHeight="251660288" behindDoc="0" locked="0" layoutInCell="1" allowOverlap="1">
              <wp:simplePos x="0" y="0"/>
              <wp:positionH relativeFrom="margin">
                <wp:posOffset>2400300</wp:posOffset>
              </wp:positionH>
              <wp:positionV relativeFrom="paragraph">
                <wp:posOffset>172720</wp:posOffset>
              </wp:positionV>
              <wp:extent cx="1285875" cy="198120"/>
              <wp:effectExtent l="0" t="0" r="0" b="0"/>
              <wp:wrapNone/>
              <wp:docPr id="8" name="文本框2"/>
              <wp:cNvGraphicFramePr/>
              <a:graphic xmlns:a="http://schemas.openxmlformats.org/drawingml/2006/main">
                <a:graphicData uri="http://schemas.microsoft.com/office/word/2010/wordprocessingShape">
                  <wps:wsp>
                    <wps:cNvSpPr/>
                    <wps:spPr>
                      <a:xfrm>
                        <a:off x="0" y="0"/>
                        <a:ext cx="1285875" cy="198120"/>
                      </a:xfrm>
                      <a:prstGeom prst="rect">
                        <a:avLst/>
                      </a:prstGeom>
                      <a:noFill/>
                      <a:ln>
                        <a:noFill/>
                      </a:ln>
                      <a:effectLst/>
                    </wps:spPr>
                    <wps:txbx>
                      <w:txbxContent>
                        <w:p w14:paraId="4D5C9321"/>
                      </w:txbxContent>
                    </wps:txbx>
                    <wps:bodyPr lIns="0" tIns="0" rIns="0" bIns="0" upright="1"/>
                  </wps:wsp>
                </a:graphicData>
              </a:graphic>
            </wp:anchor>
          </w:drawing>
        </mc:Choice>
        <mc:Fallback>
          <w:pict>
            <v:rect id="文本框2" o:spid="_x0000_s1026" o:spt="1" style="position:absolute;left:0pt;margin-left:189pt;margin-top:13.6pt;height:15.6pt;width:101.25pt;mso-position-horizontal-relative:margin;z-index:251660288;mso-width-relative:page;mso-height-relative:page;" filled="f" stroked="f" coordsize="21600,21600" o:gfxdata="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IksdxLaAAAACQEAAA8AAAAAAAAAAQAgAAAAIgAAAGRycy9kb3ducmV2LnhtbFBLAQIU&#10;ABQAAAAIAIdO4kAipzAruAEAAHUDAAAOAAAAAAAAAAEAIAAAACkBAABkcnMvZTJvRG9jLnhtbFBL&#10;BQYAAAAABgAGAFkBAABTBQAAAAA=&#10;">
              <v:fill on="f" focussize="0,0"/>
              <v:stroke on="f"/>
              <v:imagedata o:title=""/>
              <o:lock v:ext="edit" aspectratio="f"/>
              <v:textbox inset="0mm,0mm,0mm,0mm">
                <w:txbxContent>
                  <w:p w14:paraId="4D5C9321"/>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7E2992">
    <w:pPr>
      <w:pStyle w:val="3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2BC5AA"/>
    <w:multiLevelType w:val="singleLevel"/>
    <w:tmpl w:val="872BC5AA"/>
    <w:lvl w:ilvl="0" w:tentative="0">
      <w:start w:val="2"/>
      <w:numFmt w:val="decimal"/>
      <w:lvlText w:val="%1."/>
      <w:lvlJc w:val="left"/>
      <w:pPr>
        <w:tabs>
          <w:tab w:val="left" w:pos="312"/>
        </w:tabs>
      </w:pPr>
    </w:lvl>
  </w:abstractNum>
  <w:abstractNum w:abstractNumId="1">
    <w:nsid w:val="E7258976"/>
    <w:multiLevelType w:val="singleLevel"/>
    <w:tmpl w:val="E7258976"/>
    <w:lvl w:ilvl="0" w:tentative="0">
      <w:start w:val="1"/>
      <w:numFmt w:val="chineseCounting"/>
      <w:suff w:val="space"/>
      <w:lvlText w:val="（%1）"/>
      <w:lvlJc w:val="left"/>
      <w:pPr>
        <w:ind w:left="-10"/>
      </w:pPr>
      <w:rPr>
        <w:rFonts w:hint="eastAsia" w:ascii="仿宋_GB2312" w:hAnsi="仿宋_GB2312" w:eastAsia="仿宋_GB2312" w:cs="仿宋_GB2312"/>
        <w:sz w:val="32"/>
        <w:szCs w:val="32"/>
      </w:rPr>
    </w:lvl>
  </w:abstractNum>
  <w:abstractNum w:abstractNumId="2">
    <w:nsid w:val="1EF8CB6E"/>
    <w:multiLevelType w:val="singleLevel"/>
    <w:tmpl w:val="1EF8CB6E"/>
    <w:lvl w:ilvl="0" w:tentative="0">
      <w:start w:val="1"/>
      <w:numFmt w:val="upperLetter"/>
      <w:suff w:val="nothing"/>
      <w:lvlText w:val="%1、"/>
      <w:lvlJc w:val="left"/>
    </w:lvl>
  </w:abstractNum>
  <w:abstractNum w:abstractNumId="3">
    <w:nsid w:val="434FCDAE"/>
    <w:multiLevelType w:val="singleLevel"/>
    <w:tmpl w:val="434FCDAE"/>
    <w:lvl w:ilvl="0" w:tentative="0">
      <w:start w:val="1"/>
      <w:numFmt w:val="chineseCounting"/>
      <w:suff w:val="space"/>
      <w:lvlText w:val="（%1）"/>
      <w:lvlJc w:val="left"/>
      <w:rPr>
        <w:rFonts w:hint="eastAsia"/>
      </w:rPr>
    </w:lvl>
  </w:abstractNum>
  <w:abstractNum w:abstractNumId="4">
    <w:nsid w:val="4AEE3BEB"/>
    <w:multiLevelType w:val="singleLevel"/>
    <w:tmpl w:val="4AEE3BEB"/>
    <w:lvl w:ilvl="0" w:tentative="0">
      <w:start w:val="2"/>
      <w:numFmt w:val="chineseCounting"/>
      <w:suff w:val="space"/>
      <w:lvlText w:val="（%1）"/>
      <w:lvlJc w:val="left"/>
      <w:rPr>
        <w:rFonts w:hint="eastAsia"/>
      </w:r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oNotHyphenateCaps/>
  <w:drawingGridVerticalSpacing w:val="159"/>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c5MDNjMmIyODczM2YwMGZkZTNjYWY1NjIxZTY5YjcifQ=="/>
  </w:docVars>
  <w:rsids>
    <w:rsidRoot w:val="00277DEA"/>
    <w:rsid w:val="000407AC"/>
    <w:rsid w:val="00040A78"/>
    <w:rsid w:val="00057816"/>
    <w:rsid w:val="000E13AD"/>
    <w:rsid w:val="00131FFF"/>
    <w:rsid w:val="00135312"/>
    <w:rsid w:val="00144E2C"/>
    <w:rsid w:val="001643AB"/>
    <w:rsid w:val="0016450D"/>
    <w:rsid w:val="001A591F"/>
    <w:rsid w:val="001C6848"/>
    <w:rsid w:val="001D4B0B"/>
    <w:rsid w:val="001F10F0"/>
    <w:rsid w:val="00217AF2"/>
    <w:rsid w:val="00217EB9"/>
    <w:rsid w:val="00217FF1"/>
    <w:rsid w:val="0023383D"/>
    <w:rsid w:val="00252D6D"/>
    <w:rsid w:val="00253B24"/>
    <w:rsid w:val="00270071"/>
    <w:rsid w:val="002740D6"/>
    <w:rsid w:val="00274549"/>
    <w:rsid w:val="00277DEA"/>
    <w:rsid w:val="002A2969"/>
    <w:rsid w:val="002C40D1"/>
    <w:rsid w:val="002E76AA"/>
    <w:rsid w:val="002F38FE"/>
    <w:rsid w:val="00313EF1"/>
    <w:rsid w:val="00332C02"/>
    <w:rsid w:val="00336837"/>
    <w:rsid w:val="00370095"/>
    <w:rsid w:val="0037519A"/>
    <w:rsid w:val="003776B6"/>
    <w:rsid w:val="003A3D22"/>
    <w:rsid w:val="003C11CB"/>
    <w:rsid w:val="003D00F9"/>
    <w:rsid w:val="003E18D3"/>
    <w:rsid w:val="003E616C"/>
    <w:rsid w:val="004108BC"/>
    <w:rsid w:val="00410ABB"/>
    <w:rsid w:val="00411EFB"/>
    <w:rsid w:val="00430081"/>
    <w:rsid w:val="0045352B"/>
    <w:rsid w:val="004806E1"/>
    <w:rsid w:val="004943F2"/>
    <w:rsid w:val="004D7A32"/>
    <w:rsid w:val="004F10A4"/>
    <w:rsid w:val="004F5FF3"/>
    <w:rsid w:val="00523372"/>
    <w:rsid w:val="00544FBB"/>
    <w:rsid w:val="00555AF7"/>
    <w:rsid w:val="00587AEB"/>
    <w:rsid w:val="005D26BD"/>
    <w:rsid w:val="005F02AC"/>
    <w:rsid w:val="005F4D1F"/>
    <w:rsid w:val="006008C2"/>
    <w:rsid w:val="00600A1A"/>
    <w:rsid w:val="00613B3B"/>
    <w:rsid w:val="00635236"/>
    <w:rsid w:val="00640C59"/>
    <w:rsid w:val="006412B4"/>
    <w:rsid w:val="00643128"/>
    <w:rsid w:val="006B2CC6"/>
    <w:rsid w:val="006E2124"/>
    <w:rsid w:val="006E24A2"/>
    <w:rsid w:val="006F1EB8"/>
    <w:rsid w:val="00762DC1"/>
    <w:rsid w:val="007701C5"/>
    <w:rsid w:val="0077045D"/>
    <w:rsid w:val="007E581B"/>
    <w:rsid w:val="008052CD"/>
    <w:rsid w:val="008057AF"/>
    <w:rsid w:val="00806B50"/>
    <w:rsid w:val="00806DEB"/>
    <w:rsid w:val="008706BB"/>
    <w:rsid w:val="008801B2"/>
    <w:rsid w:val="008B45BE"/>
    <w:rsid w:val="008B6AF2"/>
    <w:rsid w:val="008C044F"/>
    <w:rsid w:val="008C7B90"/>
    <w:rsid w:val="008E0BFB"/>
    <w:rsid w:val="008F24D9"/>
    <w:rsid w:val="009148C9"/>
    <w:rsid w:val="00916805"/>
    <w:rsid w:val="0093540E"/>
    <w:rsid w:val="009430F7"/>
    <w:rsid w:val="009548E3"/>
    <w:rsid w:val="009D69A7"/>
    <w:rsid w:val="009E2CB7"/>
    <w:rsid w:val="009F052A"/>
    <w:rsid w:val="009F2331"/>
    <w:rsid w:val="00A109CD"/>
    <w:rsid w:val="00A364A9"/>
    <w:rsid w:val="00A74A67"/>
    <w:rsid w:val="00A92252"/>
    <w:rsid w:val="00A95FC8"/>
    <w:rsid w:val="00AA6310"/>
    <w:rsid w:val="00B21B8E"/>
    <w:rsid w:val="00B3371B"/>
    <w:rsid w:val="00B5033A"/>
    <w:rsid w:val="00B86725"/>
    <w:rsid w:val="00BB5EA4"/>
    <w:rsid w:val="00BC093E"/>
    <w:rsid w:val="00C04D5A"/>
    <w:rsid w:val="00C522F7"/>
    <w:rsid w:val="00C56491"/>
    <w:rsid w:val="00C77D9B"/>
    <w:rsid w:val="00C959B4"/>
    <w:rsid w:val="00CA283F"/>
    <w:rsid w:val="00CB14DC"/>
    <w:rsid w:val="00CC06A5"/>
    <w:rsid w:val="00CD2E86"/>
    <w:rsid w:val="00CD6B6D"/>
    <w:rsid w:val="00CF2E1F"/>
    <w:rsid w:val="00CF524A"/>
    <w:rsid w:val="00CF5B3F"/>
    <w:rsid w:val="00D05A15"/>
    <w:rsid w:val="00D07052"/>
    <w:rsid w:val="00D2599B"/>
    <w:rsid w:val="00D27C1C"/>
    <w:rsid w:val="00D32138"/>
    <w:rsid w:val="00D50ADE"/>
    <w:rsid w:val="00D50E64"/>
    <w:rsid w:val="00D67520"/>
    <w:rsid w:val="00D74DB0"/>
    <w:rsid w:val="00D75D04"/>
    <w:rsid w:val="00D862EF"/>
    <w:rsid w:val="00DD408F"/>
    <w:rsid w:val="00DE23F0"/>
    <w:rsid w:val="00E13C49"/>
    <w:rsid w:val="00E3458D"/>
    <w:rsid w:val="00EB6A15"/>
    <w:rsid w:val="00EC6F26"/>
    <w:rsid w:val="00EC6F84"/>
    <w:rsid w:val="00EC7414"/>
    <w:rsid w:val="00EE5A0A"/>
    <w:rsid w:val="00EE7AEC"/>
    <w:rsid w:val="00F10FD4"/>
    <w:rsid w:val="00F12999"/>
    <w:rsid w:val="00F16AA1"/>
    <w:rsid w:val="00F407A6"/>
    <w:rsid w:val="00F738CB"/>
    <w:rsid w:val="00F82A9A"/>
    <w:rsid w:val="00F83340"/>
    <w:rsid w:val="00FB2776"/>
    <w:rsid w:val="00FD0DE5"/>
    <w:rsid w:val="00FE4E55"/>
    <w:rsid w:val="00FF64C5"/>
    <w:rsid w:val="010C450B"/>
    <w:rsid w:val="023C4E17"/>
    <w:rsid w:val="02860CE1"/>
    <w:rsid w:val="028D0613"/>
    <w:rsid w:val="02A06DF6"/>
    <w:rsid w:val="02AD40CA"/>
    <w:rsid w:val="03311B51"/>
    <w:rsid w:val="035607B0"/>
    <w:rsid w:val="035A0B08"/>
    <w:rsid w:val="03BE185C"/>
    <w:rsid w:val="03DD3435"/>
    <w:rsid w:val="04880F3B"/>
    <w:rsid w:val="04BB1052"/>
    <w:rsid w:val="058F191A"/>
    <w:rsid w:val="064047AA"/>
    <w:rsid w:val="07023E8A"/>
    <w:rsid w:val="073060B3"/>
    <w:rsid w:val="073F34F8"/>
    <w:rsid w:val="07855569"/>
    <w:rsid w:val="07DD03A2"/>
    <w:rsid w:val="08891FDF"/>
    <w:rsid w:val="088A61B1"/>
    <w:rsid w:val="08EE1782"/>
    <w:rsid w:val="090B57DF"/>
    <w:rsid w:val="094625ED"/>
    <w:rsid w:val="098C0FAE"/>
    <w:rsid w:val="0A1370D9"/>
    <w:rsid w:val="0A426CE3"/>
    <w:rsid w:val="0A783487"/>
    <w:rsid w:val="0A920A74"/>
    <w:rsid w:val="0B1A05CF"/>
    <w:rsid w:val="0B3B4932"/>
    <w:rsid w:val="0B644A83"/>
    <w:rsid w:val="0B8A5AE2"/>
    <w:rsid w:val="0C30371E"/>
    <w:rsid w:val="0C47209B"/>
    <w:rsid w:val="0CDE4AF1"/>
    <w:rsid w:val="0CEC2F96"/>
    <w:rsid w:val="0D2F7233"/>
    <w:rsid w:val="0DB0649C"/>
    <w:rsid w:val="0E2234E7"/>
    <w:rsid w:val="0E832759"/>
    <w:rsid w:val="0ECF7747"/>
    <w:rsid w:val="0F9D46EF"/>
    <w:rsid w:val="0FF06281"/>
    <w:rsid w:val="10525806"/>
    <w:rsid w:val="108918F0"/>
    <w:rsid w:val="11D57582"/>
    <w:rsid w:val="124026B6"/>
    <w:rsid w:val="12C329EB"/>
    <w:rsid w:val="13114D0E"/>
    <w:rsid w:val="137A735A"/>
    <w:rsid w:val="13B24508"/>
    <w:rsid w:val="13E54BBD"/>
    <w:rsid w:val="146D5339"/>
    <w:rsid w:val="152F63E2"/>
    <w:rsid w:val="158272E5"/>
    <w:rsid w:val="15D60886"/>
    <w:rsid w:val="168140E7"/>
    <w:rsid w:val="16A220B2"/>
    <w:rsid w:val="16AB249D"/>
    <w:rsid w:val="16E538DC"/>
    <w:rsid w:val="17153410"/>
    <w:rsid w:val="17873285"/>
    <w:rsid w:val="17A86B91"/>
    <w:rsid w:val="183A085F"/>
    <w:rsid w:val="19475149"/>
    <w:rsid w:val="1A1E40F3"/>
    <w:rsid w:val="1AF847D0"/>
    <w:rsid w:val="1C136BB6"/>
    <w:rsid w:val="1C4B5EA8"/>
    <w:rsid w:val="1DF9428F"/>
    <w:rsid w:val="1E1554ED"/>
    <w:rsid w:val="1E66223E"/>
    <w:rsid w:val="1FA4448B"/>
    <w:rsid w:val="2022793B"/>
    <w:rsid w:val="207B6E01"/>
    <w:rsid w:val="211B1C44"/>
    <w:rsid w:val="211C7CC9"/>
    <w:rsid w:val="21F200C1"/>
    <w:rsid w:val="224A075F"/>
    <w:rsid w:val="22E66E8E"/>
    <w:rsid w:val="23816BA4"/>
    <w:rsid w:val="23B802A0"/>
    <w:rsid w:val="25184226"/>
    <w:rsid w:val="253F5086"/>
    <w:rsid w:val="25E4098B"/>
    <w:rsid w:val="26252182"/>
    <w:rsid w:val="265122FF"/>
    <w:rsid w:val="265E174C"/>
    <w:rsid w:val="2686038F"/>
    <w:rsid w:val="26EF5515"/>
    <w:rsid w:val="274F505D"/>
    <w:rsid w:val="28277AED"/>
    <w:rsid w:val="28C72B2B"/>
    <w:rsid w:val="29E75E0C"/>
    <w:rsid w:val="29F23E8A"/>
    <w:rsid w:val="2A241E9E"/>
    <w:rsid w:val="2A566AD6"/>
    <w:rsid w:val="2B367DA6"/>
    <w:rsid w:val="2B52413C"/>
    <w:rsid w:val="2C7D3C0D"/>
    <w:rsid w:val="2C874AAF"/>
    <w:rsid w:val="2C8E66A6"/>
    <w:rsid w:val="2CAF5168"/>
    <w:rsid w:val="2CBB47F9"/>
    <w:rsid w:val="2D4A1910"/>
    <w:rsid w:val="2DFF7667"/>
    <w:rsid w:val="2E267150"/>
    <w:rsid w:val="2E8A7EB3"/>
    <w:rsid w:val="2EFD1D1D"/>
    <w:rsid w:val="2F0B779C"/>
    <w:rsid w:val="2F3A186E"/>
    <w:rsid w:val="2FE563D7"/>
    <w:rsid w:val="310B4442"/>
    <w:rsid w:val="31D25FDD"/>
    <w:rsid w:val="31FB42D0"/>
    <w:rsid w:val="32852601"/>
    <w:rsid w:val="32B47BD5"/>
    <w:rsid w:val="32D3700E"/>
    <w:rsid w:val="32F07192"/>
    <w:rsid w:val="32FC6372"/>
    <w:rsid w:val="332433C5"/>
    <w:rsid w:val="3376156C"/>
    <w:rsid w:val="33A21A2C"/>
    <w:rsid w:val="33DB598F"/>
    <w:rsid w:val="348E387D"/>
    <w:rsid w:val="34D36666"/>
    <w:rsid w:val="35A46FAE"/>
    <w:rsid w:val="36A57F38"/>
    <w:rsid w:val="36E40AF7"/>
    <w:rsid w:val="36FC0C61"/>
    <w:rsid w:val="37026723"/>
    <w:rsid w:val="37526B7E"/>
    <w:rsid w:val="38172D0E"/>
    <w:rsid w:val="385F78F9"/>
    <w:rsid w:val="398960D8"/>
    <w:rsid w:val="39E8421F"/>
    <w:rsid w:val="3A066436"/>
    <w:rsid w:val="3A2516BB"/>
    <w:rsid w:val="3B3C635C"/>
    <w:rsid w:val="3CCB04A6"/>
    <w:rsid w:val="3CD37326"/>
    <w:rsid w:val="3CF56ED5"/>
    <w:rsid w:val="3DA16242"/>
    <w:rsid w:val="3DCB2BE5"/>
    <w:rsid w:val="3E064A96"/>
    <w:rsid w:val="3E7850FA"/>
    <w:rsid w:val="3EED354E"/>
    <w:rsid w:val="3EFE6959"/>
    <w:rsid w:val="3F1410DB"/>
    <w:rsid w:val="3F173AB4"/>
    <w:rsid w:val="3F370F3A"/>
    <w:rsid w:val="3F7A539C"/>
    <w:rsid w:val="3FB5783A"/>
    <w:rsid w:val="3FD170C1"/>
    <w:rsid w:val="408338D7"/>
    <w:rsid w:val="41510996"/>
    <w:rsid w:val="42147451"/>
    <w:rsid w:val="43727992"/>
    <w:rsid w:val="437D0025"/>
    <w:rsid w:val="43881670"/>
    <w:rsid w:val="43E82525"/>
    <w:rsid w:val="44592EA6"/>
    <w:rsid w:val="44A8055A"/>
    <w:rsid w:val="44F7334E"/>
    <w:rsid w:val="45AF30FD"/>
    <w:rsid w:val="46420BB9"/>
    <w:rsid w:val="465B3014"/>
    <w:rsid w:val="47022DDB"/>
    <w:rsid w:val="47121FD0"/>
    <w:rsid w:val="471313AC"/>
    <w:rsid w:val="472F5293"/>
    <w:rsid w:val="473A07C7"/>
    <w:rsid w:val="47AE55ED"/>
    <w:rsid w:val="47CE2573"/>
    <w:rsid w:val="47DB0FE0"/>
    <w:rsid w:val="47DE55F6"/>
    <w:rsid w:val="47EB386F"/>
    <w:rsid w:val="485A4022"/>
    <w:rsid w:val="48691363"/>
    <w:rsid w:val="48986B3F"/>
    <w:rsid w:val="494476DB"/>
    <w:rsid w:val="49B66251"/>
    <w:rsid w:val="4A125037"/>
    <w:rsid w:val="4A49578E"/>
    <w:rsid w:val="4AB455FC"/>
    <w:rsid w:val="4B4C6831"/>
    <w:rsid w:val="4B516969"/>
    <w:rsid w:val="4BB93099"/>
    <w:rsid w:val="4CA21C4A"/>
    <w:rsid w:val="4E87606B"/>
    <w:rsid w:val="4EBD5F65"/>
    <w:rsid w:val="4ED1777D"/>
    <w:rsid w:val="4F281B57"/>
    <w:rsid w:val="4F443F90"/>
    <w:rsid w:val="4F627A2B"/>
    <w:rsid w:val="4F8A1859"/>
    <w:rsid w:val="4FCD4721"/>
    <w:rsid w:val="502D24E4"/>
    <w:rsid w:val="504773D5"/>
    <w:rsid w:val="50EC70D4"/>
    <w:rsid w:val="511E5BAD"/>
    <w:rsid w:val="51267930"/>
    <w:rsid w:val="513918A9"/>
    <w:rsid w:val="517F3DD4"/>
    <w:rsid w:val="51BC2AE8"/>
    <w:rsid w:val="52244348"/>
    <w:rsid w:val="52B72CCB"/>
    <w:rsid w:val="52CE5689"/>
    <w:rsid w:val="53E67D0C"/>
    <w:rsid w:val="550A5C7C"/>
    <w:rsid w:val="555D7576"/>
    <w:rsid w:val="558A3D0F"/>
    <w:rsid w:val="559A68B9"/>
    <w:rsid w:val="569E5C28"/>
    <w:rsid w:val="56B17EF3"/>
    <w:rsid w:val="56F21ED5"/>
    <w:rsid w:val="57313D11"/>
    <w:rsid w:val="578D69F6"/>
    <w:rsid w:val="57F2790D"/>
    <w:rsid w:val="58311B26"/>
    <w:rsid w:val="59254E33"/>
    <w:rsid w:val="597E4543"/>
    <w:rsid w:val="599A4762"/>
    <w:rsid w:val="59B94A33"/>
    <w:rsid w:val="59C42C57"/>
    <w:rsid w:val="5AFB2C32"/>
    <w:rsid w:val="5B2F036B"/>
    <w:rsid w:val="5B5877E2"/>
    <w:rsid w:val="5BA9771F"/>
    <w:rsid w:val="5BAC7A1D"/>
    <w:rsid w:val="5BAE0EF6"/>
    <w:rsid w:val="5BE3458F"/>
    <w:rsid w:val="5DBE2BDC"/>
    <w:rsid w:val="5DD0286D"/>
    <w:rsid w:val="5EEA0F2A"/>
    <w:rsid w:val="5F9D1CA2"/>
    <w:rsid w:val="5FD300DB"/>
    <w:rsid w:val="5FE25B93"/>
    <w:rsid w:val="603F3AE9"/>
    <w:rsid w:val="608C59E7"/>
    <w:rsid w:val="61051B53"/>
    <w:rsid w:val="61095D5D"/>
    <w:rsid w:val="61284751"/>
    <w:rsid w:val="629F458E"/>
    <w:rsid w:val="633D0FCB"/>
    <w:rsid w:val="63637DFA"/>
    <w:rsid w:val="63A72C64"/>
    <w:rsid w:val="63C40272"/>
    <w:rsid w:val="63FC15A5"/>
    <w:rsid w:val="64F222D0"/>
    <w:rsid w:val="655541D3"/>
    <w:rsid w:val="65594766"/>
    <w:rsid w:val="65AE22F3"/>
    <w:rsid w:val="65C12033"/>
    <w:rsid w:val="66465782"/>
    <w:rsid w:val="66AF6E4C"/>
    <w:rsid w:val="670A4733"/>
    <w:rsid w:val="67DE5EA5"/>
    <w:rsid w:val="68E615DD"/>
    <w:rsid w:val="6907286A"/>
    <w:rsid w:val="6908397B"/>
    <w:rsid w:val="6980658C"/>
    <w:rsid w:val="6A16299D"/>
    <w:rsid w:val="6A8E035E"/>
    <w:rsid w:val="6B354DBB"/>
    <w:rsid w:val="6CC00CAD"/>
    <w:rsid w:val="6D0B604A"/>
    <w:rsid w:val="6DAC05BE"/>
    <w:rsid w:val="6E2337BB"/>
    <w:rsid w:val="6E802F39"/>
    <w:rsid w:val="6F5F3A74"/>
    <w:rsid w:val="6F8373FF"/>
    <w:rsid w:val="6FC06D93"/>
    <w:rsid w:val="6FDE7145"/>
    <w:rsid w:val="701268B7"/>
    <w:rsid w:val="7025059A"/>
    <w:rsid w:val="708446DD"/>
    <w:rsid w:val="713E6246"/>
    <w:rsid w:val="725809D6"/>
    <w:rsid w:val="72EE22E1"/>
    <w:rsid w:val="73840989"/>
    <w:rsid w:val="73875405"/>
    <w:rsid w:val="73B74532"/>
    <w:rsid w:val="74425F26"/>
    <w:rsid w:val="7487178B"/>
    <w:rsid w:val="74CC7CBB"/>
    <w:rsid w:val="75847F67"/>
    <w:rsid w:val="766E59B4"/>
    <w:rsid w:val="7682140E"/>
    <w:rsid w:val="76D62696"/>
    <w:rsid w:val="77337D0A"/>
    <w:rsid w:val="774E2667"/>
    <w:rsid w:val="77910BE3"/>
    <w:rsid w:val="78032522"/>
    <w:rsid w:val="78270463"/>
    <w:rsid w:val="78EA3B59"/>
    <w:rsid w:val="79347977"/>
    <w:rsid w:val="7AD53A89"/>
    <w:rsid w:val="7B2726C7"/>
    <w:rsid w:val="7B360113"/>
    <w:rsid w:val="7BC97448"/>
    <w:rsid w:val="7C016BE2"/>
    <w:rsid w:val="7C3E2E16"/>
    <w:rsid w:val="7C8660BD"/>
    <w:rsid w:val="7C934347"/>
    <w:rsid w:val="7CA05978"/>
    <w:rsid w:val="7D374A1C"/>
    <w:rsid w:val="7D7B252F"/>
    <w:rsid w:val="7DDC625D"/>
    <w:rsid w:val="7F09259F"/>
    <w:rsid w:val="7F2050E8"/>
    <w:rsid w:val="7F894C06"/>
    <w:rsid w:val="7FBC5227"/>
    <w:rsid w:val="7FEE047D"/>
    <w:rsid w:val="CF678155"/>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qFormat="1" w:unhideWhenUsed="0" w:uiPriority="99" w:name="index 4"/>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name="toc 1"/>
    <w:lsdException w:qFormat="1" w:unhideWhenUsed="0" w:uiPriority="99" w:name="toc 2"/>
    <w:lsdException w:qFormat="1" w:unhideWhenUsed="0" w:uiPriority="99" w:name="toc 3"/>
    <w:lsdException w:qFormat="1" w:unhideWhenUsed="0" w:uiPriority="99" w:name="toc 4"/>
    <w:lsdException w:qFormat="1" w:unhideWhenUsed="0" w:uiPriority="99" w:name="toc 5"/>
    <w:lsdException w:qFormat="1" w:unhideWhenUsed="0" w:uiPriority="99" w:name="toc 6"/>
    <w:lsdException w:qFormat="1" w:unhideWhenUsed="0" w:uiPriority="99" w:name="toc 7"/>
    <w:lsdException w:qFormat="1" w:unhideWhenUsed="0" w:uiPriority="99" w:name="toc 8"/>
    <w:lsdException w:qFormat="1" w:unhideWhenUsed="0" w:uiPriority="99" w:name="toc 9"/>
    <w:lsdException w:qFormat="1" w:unhideWhenUsed="0" w:uiPriority="99" w:semiHidden="0" w:name="Normal Indent"/>
    <w:lsdException w:qFormat="1" w:unhideWhenUsed="0" w:uiPriority="99" w:name="footnote text"/>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qFormat="1" w:unhideWhenUsed="0" w:uiPriority="99" w:name="table of figures"/>
    <w:lsdException w:uiPriority="99" w:name="envelope address" w:locked="1"/>
    <w:lsdException w:qFormat="1" w:unhideWhenUsed="0" w:uiPriority="99" w:semiHidden="0" w:name="envelope return"/>
    <w:lsdException w:qFormat="1" w:unhideWhenUsed="0" w:uiPriority="99" w:name="footnote reference"/>
    <w:lsdException w:qFormat="1" w:unhideWhenUsed="0" w:uiPriority="99"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nhideWhenUsed="0" w:uiPriority="99"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uiPriority="99" w:name="Body Text First Indent" w:locked="1"/>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qFormat="1" w:unhideWhenUsed="0" w:uiPriority="99" w:name="Document Map"/>
    <w:lsdException w:qFormat="1" w:unhideWhenUsed="0" w:uiPriority="99" w:semiHidden="0" w:name="Plain Text"/>
    <w:lsdException w:uiPriority="99" w:name="E-mail Signature" w:locked="1"/>
    <w:lsdException w:qFormat="1" w:unhideWhenUsed="0" w:uiPriority="99" w:semiHidden="0" w:name="Normal (Web)"/>
    <w:lsdException w:qFormat="1" w:unhideWhenUsed="0" w:uiPriority="99" w:semiHidden="0" w:name="HTML Acronym"/>
    <w:lsdException w:uiPriority="99" w:name="HTML Address" w:locked="1"/>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uiPriority="99" w:name="HTML Preformatted" w:locked="1"/>
    <w:lsdException w:qFormat="1" w:unhideWhenUsed="0" w:uiPriority="99" w:semiHidden="0" w:name="HTML Sample"/>
    <w:lsdException w:qFormat="1" w:unhideWhenUsed="0" w:uiPriority="99" w:semiHidden="0" w:name="HTML Typewriter"/>
    <w:lsdException w:qFormat="1" w:unhideWhenUsed="0" w:uiPriority="99" w:semiHidden="0" w:name="HTML Variable"/>
    <w:lsdException w:qFormat="1" w:uiPriority="99" w:name="Normal Table"/>
    <w:lsdException w:qFormat="1" w:unhideWhenUsed="0" w:uiPriority="99"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64"/>
    <w:qFormat/>
    <w:uiPriority w:val="99"/>
    <w:pPr>
      <w:keepNext/>
      <w:keepLines/>
      <w:spacing w:before="340" w:after="330" w:line="360" w:lineRule="auto"/>
      <w:jc w:val="center"/>
      <w:outlineLvl w:val="0"/>
    </w:pPr>
    <w:rPr>
      <w:rFonts w:eastAsia="仿宋"/>
      <w:b/>
      <w:bCs/>
      <w:kern w:val="44"/>
      <w:sz w:val="30"/>
      <w:szCs w:val="44"/>
    </w:rPr>
  </w:style>
  <w:style w:type="paragraph" w:styleId="3">
    <w:name w:val="heading 2"/>
    <w:basedOn w:val="1"/>
    <w:next w:val="1"/>
    <w:link w:val="65"/>
    <w:qFormat/>
    <w:uiPriority w:val="99"/>
    <w:pPr>
      <w:keepNext/>
      <w:keepLines/>
      <w:spacing w:before="260" w:after="260" w:line="416" w:lineRule="auto"/>
      <w:outlineLvl w:val="1"/>
    </w:pPr>
    <w:rPr>
      <w:rFonts w:ascii="Arial" w:hAnsi="Arial" w:eastAsia="黑体" w:cs="Arial"/>
      <w:b/>
      <w:bCs/>
      <w:sz w:val="32"/>
      <w:szCs w:val="32"/>
    </w:rPr>
  </w:style>
  <w:style w:type="paragraph" w:styleId="4">
    <w:name w:val="heading 3"/>
    <w:basedOn w:val="1"/>
    <w:next w:val="1"/>
    <w:link w:val="66"/>
    <w:qFormat/>
    <w:uiPriority w:val="99"/>
    <w:pPr>
      <w:keepNext/>
      <w:keepLines/>
      <w:spacing w:before="260" w:after="260" w:line="416" w:lineRule="auto"/>
      <w:outlineLvl w:val="2"/>
    </w:pPr>
    <w:rPr>
      <w:b/>
      <w:bCs/>
      <w:sz w:val="32"/>
      <w:szCs w:val="32"/>
    </w:rPr>
  </w:style>
  <w:style w:type="paragraph" w:styleId="5">
    <w:name w:val="heading 4"/>
    <w:basedOn w:val="1"/>
    <w:next w:val="1"/>
    <w:link w:val="67"/>
    <w:qFormat/>
    <w:uiPriority w:val="99"/>
    <w:pPr>
      <w:keepNext/>
      <w:keepLines/>
      <w:spacing w:before="280" w:after="290" w:line="372" w:lineRule="auto"/>
      <w:outlineLvl w:val="3"/>
    </w:pPr>
    <w:rPr>
      <w:rFonts w:ascii="Cambria" w:hAnsi="Cambria" w:cs="Cambria"/>
      <w:b/>
      <w:bCs/>
      <w:sz w:val="28"/>
      <w:szCs w:val="28"/>
    </w:rPr>
  </w:style>
  <w:style w:type="paragraph" w:styleId="6">
    <w:name w:val="heading 5"/>
    <w:basedOn w:val="1"/>
    <w:next w:val="1"/>
    <w:link w:val="68"/>
    <w:qFormat/>
    <w:uiPriority w:val="99"/>
    <w:pPr>
      <w:keepNext/>
      <w:keepLines/>
      <w:spacing w:before="280" w:after="290" w:line="372" w:lineRule="auto"/>
      <w:outlineLvl w:val="4"/>
    </w:pPr>
    <w:rPr>
      <w:rFonts w:ascii="Calibri" w:hAnsi="Calibri" w:cs="Calibri"/>
      <w:b/>
      <w:bCs/>
      <w:sz w:val="28"/>
      <w:szCs w:val="28"/>
    </w:rPr>
  </w:style>
  <w:style w:type="paragraph" w:styleId="7">
    <w:name w:val="heading 6"/>
    <w:basedOn w:val="1"/>
    <w:next w:val="1"/>
    <w:link w:val="69"/>
    <w:qFormat/>
    <w:uiPriority w:val="99"/>
    <w:pPr>
      <w:keepNext/>
      <w:keepLines/>
      <w:spacing w:before="240" w:after="64" w:line="317" w:lineRule="auto"/>
      <w:outlineLvl w:val="5"/>
    </w:pPr>
    <w:rPr>
      <w:rFonts w:ascii="Cambria" w:hAnsi="Cambria" w:cs="Cambria"/>
      <w:b/>
      <w:bCs/>
      <w:sz w:val="24"/>
      <w:szCs w:val="24"/>
    </w:rPr>
  </w:style>
  <w:style w:type="paragraph" w:styleId="8">
    <w:name w:val="heading 7"/>
    <w:basedOn w:val="1"/>
    <w:next w:val="1"/>
    <w:link w:val="70"/>
    <w:qFormat/>
    <w:uiPriority w:val="99"/>
    <w:pPr>
      <w:keepNext/>
      <w:keepLines/>
      <w:spacing w:before="240" w:after="64" w:line="317" w:lineRule="auto"/>
      <w:outlineLvl w:val="6"/>
    </w:pPr>
    <w:rPr>
      <w:rFonts w:ascii="Calibri" w:hAnsi="Calibri" w:cs="Calibri"/>
      <w:b/>
      <w:bCs/>
      <w:sz w:val="24"/>
      <w:szCs w:val="24"/>
    </w:rPr>
  </w:style>
  <w:style w:type="paragraph" w:styleId="9">
    <w:name w:val="heading 8"/>
    <w:basedOn w:val="1"/>
    <w:next w:val="1"/>
    <w:link w:val="71"/>
    <w:qFormat/>
    <w:uiPriority w:val="99"/>
    <w:pPr>
      <w:keepNext/>
      <w:keepLines/>
      <w:spacing w:before="240" w:after="64" w:line="317" w:lineRule="auto"/>
      <w:outlineLvl w:val="7"/>
    </w:pPr>
    <w:rPr>
      <w:rFonts w:ascii="Cambria" w:hAnsi="Cambria" w:cs="Cambria"/>
      <w:sz w:val="24"/>
      <w:szCs w:val="24"/>
    </w:rPr>
  </w:style>
  <w:style w:type="paragraph" w:styleId="10">
    <w:name w:val="heading 9"/>
    <w:basedOn w:val="1"/>
    <w:next w:val="1"/>
    <w:link w:val="72"/>
    <w:qFormat/>
    <w:uiPriority w:val="99"/>
    <w:pPr>
      <w:keepNext/>
      <w:keepLines/>
      <w:spacing w:before="240" w:after="64" w:line="317" w:lineRule="auto"/>
      <w:outlineLvl w:val="8"/>
    </w:pPr>
    <w:rPr>
      <w:rFonts w:ascii="Cambria" w:hAnsi="Cambria" w:cs="Cambria"/>
    </w:rPr>
  </w:style>
  <w:style w:type="character" w:default="1" w:styleId="47">
    <w:name w:val="Default Paragraph Font"/>
    <w:semiHidden/>
    <w:qFormat/>
    <w:uiPriority w:val="99"/>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semiHidden/>
    <w:qFormat/>
    <w:uiPriority w:val="99"/>
    <w:pPr>
      <w:ind w:left="2520" w:leftChars="1200"/>
    </w:pPr>
    <w:rPr>
      <w:rFonts w:ascii="Calibri" w:hAnsi="Calibri" w:cs="Calibri"/>
    </w:rPr>
  </w:style>
  <w:style w:type="paragraph" w:styleId="12">
    <w:name w:val="Normal Indent"/>
    <w:basedOn w:val="1"/>
    <w:qFormat/>
    <w:uiPriority w:val="99"/>
    <w:pPr>
      <w:adjustRightInd w:val="0"/>
      <w:spacing w:line="360" w:lineRule="atLeast"/>
      <w:ind w:firstLine="482"/>
      <w:textAlignment w:val="baseline"/>
    </w:pPr>
    <w:rPr>
      <w:kern w:val="0"/>
      <w:sz w:val="24"/>
      <w:szCs w:val="24"/>
    </w:rPr>
  </w:style>
  <w:style w:type="paragraph" w:styleId="13">
    <w:name w:val="caption"/>
    <w:basedOn w:val="1"/>
    <w:next w:val="1"/>
    <w:qFormat/>
    <w:uiPriority w:val="99"/>
    <w:rPr>
      <w:rFonts w:ascii="Cambria" w:hAnsi="Cambria" w:eastAsia="黑体" w:cs="Cambria"/>
      <w:sz w:val="20"/>
      <w:szCs w:val="20"/>
    </w:rPr>
  </w:style>
  <w:style w:type="paragraph" w:styleId="14">
    <w:name w:val="Document Map"/>
    <w:basedOn w:val="1"/>
    <w:link w:val="73"/>
    <w:semiHidden/>
    <w:qFormat/>
    <w:uiPriority w:val="99"/>
    <w:pPr>
      <w:shd w:val="clear" w:color="auto" w:fill="000080"/>
    </w:pPr>
    <w:rPr>
      <w:kern w:val="0"/>
      <w:sz w:val="20"/>
      <w:szCs w:val="20"/>
      <w:shd w:val="clear" w:color="auto" w:fill="000080"/>
    </w:rPr>
  </w:style>
  <w:style w:type="paragraph" w:styleId="15">
    <w:name w:val="annotation text"/>
    <w:basedOn w:val="1"/>
    <w:link w:val="74"/>
    <w:semiHidden/>
    <w:qFormat/>
    <w:uiPriority w:val="99"/>
    <w:pPr>
      <w:jc w:val="left"/>
    </w:pPr>
  </w:style>
  <w:style w:type="paragraph" w:styleId="16">
    <w:name w:val="Body Text 3"/>
    <w:basedOn w:val="1"/>
    <w:link w:val="75"/>
    <w:qFormat/>
    <w:uiPriority w:val="99"/>
    <w:rPr>
      <w:rFonts w:ascii="宋体" w:cs="宋体"/>
      <w:sz w:val="24"/>
      <w:szCs w:val="24"/>
    </w:rPr>
  </w:style>
  <w:style w:type="paragraph" w:styleId="17">
    <w:name w:val="Body Text"/>
    <w:basedOn w:val="1"/>
    <w:link w:val="76"/>
    <w:qFormat/>
    <w:uiPriority w:val="99"/>
    <w:pPr>
      <w:jc w:val="center"/>
    </w:pPr>
    <w:rPr>
      <w:b/>
      <w:bCs/>
      <w:sz w:val="44"/>
      <w:szCs w:val="44"/>
    </w:rPr>
  </w:style>
  <w:style w:type="paragraph" w:styleId="18">
    <w:name w:val="Body Text Indent"/>
    <w:basedOn w:val="1"/>
    <w:next w:val="19"/>
    <w:link w:val="77"/>
    <w:qFormat/>
    <w:uiPriority w:val="99"/>
    <w:pPr>
      <w:spacing w:line="500" w:lineRule="exact"/>
      <w:ind w:firstLine="538"/>
    </w:pPr>
    <w:rPr>
      <w:sz w:val="28"/>
      <w:szCs w:val="28"/>
    </w:rPr>
  </w:style>
  <w:style w:type="paragraph" w:styleId="19">
    <w:name w:val="envelope return"/>
    <w:basedOn w:val="1"/>
    <w:qFormat/>
    <w:uiPriority w:val="99"/>
    <w:pPr>
      <w:snapToGrid w:val="0"/>
    </w:pPr>
    <w:rPr>
      <w:rFonts w:ascii="Arial" w:hAnsi="Arial"/>
    </w:rPr>
  </w:style>
  <w:style w:type="paragraph" w:styleId="20">
    <w:name w:val="Block Text"/>
    <w:basedOn w:val="1"/>
    <w:qFormat/>
    <w:uiPriority w:val="99"/>
    <w:pPr>
      <w:spacing w:line="400" w:lineRule="exact"/>
      <w:ind w:left="-359" w:leftChars="-171" w:right="31" w:rightChars="15" w:firstLine="980" w:firstLineChars="350"/>
    </w:pPr>
    <w:rPr>
      <w:rFonts w:ascii="宋体" w:hAnsi="宋体" w:cs="宋体"/>
      <w:sz w:val="28"/>
      <w:szCs w:val="28"/>
    </w:rPr>
  </w:style>
  <w:style w:type="paragraph" w:styleId="21">
    <w:name w:val="index 4"/>
    <w:basedOn w:val="1"/>
    <w:next w:val="1"/>
    <w:semiHidden/>
    <w:qFormat/>
    <w:uiPriority w:val="99"/>
    <w:pPr>
      <w:ind w:left="600" w:leftChars="600"/>
    </w:pPr>
  </w:style>
  <w:style w:type="paragraph" w:styleId="22">
    <w:name w:val="toc 5"/>
    <w:basedOn w:val="1"/>
    <w:next w:val="1"/>
    <w:semiHidden/>
    <w:qFormat/>
    <w:uiPriority w:val="99"/>
    <w:pPr>
      <w:tabs>
        <w:tab w:val="right" w:leader="dot" w:pos="8296"/>
      </w:tabs>
      <w:ind w:left="1050" w:leftChars="500"/>
    </w:pPr>
    <w:rPr>
      <w:rFonts w:ascii="Calibri" w:hAnsi="Calibri" w:cs="Calibri"/>
    </w:rPr>
  </w:style>
  <w:style w:type="paragraph" w:styleId="23">
    <w:name w:val="toc 3"/>
    <w:basedOn w:val="1"/>
    <w:next w:val="1"/>
    <w:semiHidden/>
    <w:qFormat/>
    <w:uiPriority w:val="99"/>
    <w:pPr>
      <w:ind w:left="840" w:leftChars="400"/>
    </w:pPr>
    <w:rPr>
      <w:rFonts w:ascii="Calibri" w:hAnsi="Calibri" w:cs="Calibri"/>
    </w:rPr>
  </w:style>
  <w:style w:type="paragraph" w:styleId="24">
    <w:name w:val="Plain Text"/>
    <w:basedOn w:val="1"/>
    <w:next w:val="1"/>
    <w:link w:val="78"/>
    <w:qFormat/>
    <w:uiPriority w:val="99"/>
    <w:rPr>
      <w:rFonts w:ascii="宋体" w:hAnsi="Courier New" w:cs="宋体"/>
    </w:rPr>
  </w:style>
  <w:style w:type="paragraph" w:styleId="25">
    <w:name w:val="toc 8"/>
    <w:basedOn w:val="1"/>
    <w:next w:val="1"/>
    <w:semiHidden/>
    <w:qFormat/>
    <w:uiPriority w:val="99"/>
    <w:pPr>
      <w:ind w:left="2940" w:leftChars="1400"/>
    </w:pPr>
    <w:rPr>
      <w:rFonts w:ascii="Calibri" w:hAnsi="Calibri" w:cs="Calibri"/>
    </w:rPr>
  </w:style>
  <w:style w:type="paragraph" w:styleId="26">
    <w:name w:val="Date"/>
    <w:basedOn w:val="1"/>
    <w:next w:val="1"/>
    <w:link w:val="79"/>
    <w:qFormat/>
    <w:uiPriority w:val="99"/>
    <w:rPr>
      <w:rFonts w:ascii="仿宋_GB2312" w:eastAsia="仿宋_GB2312" w:cs="仿宋_GB2312"/>
      <w:sz w:val="30"/>
      <w:szCs w:val="30"/>
    </w:rPr>
  </w:style>
  <w:style w:type="paragraph" w:styleId="27">
    <w:name w:val="Body Text Indent 2"/>
    <w:basedOn w:val="1"/>
    <w:next w:val="1"/>
    <w:link w:val="80"/>
    <w:qFormat/>
    <w:uiPriority w:val="99"/>
    <w:pPr>
      <w:spacing w:line="360" w:lineRule="exact"/>
      <w:ind w:firstLine="600" w:firstLineChars="250"/>
      <w:jc w:val="left"/>
    </w:pPr>
    <w:rPr>
      <w:sz w:val="24"/>
      <w:szCs w:val="24"/>
    </w:rPr>
  </w:style>
  <w:style w:type="paragraph" w:styleId="28">
    <w:name w:val="Balloon Text"/>
    <w:basedOn w:val="1"/>
    <w:link w:val="81"/>
    <w:semiHidden/>
    <w:qFormat/>
    <w:uiPriority w:val="99"/>
    <w:rPr>
      <w:sz w:val="18"/>
      <w:szCs w:val="18"/>
    </w:rPr>
  </w:style>
  <w:style w:type="paragraph" w:styleId="29">
    <w:name w:val="footer"/>
    <w:basedOn w:val="1"/>
    <w:link w:val="82"/>
    <w:qFormat/>
    <w:uiPriority w:val="99"/>
    <w:pPr>
      <w:tabs>
        <w:tab w:val="center" w:pos="4153"/>
        <w:tab w:val="right" w:pos="8306"/>
      </w:tabs>
      <w:snapToGrid w:val="0"/>
      <w:jc w:val="left"/>
    </w:pPr>
    <w:rPr>
      <w:sz w:val="18"/>
      <w:szCs w:val="18"/>
    </w:rPr>
  </w:style>
  <w:style w:type="paragraph" w:styleId="30">
    <w:name w:val="header"/>
    <w:basedOn w:val="1"/>
    <w:link w:val="83"/>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semiHidden/>
    <w:qFormat/>
    <w:uiPriority w:val="99"/>
    <w:pPr>
      <w:tabs>
        <w:tab w:val="right" w:leader="dot" w:pos="8296"/>
      </w:tabs>
    </w:pPr>
    <w:rPr>
      <w:rFonts w:ascii="宋体" w:eastAsia="楷体_GB2312" w:cs="宋体"/>
      <w:b/>
      <w:bCs/>
      <w:kern w:val="0"/>
      <w:sz w:val="28"/>
      <w:szCs w:val="28"/>
    </w:rPr>
  </w:style>
  <w:style w:type="paragraph" w:styleId="32">
    <w:name w:val="toc 4"/>
    <w:basedOn w:val="1"/>
    <w:next w:val="1"/>
    <w:semiHidden/>
    <w:qFormat/>
    <w:uiPriority w:val="99"/>
    <w:pPr>
      <w:tabs>
        <w:tab w:val="left" w:pos="1890"/>
        <w:tab w:val="right" w:leader="dot" w:pos="8296"/>
      </w:tabs>
      <w:ind w:left="630" w:leftChars="300"/>
    </w:pPr>
    <w:rPr>
      <w:rFonts w:ascii="Calibri" w:hAnsi="Calibri" w:cs="Calibri"/>
    </w:rPr>
  </w:style>
  <w:style w:type="paragraph" w:styleId="33">
    <w:name w:val="Subtitle"/>
    <w:basedOn w:val="1"/>
    <w:next w:val="1"/>
    <w:link w:val="84"/>
    <w:qFormat/>
    <w:uiPriority w:val="99"/>
    <w:pPr>
      <w:spacing w:before="240" w:after="60" w:line="312" w:lineRule="auto"/>
      <w:jc w:val="center"/>
      <w:outlineLvl w:val="1"/>
    </w:pPr>
    <w:rPr>
      <w:rFonts w:ascii="Cambria" w:hAnsi="Cambria" w:cs="Cambria"/>
      <w:b/>
      <w:bCs/>
      <w:kern w:val="28"/>
      <w:sz w:val="32"/>
      <w:szCs w:val="32"/>
    </w:rPr>
  </w:style>
  <w:style w:type="paragraph" w:styleId="34">
    <w:name w:val="footnote text"/>
    <w:basedOn w:val="1"/>
    <w:link w:val="85"/>
    <w:semiHidden/>
    <w:qFormat/>
    <w:uiPriority w:val="99"/>
    <w:rPr>
      <w:sz w:val="20"/>
      <w:szCs w:val="20"/>
    </w:rPr>
  </w:style>
  <w:style w:type="paragraph" w:styleId="35">
    <w:name w:val="toc 6"/>
    <w:basedOn w:val="1"/>
    <w:next w:val="1"/>
    <w:semiHidden/>
    <w:qFormat/>
    <w:uiPriority w:val="99"/>
    <w:pPr>
      <w:ind w:left="2100" w:leftChars="1000"/>
    </w:pPr>
    <w:rPr>
      <w:rFonts w:ascii="Calibri" w:hAnsi="Calibri" w:cs="Calibri"/>
    </w:rPr>
  </w:style>
  <w:style w:type="paragraph" w:styleId="36">
    <w:name w:val="Body Text Indent 3"/>
    <w:basedOn w:val="1"/>
    <w:link w:val="86"/>
    <w:qFormat/>
    <w:uiPriority w:val="99"/>
    <w:pPr>
      <w:spacing w:after="120"/>
      <w:ind w:left="420" w:leftChars="200"/>
    </w:pPr>
    <w:rPr>
      <w:sz w:val="16"/>
      <w:szCs w:val="16"/>
    </w:rPr>
  </w:style>
  <w:style w:type="paragraph" w:styleId="37">
    <w:name w:val="table of figures"/>
    <w:basedOn w:val="1"/>
    <w:next w:val="1"/>
    <w:semiHidden/>
    <w:qFormat/>
    <w:uiPriority w:val="99"/>
    <w:pPr>
      <w:ind w:left="200" w:leftChars="200" w:hanging="200" w:hangingChars="200"/>
    </w:pPr>
  </w:style>
  <w:style w:type="paragraph" w:styleId="38">
    <w:name w:val="toc 2"/>
    <w:basedOn w:val="1"/>
    <w:next w:val="1"/>
    <w:semiHidden/>
    <w:qFormat/>
    <w:uiPriority w:val="99"/>
    <w:pPr>
      <w:ind w:left="420" w:leftChars="200"/>
    </w:pPr>
    <w:rPr>
      <w:rFonts w:ascii="宋体" w:cs="宋体"/>
      <w:b/>
      <w:bCs/>
      <w:sz w:val="28"/>
      <w:szCs w:val="28"/>
    </w:rPr>
  </w:style>
  <w:style w:type="paragraph" w:styleId="39">
    <w:name w:val="toc 9"/>
    <w:basedOn w:val="1"/>
    <w:next w:val="1"/>
    <w:semiHidden/>
    <w:qFormat/>
    <w:uiPriority w:val="99"/>
    <w:pPr>
      <w:ind w:left="3360" w:leftChars="1600"/>
    </w:pPr>
    <w:rPr>
      <w:rFonts w:ascii="Calibri" w:hAnsi="Calibri" w:cs="Calibri"/>
    </w:rPr>
  </w:style>
  <w:style w:type="paragraph" w:styleId="40">
    <w:name w:val="Body Text 2"/>
    <w:basedOn w:val="1"/>
    <w:link w:val="87"/>
    <w:qFormat/>
    <w:uiPriority w:val="99"/>
    <w:pPr>
      <w:spacing w:line="440" w:lineRule="exact"/>
    </w:pPr>
    <w:rPr>
      <w:sz w:val="28"/>
      <w:szCs w:val="28"/>
    </w:rPr>
  </w:style>
  <w:style w:type="paragraph" w:styleId="41">
    <w:name w:val="Normal (Web)"/>
    <w:basedOn w:val="1"/>
    <w:qFormat/>
    <w:uiPriority w:val="99"/>
    <w:pPr>
      <w:widowControl/>
      <w:spacing w:before="100" w:beforeAutospacing="1" w:after="100" w:afterAutospacing="1" w:line="320" w:lineRule="atLeast"/>
      <w:jc w:val="left"/>
    </w:pPr>
    <w:rPr>
      <w:rFonts w:ascii="宋体" w:hAnsi="宋体" w:cs="宋体"/>
      <w:kern w:val="0"/>
      <w:sz w:val="18"/>
      <w:szCs w:val="18"/>
    </w:rPr>
  </w:style>
  <w:style w:type="paragraph" w:styleId="42">
    <w:name w:val="Title"/>
    <w:basedOn w:val="1"/>
    <w:next w:val="1"/>
    <w:link w:val="88"/>
    <w:qFormat/>
    <w:uiPriority w:val="99"/>
    <w:pPr>
      <w:spacing w:before="240" w:after="60"/>
      <w:jc w:val="center"/>
      <w:outlineLvl w:val="0"/>
    </w:pPr>
    <w:rPr>
      <w:rFonts w:ascii="Cambria" w:hAnsi="Cambria" w:cs="Cambria"/>
      <w:b/>
      <w:bCs/>
      <w:sz w:val="32"/>
      <w:szCs w:val="32"/>
    </w:rPr>
  </w:style>
  <w:style w:type="paragraph" w:styleId="43">
    <w:name w:val="annotation subject"/>
    <w:basedOn w:val="15"/>
    <w:next w:val="15"/>
    <w:link w:val="89"/>
    <w:semiHidden/>
    <w:qFormat/>
    <w:uiPriority w:val="99"/>
    <w:rPr>
      <w:rFonts w:ascii="宋体" w:cs="宋体"/>
      <w:b/>
      <w:bCs/>
      <w:kern w:val="0"/>
      <w:sz w:val="28"/>
      <w:szCs w:val="28"/>
    </w:rPr>
  </w:style>
  <w:style w:type="paragraph" w:styleId="44">
    <w:name w:val="Body Text First Indent 2"/>
    <w:basedOn w:val="18"/>
    <w:next w:val="1"/>
    <w:link w:val="90"/>
    <w:qFormat/>
    <w:uiPriority w:val="99"/>
    <w:pPr>
      <w:ind w:firstLine="420" w:firstLineChars="200"/>
    </w:pPr>
  </w:style>
  <w:style w:type="table" w:styleId="46">
    <w:name w:val="Table Grid"/>
    <w:basedOn w:val="45"/>
    <w:qFormat/>
    <w:uiPriority w:val="99"/>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8">
    <w:name w:val="Strong"/>
    <w:basedOn w:val="47"/>
    <w:qFormat/>
    <w:uiPriority w:val="99"/>
    <w:rPr>
      <w:rFonts w:cs="Times New Roman"/>
      <w:b/>
      <w:bCs/>
    </w:rPr>
  </w:style>
  <w:style w:type="character" w:styleId="49">
    <w:name w:val="page number"/>
    <w:basedOn w:val="47"/>
    <w:qFormat/>
    <w:uiPriority w:val="99"/>
    <w:rPr>
      <w:rFonts w:cs="Times New Roman"/>
    </w:rPr>
  </w:style>
  <w:style w:type="character" w:styleId="50">
    <w:name w:val="FollowedHyperlink"/>
    <w:basedOn w:val="47"/>
    <w:qFormat/>
    <w:uiPriority w:val="99"/>
    <w:rPr>
      <w:rFonts w:cs="Times New Roman"/>
      <w:color w:val="333333"/>
      <w:u w:val="none"/>
    </w:rPr>
  </w:style>
  <w:style w:type="character" w:styleId="51">
    <w:name w:val="Emphasis"/>
    <w:basedOn w:val="47"/>
    <w:qFormat/>
    <w:uiPriority w:val="99"/>
    <w:rPr>
      <w:rFonts w:cs="Times New Roman"/>
      <w:color w:val="auto"/>
    </w:rPr>
  </w:style>
  <w:style w:type="character" w:styleId="52">
    <w:name w:val="HTML Definition"/>
    <w:basedOn w:val="47"/>
    <w:qFormat/>
    <w:uiPriority w:val="99"/>
    <w:rPr>
      <w:rFonts w:cs="Times New Roman"/>
    </w:rPr>
  </w:style>
  <w:style w:type="character" w:styleId="53">
    <w:name w:val="HTML Typewriter"/>
    <w:basedOn w:val="47"/>
    <w:qFormat/>
    <w:uiPriority w:val="99"/>
    <w:rPr>
      <w:rFonts w:ascii="monospace" w:hAnsi="monospace" w:cs="monospace"/>
      <w:sz w:val="20"/>
    </w:rPr>
  </w:style>
  <w:style w:type="character" w:styleId="54">
    <w:name w:val="HTML Acronym"/>
    <w:basedOn w:val="47"/>
    <w:qFormat/>
    <w:uiPriority w:val="99"/>
    <w:rPr>
      <w:rFonts w:cs="Times New Roman"/>
    </w:rPr>
  </w:style>
  <w:style w:type="character" w:styleId="55">
    <w:name w:val="HTML Variable"/>
    <w:basedOn w:val="47"/>
    <w:qFormat/>
    <w:uiPriority w:val="99"/>
    <w:rPr>
      <w:rFonts w:cs="Times New Roman"/>
    </w:rPr>
  </w:style>
  <w:style w:type="character" w:styleId="56">
    <w:name w:val="Hyperlink"/>
    <w:basedOn w:val="47"/>
    <w:qFormat/>
    <w:uiPriority w:val="99"/>
    <w:rPr>
      <w:rFonts w:cs="Times New Roman"/>
      <w:color w:val="333333"/>
      <w:u w:val="none"/>
    </w:rPr>
  </w:style>
  <w:style w:type="character" w:styleId="57">
    <w:name w:val="HTML Code"/>
    <w:basedOn w:val="47"/>
    <w:qFormat/>
    <w:uiPriority w:val="99"/>
    <w:rPr>
      <w:rFonts w:ascii="monospace" w:hAnsi="monospace" w:cs="monospace"/>
      <w:sz w:val="20"/>
    </w:rPr>
  </w:style>
  <w:style w:type="character" w:styleId="58">
    <w:name w:val="annotation reference"/>
    <w:basedOn w:val="47"/>
    <w:semiHidden/>
    <w:qFormat/>
    <w:uiPriority w:val="99"/>
    <w:rPr>
      <w:rFonts w:cs="Times New Roman"/>
      <w:sz w:val="21"/>
      <w:szCs w:val="21"/>
    </w:rPr>
  </w:style>
  <w:style w:type="character" w:styleId="59">
    <w:name w:val="HTML Cite"/>
    <w:basedOn w:val="47"/>
    <w:qFormat/>
    <w:uiPriority w:val="99"/>
    <w:rPr>
      <w:rFonts w:cs="Times New Roman"/>
    </w:rPr>
  </w:style>
  <w:style w:type="character" w:styleId="60">
    <w:name w:val="footnote reference"/>
    <w:basedOn w:val="47"/>
    <w:semiHidden/>
    <w:qFormat/>
    <w:uiPriority w:val="99"/>
    <w:rPr>
      <w:rFonts w:cs="Times New Roman"/>
      <w:vertAlign w:val="superscript"/>
    </w:rPr>
  </w:style>
  <w:style w:type="character" w:styleId="61">
    <w:name w:val="HTML Keyboard"/>
    <w:basedOn w:val="47"/>
    <w:qFormat/>
    <w:uiPriority w:val="99"/>
    <w:rPr>
      <w:rFonts w:ascii="monospace" w:hAnsi="monospace" w:cs="monospace"/>
      <w:sz w:val="20"/>
    </w:rPr>
  </w:style>
  <w:style w:type="character" w:styleId="62">
    <w:name w:val="HTML Sample"/>
    <w:basedOn w:val="47"/>
    <w:qFormat/>
    <w:uiPriority w:val="99"/>
    <w:rPr>
      <w:rFonts w:ascii="monospace" w:hAnsi="monospace" w:cs="monospace"/>
    </w:rPr>
  </w:style>
  <w:style w:type="paragraph" w:customStyle="1" w:styleId="63">
    <w:name w:val="l正文"/>
    <w:qFormat/>
    <w:uiPriority w:val="0"/>
    <w:pPr>
      <w:widowControl w:val="0"/>
      <w:spacing w:line="300" w:lineRule="auto"/>
      <w:ind w:firstLine="200" w:firstLineChars="200"/>
      <w:jc w:val="both"/>
    </w:pPr>
    <w:rPr>
      <w:rFonts w:ascii="楷体_GB2312" w:hAnsi="Times" w:eastAsia="楷体_GB2312" w:cs="Times New Roman"/>
      <w:kern w:val="2"/>
      <w:sz w:val="24"/>
      <w:szCs w:val="24"/>
      <w:lang w:val="en-US" w:eastAsia="zh-CN" w:bidi="ar-SA"/>
    </w:rPr>
  </w:style>
  <w:style w:type="character" w:customStyle="1" w:styleId="64">
    <w:name w:val="Heading 1 Char"/>
    <w:basedOn w:val="47"/>
    <w:link w:val="2"/>
    <w:qFormat/>
    <w:locked/>
    <w:uiPriority w:val="99"/>
    <w:rPr>
      <w:rFonts w:ascii="Times New Roman" w:hAnsi="Times New Roman" w:eastAsia="仿宋" w:cs="Times New Roman"/>
      <w:b/>
      <w:bCs/>
      <w:kern w:val="44"/>
      <w:sz w:val="44"/>
      <w:szCs w:val="44"/>
      <w:lang w:val="en-US" w:eastAsia="zh-CN"/>
    </w:rPr>
  </w:style>
  <w:style w:type="character" w:customStyle="1" w:styleId="65">
    <w:name w:val="Heading 2 Char"/>
    <w:basedOn w:val="47"/>
    <w:link w:val="3"/>
    <w:qFormat/>
    <w:locked/>
    <w:uiPriority w:val="99"/>
    <w:rPr>
      <w:rFonts w:ascii="Arial" w:hAnsi="Arial" w:eastAsia="黑体" w:cs="Arial"/>
      <w:b/>
      <w:bCs/>
      <w:kern w:val="2"/>
      <w:sz w:val="32"/>
      <w:szCs w:val="32"/>
      <w:lang w:val="en-US" w:eastAsia="zh-CN"/>
    </w:rPr>
  </w:style>
  <w:style w:type="character" w:customStyle="1" w:styleId="66">
    <w:name w:val="Heading 3 Char"/>
    <w:basedOn w:val="47"/>
    <w:link w:val="4"/>
    <w:qFormat/>
    <w:locked/>
    <w:uiPriority w:val="99"/>
    <w:rPr>
      <w:rFonts w:eastAsia="宋体" w:cs="Times New Roman"/>
      <w:b/>
      <w:bCs/>
      <w:kern w:val="2"/>
      <w:sz w:val="32"/>
      <w:szCs w:val="32"/>
      <w:lang w:val="en-US" w:eastAsia="zh-CN"/>
    </w:rPr>
  </w:style>
  <w:style w:type="character" w:customStyle="1" w:styleId="67">
    <w:name w:val="Heading 4 Char"/>
    <w:basedOn w:val="47"/>
    <w:link w:val="5"/>
    <w:qFormat/>
    <w:locked/>
    <w:uiPriority w:val="99"/>
    <w:rPr>
      <w:rFonts w:ascii="Cambria" w:hAnsi="Cambria" w:eastAsia="宋体" w:cs="Cambria"/>
      <w:b/>
      <w:bCs/>
      <w:kern w:val="2"/>
      <w:sz w:val="28"/>
      <w:szCs w:val="28"/>
      <w:lang w:val="en-US" w:eastAsia="zh-CN"/>
    </w:rPr>
  </w:style>
  <w:style w:type="character" w:customStyle="1" w:styleId="68">
    <w:name w:val="Heading 5 Char"/>
    <w:basedOn w:val="47"/>
    <w:link w:val="6"/>
    <w:qFormat/>
    <w:locked/>
    <w:uiPriority w:val="99"/>
    <w:rPr>
      <w:rFonts w:ascii="Calibri" w:hAnsi="Calibri" w:eastAsia="宋体" w:cs="Calibri"/>
      <w:b/>
      <w:bCs/>
      <w:kern w:val="2"/>
      <w:sz w:val="28"/>
      <w:szCs w:val="28"/>
      <w:lang w:val="en-US" w:eastAsia="zh-CN"/>
    </w:rPr>
  </w:style>
  <w:style w:type="character" w:customStyle="1" w:styleId="69">
    <w:name w:val="Heading 6 Char"/>
    <w:basedOn w:val="47"/>
    <w:link w:val="7"/>
    <w:qFormat/>
    <w:locked/>
    <w:uiPriority w:val="99"/>
    <w:rPr>
      <w:rFonts w:ascii="Cambria" w:hAnsi="Cambria" w:eastAsia="宋体" w:cs="Cambria"/>
      <w:b/>
      <w:bCs/>
      <w:kern w:val="2"/>
      <w:sz w:val="24"/>
      <w:szCs w:val="24"/>
      <w:lang w:val="en-US" w:eastAsia="zh-CN"/>
    </w:rPr>
  </w:style>
  <w:style w:type="character" w:customStyle="1" w:styleId="70">
    <w:name w:val="Heading 7 Char"/>
    <w:basedOn w:val="47"/>
    <w:link w:val="8"/>
    <w:qFormat/>
    <w:locked/>
    <w:uiPriority w:val="99"/>
    <w:rPr>
      <w:rFonts w:ascii="Calibri" w:hAnsi="Calibri" w:eastAsia="宋体" w:cs="Calibri"/>
      <w:b/>
      <w:bCs/>
      <w:kern w:val="2"/>
      <w:sz w:val="24"/>
      <w:szCs w:val="24"/>
      <w:lang w:val="en-US" w:eastAsia="zh-CN"/>
    </w:rPr>
  </w:style>
  <w:style w:type="character" w:customStyle="1" w:styleId="71">
    <w:name w:val="Heading 8 Char"/>
    <w:basedOn w:val="47"/>
    <w:link w:val="9"/>
    <w:qFormat/>
    <w:locked/>
    <w:uiPriority w:val="99"/>
    <w:rPr>
      <w:rFonts w:ascii="Cambria" w:hAnsi="Cambria" w:eastAsia="宋体" w:cs="Cambria"/>
      <w:kern w:val="2"/>
      <w:sz w:val="24"/>
      <w:szCs w:val="24"/>
      <w:lang w:val="en-US" w:eastAsia="zh-CN"/>
    </w:rPr>
  </w:style>
  <w:style w:type="character" w:customStyle="1" w:styleId="72">
    <w:name w:val="Heading 9 Char"/>
    <w:basedOn w:val="47"/>
    <w:link w:val="10"/>
    <w:qFormat/>
    <w:locked/>
    <w:uiPriority w:val="99"/>
    <w:rPr>
      <w:rFonts w:ascii="Cambria" w:hAnsi="Cambria" w:eastAsia="宋体" w:cs="Cambria"/>
      <w:kern w:val="2"/>
      <w:sz w:val="21"/>
      <w:szCs w:val="21"/>
      <w:lang w:val="en-US" w:eastAsia="zh-CN"/>
    </w:rPr>
  </w:style>
  <w:style w:type="character" w:customStyle="1" w:styleId="73">
    <w:name w:val="Document Map Char"/>
    <w:basedOn w:val="47"/>
    <w:link w:val="14"/>
    <w:qFormat/>
    <w:locked/>
    <w:uiPriority w:val="99"/>
    <w:rPr>
      <w:rFonts w:cs="Times New Roman"/>
      <w:sz w:val="24"/>
      <w:szCs w:val="24"/>
      <w:shd w:val="clear" w:color="auto" w:fill="000080"/>
    </w:rPr>
  </w:style>
  <w:style w:type="character" w:customStyle="1" w:styleId="74">
    <w:name w:val="Comment Text Char"/>
    <w:basedOn w:val="47"/>
    <w:link w:val="15"/>
    <w:qFormat/>
    <w:locked/>
    <w:uiPriority w:val="99"/>
    <w:rPr>
      <w:rFonts w:cs="Times New Roman"/>
      <w:kern w:val="2"/>
      <w:sz w:val="22"/>
      <w:szCs w:val="22"/>
    </w:rPr>
  </w:style>
  <w:style w:type="character" w:customStyle="1" w:styleId="75">
    <w:name w:val="Body Text 3 Char"/>
    <w:basedOn w:val="47"/>
    <w:link w:val="16"/>
    <w:semiHidden/>
    <w:qFormat/>
    <w:locked/>
    <w:uiPriority w:val="99"/>
    <w:rPr>
      <w:rFonts w:cs="Times New Roman"/>
      <w:sz w:val="16"/>
      <w:szCs w:val="16"/>
    </w:rPr>
  </w:style>
  <w:style w:type="character" w:customStyle="1" w:styleId="76">
    <w:name w:val="Body Text Char"/>
    <w:basedOn w:val="47"/>
    <w:link w:val="17"/>
    <w:qFormat/>
    <w:locked/>
    <w:uiPriority w:val="99"/>
    <w:rPr>
      <w:rFonts w:eastAsia="宋体" w:cs="Times New Roman"/>
      <w:b/>
      <w:bCs/>
      <w:kern w:val="2"/>
      <w:sz w:val="44"/>
      <w:szCs w:val="44"/>
      <w:lang w:val="en-US" w:eastAsia="zh-CN"/>
    </w:rPr>
  </w:style>
  <w:style w:type="character" w:customStyle="1" w:styleId="77">
    <w:name w:val="Body Text Indent Char"/>
    <w:basedOn w:val="47"/>
    <w:link w:val="18"/>
    <w:semiHidden/>
    <w:qFormat/>
    <w:locked/>
    <w:uiPriority w:val="99"/>
    <w:rPr>
      <w:rFonts w:cs="Times New Roman"/>
      <w:sz w:val="21"/>
      <w:szCs w:val="21"/>
    </w:rPr>
  </w:style>
  <w:style w:type="character" w:customStyle="1" w:styleId="78">
    <w:name w:val="Plain Text Char"/>
    <w:basedOn w:val="47"/>
    <w:link w:val="24"/>
    <w:semiHidden/>
    <w:qFormat/>
    <w:locked/>
    <w:uiPriority w:val="99"/>
    <w:rPr>
      <w:rFonts w:ascii="宋体" w:hAnsi="Courier New" w:cs="Courier New"/>
      <w:sz w:val="21"/>
      <w:szCs w:val="21"/>
    </w:rPr>
  </w:style>
  <w:style w:type="character" w:customStyle="1" w:styleId="79">
    <w:name w:val="Date Char"/>
    <w:basedOn w:val="47"/>
    <w:link w:val="26"/>
    <w:qFormat/>
    <w:locked/>
    <w:uiPriority w:val="99"/>
    <w:rPr>
      <w:rFonts w:ascii="仿宋_GB2312" w:eastAsia="仿宋_GB2312" w:cs="仿宋_GB2312"/>
      <w:kern w:val="2"/>
      <w:sz w:val="30"/>
      <w:szCs w:val="30"/>
      <w:lang w:val="en-US" w:eastAsia="zh-CN"/>
    </w:rPr>
  </w:style>
  <w:style w:type="character" w:customStyle="1" w:styleId="80">
    <w:name w:val="Body Text Indent 2 Char"/>
    <w:basedOn w:val="47"/>
    <w:link w:val="27"/>
    <w:semiHidden/>
    <w:qFormat/>
    <w:locked/>
    <w:uiPriority w:val="99"/>
    <w:rPr>
      <w:rFonts w:cs="Times New Roman"/>
      <w:sz w:val="21"/>
      <w:szCs w:val="21"/>
    </w:rPr>
  </w:style>
  <w:style w:type="character" w:customStyle="1" w:styleId="81">
    <w:name w:val="Balloon Text Char"/>
    <w:basedOn w:val="47"/>
    <w:link w:val="28"/>
    <w:semiHidden/>
    <w:qFormat/>
    <w:locked/>
    <w:uiPriority w:val="99"/>
    <w:rPr>
      <w:rFonts w:cs="Times New Roman"/>
      <w:sz w:val="2"/>
    </w:rPr>
  </w:style>
  <w:style w:type="character" w:customStyle="1" w:styleId="82">
    <w:name w:val="Footer Char"/>
    <w:basedOn w:val="47"/>
    <w:link w:val="29"/>
    <w:qFormat/>
    <w:locked/>
    <w:uiPriority w:val="99"/>
    <w:rPr>
      <w:rFonts w:eastAsia="宋体" w:cs="Times New Roman"/>
      <w:kern w:val="2"/>
      <w:sz w:val="18"/>
      <w:szCs w:val="18"/>
      <w:lang w:val="en-US" w:eastAsia="zh-CN"/>
    </w:rPr>
  </w:style>
  <w:style w:type="character" w:customStyle="1" w:styleId="83">
    <w:name w:val="Header Char"/>
    <w:basedOn w:val="47"/>
    <w:link w:val="30"/>
    <w:qFormat/>
    <w:locked/>
    <w:uiPriority w:val="99"/>
    <w:rPr>
      <w:rFonts w:eastAsia="宋体" w:cs="Times New Roman"/>
      <w:kern w:val="2"/>
      <w:sz w:val="18"/>
      <w:szCs w:val="18"/>
      <w:lang w:val="en-US" w:eastAsia="zh-CN"/>
    </w:rPr>
  </w:style>
  <w:style w:type="character" w:customStyle="1" w:styleId="84">
    <w:name w:val="Subtitle Char"/>
    <w:basedOn w:val="47"/>
    <w:link w:val="33"/>
    <w:qFormat/>
    <w:locked/>
    <w:uiPriority w:val="99"/>
    <w:rPr>
      <w:rFonts w:ascii="Cambria" w:hAnsi="Cambria" w:cs="Cambria"/>
      <w:b/>
      <w:bCs/>
      <w:kern w:val="28"/>
      <w:sz w:val="32"/>
      <w:szCs w:val="32"/>
    </w:rPr>
  </w:style>
  <w:style w:type="character" w:customStyle="1" w:styleId="85">
    <w:name w:val="Footnote Text Char"/>
    <w:basedOn w:val="47"/>
    <w:link w:val="34"/>
    <w:semiHidden/>
    <w:qFormat/>
    <w:locked/>
    <w:uiPriority w:val="99"/>
    <w:rPr>
      <w:rFonts w:cs="Times New Roman"/>
      <w:sz w:val="18"/>
      <w:szCs w:val="18"/>
    </w:rPr>
  </w:style>
  <w:style w:type="character" w:customStyle="1" w:styleId="86">
    <w:name w:val="Body Text Indent 3 Char"/>
    <w:basedOn w:val="47"/>
    <w:link w:val="36"/>
    <w:semiHidden/>
    <w:qFormat/>
    <w:locked/>
    <w:uiPriority w:val="99"/>
    <w:rPr>
      <w:rFonts w:cs="Times New Roman"/>
      <w:sz w:val="16"/>
      <w:szCs w:val="16"/>
    </w:rPr>
  </w:style>
  <w:style w:type="character" w:customStyle="1" w:styleId="87">
    <w:name w:val="Body Text 2 Char"/>
    <w:basedOn w:val="47"/>
    <w:link w:val="40"/>
    <w:semiHidden/>
    <w:qFormat/>
    <w:locked/>
    <w:uiPriority w:val="99"/>
    <w:rPr>
      <w:rFonts w:cs="Times New Roman"/>
      <w:sz w:val="21"/>
      <w:szCs w:val="21"/>
    </w:rPr>
  </w:style>
  <w:style w:type="character" w:customStyle="1" w:styleId="88">
    <w:name w:val="Title Char"/>
    <w:basedOn w:val="47"/>
    <w:link w:val="42"/>
    <w:qFormat/>
    <w:locked/>
    <w:uiPriority w:val="99"/>
    <w:rPr>
      <w:rFonts w:ascii="Cambria" w:hAnsi="Cambria" w:cs="Cambria"/>
      <w:b/>
      <w:bCs/>
      <w:kern w:val="2"/>
      <w:sz w:val="32"/>
      <w:szCs w:val="32"/>
    </w:rPr>
  </w:style>
  <w:style w:type="character" w:customStyle="1" w:styleId="89">
    <w:name w:val="Comment Subject Char"/>
    <w:basedOn w:val="74"/>
    <w:link w:val="43"/>
    <w:qFormat/>
    <w:locked/>
    <w:uiPriority w:val="99"/>
    <w:rPr>
      <w:rFonts w:ascii="宋体" w:cs="宋体"/>
      <w:b/>
      <w:bCs/>
      <w:sz w:val="28"/>
      <w:szCs w:val="28"/>
    </w:rPr>
  </w:style>
  <w:style w:type="character" w:customStyle="1" w:styleId="90">
    <w:name w:val="Body Text First Indent 2 Char"/>
    <w:basedOn w:val="77"/>
    <w:link w:val="44"/>
    <w:semiHidden/>
    <w:qFormat/>
    <w:locked/>
    <w:uiPriority w:val="99"/>
  </w:style>
  <w:style w:type="character" w:customStyle="1" w:styleId="91">
    <w:name w:val="批注文字 Char Char"/>
    <w:qFormat/>
    <w:uiPriority w:val="99"/>
    <w:rPr>
      <w:rFonts w:ascii="宋体" w:hAnsi="Times New Roman" w:eastAsia="宋体"/>
      <w:sz w:val="20"/>
    </w:rPr>
  </w:style>
  <w:style w:type="character" w:customStyle="1" w:styleId="92">
    <w:name w:val="标题 1 Char Char"/>
    <w:qFormat/>
    <w:locked/>
    <w:uiPriority w:val="99"/>
    <w:rPr>
      <w:rFonts w:eastAsia="宋体"/>
      <w:b/>
      <w:kern w:val="44"/>
      <w:sz w:val="44"/>
      <w:lang w:val="en-US" w:eastAsia="zh-CN"/>
    </w:rPr>
  </w:style>
  <w:style w:type="character" w:customStyle="1" w:styleId="93">
    <w:name w:val="Char Char"/>
    <w:qFormat/>
    <w:uiPriority w:val="99"/>
    <w:rPr>
      <w:rFonts w:ascii="Arial" w:hAnsi="Arial" w:eastAsia="黑体"/>
      <w:b/>
      <w:kern w:val="2"/>
      <w:sz w:val="32"/>
      <w:lang w:val="en-US" w:eastAsia="zh-CN"/>
    </w:rPr>
  </w:style>
  <w:style w:type="character" w:customStyle="1" w:styleId="94">
    <w:name w:val="明显参考1"/>
    <w:qFormat/>
    <w:uiPriority w:val="99"/>
    <w:rPr>
      <w:b/>
      <w:smallCaps/>
      <w:color w:val="auto"/>
      <w:spacing w:val="5"/>
      <w:u w:val="single"/>
    </w:rPr>
  </w:style>
  <w:style w:type="character" w:customStyle="1" w:styleId="95">
    <w:name w:val="明显强调1"/>
    <w:qFormat/>
    <w:uiPriority w:val="99"/>
    <w:rPr>
      <w:b/>
      <w:i/>
      <w:color w:val="4F81BD"/>
    </w:rPr>
  </w:style>
  <w:style w:type="character" w:customStyle="1" w:styleId="96">
    <w:name w:val="文档结构图 Char1"/>
    <w:qFormat/>
    <w:uiPriority w:val="99"/>
    <w:rPr>
      <w:rFonts w:ascii="宋体"/>
      <w:kern w:val="2"/>
      <w:sz w:val="18"/>
    </w:rPr>
  </w:style>
  <w:style w:type="character" w:customStyle="1" w:styleId="97">
    <w:name w:val="日期 Char"/>
    <w:qFormat/>
    <w:uiPriority w:val="99"/>
    <w:rPr>
      <w:rFonts w:ascii="仿宋_GB2312" w:eastAsia="仿宋_GB2312"/>
      <w:kern w:val="2"/>
      <w:sz w:val="30"/>
      <w:lang w:val="en-US" w:eastAsia="zh-CN"/>
    </w:rPr>
  </w:style>
  <w:style w:type="character" w:customStyle="1" w:styleId="98">
    <w:name w:val="textcontents"/>
    <w:qFormat/>
    <w:uiPriority w:val="99"/>
  </w:style>
  <w:style w:type="character" w:customStyle="1" w:styleId="99">
    <w:name w:val="引用 Char"/>
    <w:link w:val="100"/>
    <w:qFormat/>
    <w:locked/>
    <w:uiPriority w:val="99"/>
    <w:rPr>
      <w:i/>
      <w:color w:val="000000"/>
      <w:kern w:val="2"/>
      <w:sz w:val="22"/>
    </w:rPr>
  </w:style>
  <w:style w:type="paragraph" w:customStyle="1" w:styleId="100">
    <w:name w:val="引用1"/>
    <w:basedOn w:val="1"/>
    <w:next w:val="1"/>
    <w:link w:val="99"/>
    <w:qFormat/>
    <w:uiPriority w:val="99"/>
    <w:rPr>
      <w:i/>
      <w:color w:val="000000"/>
      <w:sz w:val="22"/>
      <w:szCs w:val="20"/>
    </w:rPr>
  </w:style>
  <w:style w:type="character" w:customStyle="1" w:styleId="101">
    <w:name w:val="日期 Char1"/>
    <w:qFormat/>
    <w:uiPriority w:val="99"/>
    <w:rPr>
      <w:kern w:val="2"/>
      <w:sz w:val="22"/>
    </w:rPr>
  </w:style>
  <w:style w:type="character" w:customStyle="1" w:styleId="102">
    <w:name w:val="不明显参考1"/>
    <w:qFormat/>
    <w:uiPriority w:val="99"/>
    <w:rPr>
      <w:smallCaps/>
      <w:color w:val="auto"/>
      <w:u w:val="single"/>
    </w:rPr>
  </w:style>
  <w:style w:type="character" w:customStyle="1" w:styleId="103">
    <w:name w:val="批注框文本 Char1"/>
    <w:qFormat/>
    <w:uiPriority w:val="99"/>
    <w:rPr>
      <w:kern w:val="2"/>
      <w:sz w:val="18"/>
    </w:rPr>
  </w:style>
  <w:style w:type="character" w:customStyle="1" w:styleId="104">
    <w:name w:val="不明显强调1"/>
    <w:qFormat/>
    <w:uiPriority w:val="99"/>
    <w:rPr>
      <w:i/>
      <w:color w:val="808080"/>
    </w:rPr>
  </w:style>
  <w:style w:type="character" w:customStyle="1" w:styleId="105">
    <w:name w:val="标题4 Char Char"/>
    <w:link w:val="106"/>
    <w:qFormat/>
    <w:locked/>
    <w:uiPriority w:val="99"/>
    <w:rPr>
      <w:rFonts w:ascii="Arial" w:hAnsi="Arial"/>
      <w:b/>
      <w:sz w:val="32"/>
    </w:rPr>
  </w:style>
  <w:style w:type="paragraph" w:customStyle="1" w:styleId="106">
    <w:name w:val="标题4"/>
    <w:basedOn w:val="3"/>
    <w:next w:val="21"/>
    <w:link w:val="105"/>
    <w:qFormat/>
    <w:uiPriority w:val="99"/>
    <w:pPr>
      <w:spacing w:line="413" w:lineRule="auto"/>
    </w:pPr>
    <w:rPr>
      <w:rFonts w:eastAsia="宋体" w:cs="Times New Roman"/>
      <w:bCs w:val="0"/>
      <w:kern w:val="0"/>
      <w:szCs w:val="20"/>
    </w:rPr>
  </w:style>
  <w:style w:type="character" w:customStyle="1" w:styleId="107">
    <w:name w:val="书籍标题1"/>
    <w:qFormat/>
    <w:uiPriority w:val="99"/>
    <w:rPr>
      <w:b/>
      <w:smallCaps/>
      <w:spacing w:val="5"/>
    </w:rPr>
  </w:style>
  <w:style w:type="character" w:customStyle="1" w:styleId="108">
    <w:name w:val="bigfont"/>
    <w:basedOn w:val="47"/>
    <w:qFormat/>
    <w:uiPriority w:val="99"/>
    <w:rPr>
      <w:rFonts w:cs="Times New Roman"/>
    </w:rPr>
  </w:style>
  <w:style w:type="character" w:customStyle="1" w:styleId="109">
    <w:name w:val="news_title1"/>
    <w:qFormat/>
    <w:uiPriority w:val="99"/>
    <w:rPr>
      <w:rFonts w:ascii="宋体" w:hAnsi="宋体" w:eastAsia="宋体"/>
      <w:b/>
      <w:color w:val="000000"/>
      <w:sz w:val="36"/>
      <w:u w:val="none"/>
    </w:rPr>
  </w:style>
  <w:style w:type="character" w:customStyle="1" w:styleId="110">
    <w:name w:val="标题5 Char Char"/>
    <w:link w:val="111"/>
    <w:qFormat/>
    <w:locked/>
    <w:uiPriority w:val="99"/>
    <w:rPr>
      <w:rFonts w:ascii="Arial" w:hAnsi="Arial"/>
      <w:b/>
      <w:sz w:val="32"/>
    </w:rPr>
  </w:style>
  <w:style w:type="paragraph" w:customStyle="1" w:styleId="111">
    <w:name w:val="标题5"/>
    <w:basedOn w:val="4"/>
    <w:link w:val="110"/>
    <w:qFormat/>
    <w:uiPriority w:val="99"/>
    <w:pPr>
      <w:spacing w:line="413" w:lineRule="auto"/>
    </w:pPr>
    <w:rPr>
      <w:rFonts w:ascii="Arial" w:hAnsi="Arial"/>
      <w:bCs w:val="0"/>
      <w:kern w:val="0"/>
      <w:szCs w:val="20"/>
    </w:rPr>
  </w:style>
  <w:style w:type="character" w:customStyle="1" w:styleId="112">
    <w:name w:val="font161"/>
    <w:qFormat/>
    <w:uiPriority w:val="99"/>
    <w:rPr>
      <w:b/>
      <w:sz w:val="32"/>
    </w:rPr>
  </w:style>
  <w:style w:type="character" w:customStyle="1" w:styleId="113">
    <w:name w:val="标题 2 Char Char"/>
    <w:qFormat/>
    <w:locked/>
    <w:uiPriority w:val="99"/>
    <w:rPr>
      <w:rFonts w:ascii="Arial" w:hAnsi="Arial" w:eastAsia="黑体"/>
      <w:b/>
      <w:kern w:val="2"/>
      <w:sz w:val="32"/>
      <w:lang w:val="en-US" w:eastAsia="zh-CN"/>
    </w:rPr>
  </w:style>
  <w:style w:type="character" w:customStyle="1" w:styleId="114">
    <w:name w:val="Char Char1"/>
    <w:qFormat/>
    <w:uiPriority w:val="99"/>
    <w:rPr>
      <w:rFonts w:ascii="宋体" w:hAnsi="Times New Roman"/>
      <w:sz w:val="28"/>
    </w:rPr>
  </w:style>
  <w:style w:type="character" w:customStyle="1" w:styleId="115">
    <w:name w:val="明显引用 Char"/>
    <w:link w:val="116"/>
    <w:qFormat/>
    <w:locked/>
    <w:uiPriority w:val="99"/>
    <w:rPr>
      <w:b/>
      <w:i/>
      <w:color w:val="4F81BD"/>
      <w:kern w:val="2"/>
      <w:sz w:val="22"/>
    </w:rPr>
  </w:style>
  <w:style w:type="paragraph" w:customStyle="1" w:styleId="116">
    <w:name w:val="明显引用1"/>
    <w:basedOn w:val="1"/>
    <w:next w:val="1"/>
    <w:link w:val="115"/>
    <w:qFormat/>
    <w:uiPriority w:val="99"/>
    <w:pPr>
      <w:pBdr>
        <w:bottom w:val="single" w:color="4F81BD" w:sz="4" w:space="4"/>
      </w:pBdr>
      <w:spacing w:before="200" w:after="280"/>
      <w:ind w:left="936" w:right="936"/>
    </w:pPr>
    <w:rPr>
      <w:b/>
      <w:i/>
      <w:color w:val="4F81BD"/>
      <w:sz w:val="22"/>
      <w:szCs w:val="20"/>
    </w:rPr>
  </w:style>
  <w:style w:type="character" w:customStyle="1" w:styleId="117">
    <w:name w:val="批注主题 Char1"/>
    <w:qFormat/>
    <w:uiPriority w:val="99"/>
    <w:rPr>
      <w:b/>
      <w:kern w:val="2"/>
      <w:sz w:val="22"/>
    </w:rPr>
  </w:style>
  <w:style w:type="character" w:customStyle="1" w:styleId="118">
    <w:name w:val="正文文本 Char1"/>
    <w:qFormat/>
    <w:uiPriority w:val="99"/>
    <w:rPr>
      <w:kern w:val="2"/>
      <w:sz w:val="22"/>
    </w:rPr>
  </w:style>
  <w:style w:type="paragraph" w:customStyle="1" w:styleId="119">
    <w:name w:val="默认段落字体 Para Char Char Char Char"/>
    <w:basedOn w:val="1"/>
    <w:qFormat/>
    <w:uiPriority w:val="99"/>
  </w:style>
  <w:style w:type="paragraph" w:customStyle="1" w:styleId="120">
    <w:name w:val="Char Char Char Char Char Char Char Char Char Char Char Char Char"/>
    <w:basedOn w:val="1"/>
    <w:qFormat/>
    <w:uiPriority w:val="99"/>
  </w:style>
  <w:style w:type="paragraph" w:customStyle="1" w:styleId="121">
    <w:name w:val="样式 标题 3 + (中文) 黑体 小四 非加粗 段前: 7.8 磅 段后: 0 磅 行距: 固定值 20 磅"/>
    <w:basedOn w:val="4"/>
    <w:qFormat/>
    <w:uiPriority w:val="99"/>
    <w:pPr>
      <w:spacing w:before="0" w:after="0" w:line="400" w:lineRule="exact"/>
    </w:pPr>
    <w:rPr>
      <w:rFonts w:eastAsia="黑体"/>
      <w:b w:val="0"/>
      <w:bCs w:val="0"/>
      <w:sz w:val="24"/>
      <w:szCs w:val="24"/>
    </w:rPr>
  </w:style>
  <w:style w:type="paragraph" w:customStyle="1" w:styleId="122">
    <w:name w:val="表格文字"/>
    <w:basedOn w:val="1"/>
    <w:qFormat/>
    <w:uiPriority w:val="99"/>
    <w:pPr>
      <w:adjustRightInd w:val="0"/>
      <w:spacing w:line="420" w:lineRule="atLeast"/>
      <w:jc w:val="left"/>
      <w:textAlignment w:val="baseline"/>
    </w:pPr>
    <w:rPr>
      <w:kern w:val="0"/>
    </w:rPr>
  </w:style>
  <w:style w:type="paragraph" w:customStyle="1" w:styleId="123">
    <w:name w:val="修订1"/>
    <w:qFormat/>
    <w:uiPriority w:val="99"/>
    <w:rPr>
      <w:rFonts w:ascii="Times New Roman" w:hAnsi="Times New Roman" w:eastAsia="宋体" w:cs="Times New Roman"/>
      <w:kern w:val="2"/>
      <w:sz w:val="21"/>
      <w:szCs w:val="21"/>
      <w:lang w:val="en-US" w:eastAsia="zh-CN" w:bidi="ar-SA"/>
    </w:rPr>
  </w:style>
  <w:style w:type="paragraph" w:customStyle="1" w:styleId="124">
    <w:name w:val="Char"/>
    <w:basedOn w:val="1"/>
    <w:next w:val="1"/>
    <w:qFormat/>
    <w:uiPriority w:val="99"/>
    <w:pPr>
      <w:widowControl/>
      <w:spacing w:line="360" w:lineRule="auto"/>
      <w:jc w:val="left"/>
    </w:pPr>
    <w:rPr>
      <w:kern w:val="0"/>
      <w:lang w:eastAsia="en-US"/>
    </w:rPr>
  </w:style>
  <w:style w:type="paragraph" w:customStyle="1" w:styleId="125">
    <w:name w:val="样式2"/>
    <w:basedOn w:val="4"/>
    <w:qFormat/>
    <w:uiPriority w:val="99"/>
    <w:pPr>
      <w:spacing w:line="413" w:lineRule="auto"/>
    </w:pPr>
  </w:style>
  <w:style w:type="paragraph" w:customStyle="1" w:styleId="126">
    <w:name w:val="6'"/>
    <w:basedOn w:val="1"/>
    <w:qFormat/>
    <w:uiPriority w:val="99"/>
    <w:pPr>
      <w:autoSpaceDE w:val="0"/>
      <w:autoSpaceDN w:val="0"/>
      <w:adjustRightInd w:val="0"/>
      <w:snapToGrid w:val="0"/>
      <w:spacing w:line="320" w:lineRule="exact"/>
      <w:jc w:val="center"/>
      <w:textAlignment w:val="baseline"/>
    </w:pPr>
    <w:rPr>
      <w:spacing w:val="20"/>
      <w:kern w:val="28"/>
    </w:rPr>
  </w:style>
  <w:style w:type="paragraph" w:customStyle="1" w:styleId="127">
    <w:name w:val="表格"/>
    <w:basedOn w:val="1"/>
    <w:qFormat/>
    <w:uiPriority w:val="99"/>
    <w:pPr>
      <w:jc w:val="center"/>
      <w:textAlignment w:val="center"/>
    </w:pPr>
    <w:rPr>
      <w:rFonts w:ascii="华文细黑" w:hAnsi="华文细黑" w:cs="华文细黑"/>
      <w:kern w:val="0"/>
    </w:rPr>
  </w:style>
  <w:style w:type="paragraph" w:customStyle="1" w:styleId="128">
    <w:name w:val="Blockquote"/>
    <w:basedOn w:val="1"/>
    <w:qFormat/>
    <w:uiPriority w:val="99"/>
    <w:pPr>
      <w:autoSpaceDE w:val="0"/>
      <w:autoSpaceDN w:val="0"/>
      <w:adjustRightInd w:val="0"/>
      <w:spacing w:before="100" w:after="100"/>
      <w:ind w:left="360" w:right="360"/>
      <w:jc w:val="left"/>
    </w:pPr>
    <w:rPr>
      <w:kern w:val="0"/>
      <w:sz w:val="24"/>
      <w:szCs w:val="24"/>
    </w:rPr>
  </w:style>
  <w:style w:type="paragraph" w:customStyle="1" w:styleId="129">
    <w:name w:val="1"/>
    <w:basedOn w:val="1"/>
    <w:next w:val="1"/>
    <w:qFormat/>
    <w:uiPriority w:val="99"/>
  </w:style>
  <w:style w:type="paragraph" w:customStyle="1" w:styleId="130">
    <w:name w:val="样式1"/>
    <w:basedOn w:val="4"/>
    <w:qFormat/>
    <w:uiPriority w:val="99"/>
    <w:pPr>
      <w:spacing w:line="413" w:lineRule="auto"/>
    </w:pPr>
  </w:style>
  <w:style w:type="paragraph" w:customStyle="1" w:styleId="131">
    <w:name w:val="flNote"/>
    <w:basedOn w:val="1"/>
    <w:qFormat/>
    <w:uiPriority w:val="99"/>
    <w:pPr>
      <w:adjustRightInd w:val="0"/>
      <w:spacing w:before="320" w:after="160" w:line="360" w:lineRule="atLeast"/>
      <w:jc w:val="center"/>
      <w:textAlignment w:val="baseline"/>
    </w:pPr>
    <w:rPr>
      <w:rFonts w:ascii="Arial" w:eastAsia="黑体" w:cs="Arial"/>
      <w:kern w:val="0"/>
      <w:sz w:val="30"/>
      <w:szCs w:val="30"/>
    </w:rPr>
  </w:style>
  <w:style w:type="paragraph" w:customStyle="1" w:styleId="132">
    <w:name w:val="无间隔1"/>
    <w:qFormat/>
    <w:uiPriority w:val="99"/>
    <w:pPr>
      <w:widowControl w:val="0"/>
      <w:jc w:val="both"/>
    </w:pPr>
    <w:rPr>
      <w:rFonts w:ascii="Calibri" w:hAnsi="Calibri" w:eastAsia="宋体" w:cs="Calibri"/>
      <w:kern w:val="2"/>
      <w:sz w:val="21"/>
      <w:szCs w:val="21"/>
      <w:lang w:val="en-US" w:eastAsia="zh-CN" w:bidi="ar-SA"/>
    </w:rPr>
  </w:style>
  <w:style w:type="paragraph" w:customStyle="1" w:styleId="133">
    <w:name w:val="样式4"/>
    <w:basedOn w:val="4"/>
    <w:qFormat/>
    <w:uiPriority w:val="99"/>
    <w:pPr>
      <w:spacing w:line="413" w:lineRule="auto"/>
    </w:pPr>
  </w:style>
  <w:style w:type="paragraph" w:customStyle="1" w:styleId="134">
    <w:name w:val="TOC 标题1"/>
    <w:basedOn w:val="2"/>
    <w:next w:val="1"/>
    <w:qFormat/>
    <w:uiPriority w:val="99"/>
    <w:pPr>
      <w:spacing w:line="576" w:lineRule="auto"/>
      <w:outlineLvl w:val="9"/>
    </w:pPr>
    <w:rPr>
      <w:rFonts w:ascii="Calibri" w:hAnsi="Calibri" w:cs="Calibri"/>
    </w:rPr>
  </w:style>
  <w:style w:type="paragraph" w:customStyle="1" w:styleId="135">
    <w:name w:val="样式 标题 1 + 黑体 三号 非加粗 居中 段前: 6 磅 段后: 6 磅 行距: 固定值 20 磅"/>
    <w:basedOn w:val="2"/>
    <w:qFormat/>
    <w:uiPriority w:val="99"/>
    <w:pPr>
      <w:spacing w:before="120" w:after="120" w:line="400" w:lineRule="exact"/>
    </w:pPr>
    <w:rPr>
      <w:rFonts w:ascii="黑体" w:hAnsi="黑体" w:eastAsia="黑体" w:cs="黑体"/>
      <w:b w:val="0"/>
      <w:bCs w:val="0"/>
      <w:sz w:val="32"/>
      <w:szCs w:val="32"/>
    </w:rPr>
  </w:style>
  <w:style w:type="paragraph" w:customStyle="1" w:styleId="136">
    <w:name w:val="样式 标题 2 + Times New Roman 四号 非加粗 段前: 5 磅 段后: 0 磅 行距: 固定值 20..."/>
    <w:basedOn w:val="3"/>
    <w:qFormat/>
    <w:uiPriority w:val="99"/>
    <w:pPr>
      <w:spacing w:before="100" w:after="0" w:line="400" w:lineRule="exact"/>
    </w:pPr>
    <w:rPr>
      <w:rFonts w:ascii="Times New Roman" w:hAnsi="Times New Roman" w:cs="Times New Roman"/>
      <w:b w:val="0"/>
      <w:bCs w:val="0"/>
      <w:kern w:val="0"/>
      <w:sz w:val="28"/>
      <w:szCs w:val="28"/>
    </w:rPr>
  </w:style>
  <w:style w:type="paragraph" w:customStyle="1" w:styleId="137">
    <w:name w:val="Char Char Char Char Char Char Char Char Char Char Char Char Char1"/>
    <w:basedOn w:val="14"/>
    <w:qFormat/>
    <w:uiPriority w:val="99"/>
    <w:rPr>
      <w:rFonts w:ascii="Tahoma" w:hAnsi="Tahoma" w:cs="Tahoma"/>
      <w:sz w:val="24"/>
      <w:szCs w:val="24"/>
      <w:shd w:val="clear" w:color="auto" w:fill="auto"/>
    </w:rPr>
  </w:style>
  <w:style w:type="paragraph" w:customStyle="1" w:styleId="138">
    <w:name w:val="列出段落1"/>
    <w:basedOn w:val="1"/>
    <w:qFormat/>
    <w:uiPriority w:val="99"/>
    <w:pPr>
      <w:ind w:firstLine="420" w:firstLineChars="200"/>
    </w:pPr>
    <w:rPr>
      <w:rFonts w:ascii="Calibri" w:hAnsi="Calibri" w:cs="Calibri"/>
    </w:rPr>
  </w:style>
  <w:style w:type="paragraph" w:customStyle="1" w:styleId="139">
    <w:name w:val="Char1"/>
    <w:basedOn w:val="1"/>
    <w:qFormat/>
    <w:uiPriority w:val="99"/>
    <w:rPr>
      <w:rFonts w:ascii="Tahoma" w:hAnsi="Tahoma" w:cs="Tahoma"/>
      <w:sz w:val="24"/>
      <w:szCs w:val="24"/>
    </w:rPr>
  </w:style>
  <w:style w:type="paragraph" w:customStyle="1" w:styleId="140">
    <w:name w:val="空半行"/>
    <w:basedOn w:val="1"/>
    <w:qFormat/>
    <w:uiPriority w:val="99"/>
    <w:pPr>
      <w:adjustRightInd w:val="0"/>
      <w:spacing w:line="120" w:lineRule="exact"/>
      <w:textAlignment w:val="baseline"/>
    </w:pPr>
    <w:rPr>
      <w:rFonts w:eastAsia="仿宋_GB2312"/>
      <w:color w:val="FFFFFF"/>
      <w:kern w:val="0"/>
      <w:sz w:val="30"/>
      <w:szCs w:val="30"/>
    </w:rPr>
  </w:style>
  <w:style w:type="paragraph" w:customStyle="1" w:styleId="141">
    <w:name w:val="样式3"/>
    <w:basedOn w:val="4"/>
    <w:qFormat/>
    <w:uiPriority w:val="99"/>
    <w:pPr>
      <w:spacing w:line="413" w:lineRule="auto"/>
    </w:pPr>
  </w:style>
  <w:style w:type="paragraph" w:customStyle="1" w:styleId="142">
    <w:name w:val="正文1"/>
    <w:qFormat/>
    <w:uiPriority w:val="99"/>
    <w:pPr>
      <w:widowControl w:val="0"/>
      <w:adjustRightInd w:val="0"/>
      <w:spacing w:line="312" w:lineRule="atLeast"/>
      <w:jc w:val="both"/>
      <w:textAlignment w:val="baseline"/>
    </w:pPr>
    <w:rPr>
      <w:rFonts w:ascii="宋体" w:hAnsi="Times New Roman" w:eastAsia="宋体" w:cs="宋体"/>
      <w:kern w:val="0"/>
      <w:sz w:val="24"/>
      <w:szCs w:val="24"/>
      <w:lang w:val="en-US" w:eastAsia="zh-CN" w:bidi="ar-SA"/>
    </w:rPr>
  </w:style>
  <w:style w:type="paragraph" w:customStyle="1" w:styleId="143">
    <w:name w:val="列出段落2"/>
    <w:basedOn w:val="1"/>
    <w:qFormat/>
    <w:uiPriority w:val="99"/>
    <w:pPr>
      <w:ind w:firstLine="200" w:firstLineChars="200"/>
    </w:pPr>
  </w:style>
  <w:style w:type="paragraph" w:customStyle="1" w:styleId="144">
    <w:name w:val="p0"/>
    <w:basedOn w:val="1"/>
    <w:qFormat/>
    <w:uiPriority w:val="99"/>
    <w:pPr>
      <w:widowControl/>
    </w:pPr>
    <w:rPr>
      <w:kern w:val="0"/>
    </w:rPr>
  </w:style>
  <w:style w:type="paragraph" w:customStyle="1" w:styleId="145">
    <w:name w:val="节标题"/>
    <w:basedOn w:val="1"/>
    <w:next w:val="1"/>
    <w:qFormat/>
    <w:uiPriority w:val="99"/>
    <w:pPr>
      <w:widowControl/>
      <w:spacing w:line="289" w:lineRule="atLeast"/>
      <w:jc w:val="center"/>
      <w:textAlignment w:val="baseline"/>
    </w:pPr>
    <w:rPr>
      <w:color w:val="000000"/>
      <w:kern w:val="0"/>
      <w:sz w:val="28"/>
      <w:szCs w:val="20"/>
    </w:rPr>
  </w:style>
  <w:style w:type="paragraph" w:customStyle="1" w:styleId="146">
    <w:name w:val="WPSOffice手动目录 1"/>
    <w:qFormat/>
    <w:uiPriority w:val="99"/>
    <w:rPr>
      <w:rFonts w:ascii="Times New Roman" w:hAnsi="Times New Roman" w:eastAsia="宋体" w:cs="Times New Roman"/>
      <w:kern w:val="0"/>
      <w:sz w:val="20"/>
      <w:szCs w:val="20"/>
      <w:lang w:val="en-US" w:eastAsia="zh-CN" w:bidi="ar-SA"/>
    </w:rPr>
  </w:style>
  <w:style w:type="paragraph" w:customStyle="1" w:styleId="147">
    <w:name w:val="WPSOffice手动目录 2"/>
    <w:qFormat/>
    <w:uiPriority w:val="99"/>
    <w:pPr>
      <w:ind w:left="200" w:leftChars="200"/>
    </w:pPr>
    <w:rPr>
      <w:rFonts w:ascii="Times New Roman" w:hAnsi="Times New Roman" w:eastAsia="宋体" w:cs="Times New Roman"/>
      <w:kern w:val="0"/>
      <w:sz w:val="20"/>
      <w:szCs w:val="20"/>
      <w:lang w:val="en-US" w:eastAsia="zh-CN" w:bidi="ar-SA"/>
    </w:rPr>
  </w:style>
  <w:style w:type="paragraph" w:customStyle="1" w:styleId="148">
    <w:name w:val="WPSOffice手动目录 3"/>
    <w:qFormat/>
    <w:uiPriority w:val="99"/>
    <w:pPr>
      <w:ind w:left="400" w:leftChars="400"/>
    </w:pPr>
    <w:rPr>
      <w:rFonts w:ascii="Times New Roman" w:hAnsi="Times New Roman" w:eastAsia="宋体" w:cs="Times New Roman"/>
      <w:kern w:val="0"/>
      <w:sz w:val="20"/>
      <w:szCs w:val="20"/>
      <w:lang w:val="en-US" w:eastAsia="zh-CN" w:bidi="ar-SA"/>
    </w:rPr>
  </w:style>
  <w:style w:type="character" w:customStyle="1" w:styleId="149">
    <w:name w:val="font12"/>
    <w:basedOn w:val="47"/>
    <w:qFormat/>
    <w:uiPriority w:val="0"/>
    <w:rPr>
      <w:rFonts w:hint="eastAsia" w:ascii="仿宋" w:hAnsi="仿宋" w:eastAsia="仿宋" w:cs="仿宋"/>
      <w:b/>
      <w:color w:val="000000"/>
      <w:sz w:val="32"/>
      <w:szCs w:val="32"/>
      <w:u w:val="none"/>
    </w:rPr>
  </w:style>
  <w:style w:type="paragraph" w:customStyle="1" w:styleId="150">
    <w:name w:val="Char1 Char Char Char"/>
    <w:basedOn w:val="1"/>
    <w:qFormat/>
    <w:uiPriority w:val="0"/>
    <w:pPr>
      <w:widowControl/>
      <w:spacing w:after="160" w:line="240" w:lineRule="exact"/>
      <w:jc w:val="left"/>
    </w:pPr>
    <w:rPr>
      <w:rFonts w:ascii="Verdana" w:hAnsi="Verdana"/>
      <w:kern w:val="0"/>
      <w:sz w:val="30"/>
      <w:szCs w:val="30"/>
      <w:lang w:eastAsia="en-US"/>
    </w:rPr>
  </w:style>
  <w:style w:type="character" w:customStyle="1" w:styleId="151">
    <w:name w:val="font101"/>
    <w:basedOn w:val="47"/>
    <w:qFormat/>
    <w:uiPriority w:val="0"/>
    <w:rPr>
      <w:rFonts w:hint="default" w:ascii="Times New Roman" w:hAnsi="Times New Roman" w:cs="Times New Roman"/>
      <w:color w:val="000000"/>
      <w:sz w:val="24"/>
      <w:szCs w:val="24"/>
      <w:u w:val="none"/>
    </w:rPr>
  </w:style>
  <w:style w:type="character" w:customStyle="1" w:styleId="152">
    <w:name w:val="font111"/>
    <w:basedOn w:val="47"/>
    <w:qFormat/>
    <w:uiPriority w:val="0"/>
    <w:rPr>
      <w:rFonts w:ascii="仿宋_GB2312" w:eastAsia="仿宋_GB2312" w:cs="仿宋_GB2312"/>
      <w:color w:val="000000"/>
      <w:sz w:val="24"/>
      <w:szCs w:val="24"/>
      <w:u w:val="none"/>
    </w:rPr>
  </w:style>
  <w:style w:type="character" w:customStyle="1" w:styleId="153">
    <w:name w:val="font91"/>
    <w:basedOn w:val="47"/>
    <w:qFormat/>
    <w:uiPriority w:val="0"/>
    <w:rPr>
      <w:rFonts w:hint="eastAsia" w:ascii="仿宋" w:hAnsi="仿宋" w:eastAsia="仿宋" w:cs="仿宋"/>
      <w:color w:val="000000"/>
      <w:sz w:val="24"/>
      <w:szCs w:val="24"/>
      <w:u w:val="single"/>
    </w:rPr>
  </w:style>
  <w:style w:type="character" w:customStyle="1" w:styleId="154">
    <w:name w:val="font81"/>
    <w:basedOn w:val="47"/>
    <w:qFormat/>
    <w:uiPriority w:val="0"/>
    <w:rPr>
      <w:rFonts w:hint="eastAsia" w:ascii="仿宋" w:hAnsi="仿宋" w:eastAsia="仿宋" w:cs="仿宋"/>
      <w:color w:val="000000"/>
      <w:sz w:val="24"/>
      <w:szCs w:val="24"/>
      <w:u w:val="none"/>
    </w:rPr>
  </w:style>
  <w:style w:type="character" w:customStyle="1" w:styleId="155">
    <w:name w:val="font61"/>
    <w:basedOn w:val="47"/>
    <w:qFormat/>
    <w:uiPriority w:val="0"/>
    <w:rPr>
      <w:rFonts w:hint="eastAsia" w:ascii="仿宋" w:hAnsi="仿宋" w:eastAsia="仿宋" w:cs="仿宋"/>
      <w:b/>
      <w:color w:val="000000"/>
      <w:sz w:val="32"/>
      <w:szCs w:val="32"/>
      <w:u w:val="none"/>
    </w:rPr>
  </w:style>
  <w:style w:type="character" w:customStyle="1" w:styleId="156">
    <w:name w:val="font21"/>
    <w:basedOn w:val="47"/>
    <w:qFormat/>
    <w:uiPriority w:val="0"/>
    <w:rPr>
      <w:rFonts w:hint="eastAsia" w:ascii="仿宋" w:hAnsi="仿宋" w:eastAsia="仿宋" w:cs="仿宋"/>
      <w:color w:val="000000"/>
      <w:sz w:val="24"/>
      <w:szCs w:val="24"/>
      <w:u w:val="none"/>
    </w:rPr>
  </w:style>
  <w:style w:type="paragraph" w:customStyle="1" w:styleId="157">
    <w:name w:val="纯文本1"/>
    <w:basedOn w:val="1"/>
    <w:qFormat/>
    <w:uiPriority w:val="0"/>
    <w:rPr>
      <w:rFonts w:ascii="宋体"/>
      <w:color w:val="000000"/>
    </w:rPr>
  </w:style>
  <w:style w:type="character" w:customStyle="1" w:styleId="158">
    <w:name w:val="status"/>
    <w:basedOn w:val="47"/>
    <w:qFormat/>
    <w:uiPriority w:val="0"/>
    <w:rPr>
      <w:color w:val="0776DD"/>
    </w:rPr>
  </w:style>
  <w:style w:type="character" w:customStyle="1" w:styleId="159">
    <w:name w:val="time"/>
    <w:basedOn w:val="47"/>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Template>
  <Company>微软中国</Company>
  <Pages>55</Pages>
  <Words>14500</Words>
  <Characters>16158</Characters>
  <Lines>0</Lines>
  <Paragraphs>0</Paragraphs>
  <TotalTime>5</TotalTime>
  <ScaleCrop>false</ScaleCrop>
  <LinksUpToDate>false</LinksUpToDate>
  <CharactersWithSpaces>16326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2017-05-18T16:09:00Z</dcterms:created>
  <dc:creator>微软用户</dc:creator>
  <cp:lastModifiedBy>Pim Pom丶</cp:lastModifiedBy>
  <cp:lastPrinted>2025-09-25T14:11:00Z</cp:lastPrinted>
  <dcterms:modified xsi:type="dcterms:W3CDTF">2026-09-10T08:29:06Z</dcterms:modified>
  <dc:title>创业园小区9#楼工程施工</dc:title>
  <cp:revision>73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9CFEE953F2184222AB867545202810F6_13</vt:lpwstr>
  </property>
  <property fmtid="{D5CDD505-2E9C-101B-9397-08002B2CF9AE}" pid="4" name="KSOTemplateDocerSaveRecord">
    <vt:lpwstr>eyJoZGlkIjoiOTk1OGJkZDZlMmJiZjgxZThhZWQ4YzE0YWIxYTUyMmQiLCJ1c2VySWQiOiI0MDkyMjI1MTkifQ==</vt:lpwstr>
  </property>
</Properties>
</file>