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C92B">
      <w:pPr>
        <w:rPr>
          <w:color w:val="auto"/>
          <w:highlight w:val="none"/>
        </w:rPr>
      </w:pPr>
      <w:bookmarkStart w:id="0" w:name="OLE_LINK1"/>
    </w:p>
    <w:p w14:paraId="2158683F">
      <w:pPr>
        <w:snapToGrid w:val="0"/>
        <w:spacing w:before="312" w:beforeLines="100" w:after="312" w:afterLines="100" w:line="800" w:lineRule="exact"/>
        <w:jc w:val="center"/>
        <w:rPr>
          <w:rFonts w:ascii="宋体" w:hAnsi="宋体" w:cs="宋体"/>
          <w:b/>
          <w:bCs/>
          <w:color w:val="auto"/>
          <w:w w:val="85"/>
          <w:sz w:val="48"/>
          <w:szCs w:val="48"/>
          <w:highlight w:val="none"/>
        </w:rPr>
      </w:pPr>
    </w:p>
    <w:p w14:paraId="4D7A0484">
      <w:pPr>
        <w:snapToGrid w:val="0"/>
        <w:spacing w:before="312" w:beforeLines="100" w:after="312" w:afterLines="100" w:line="800" w:lineRule="exact"/>
        <w:jc w:val="center"/>
        <w:rPr>
          <w:color w:val="auto"/>
          <w:sz w:val="24"/>
          <w:szCs w:val="32"/>
          <w:highlight w:val="none"/>
        </w:rPr>
      </w:pPr>
      <w:r>
        <w:rPr>
          <w:rFonts w:hint="eastAsia" w:ascii="宋体" w:hAnsi="宋体" w:cs="宋体"/>
          <w:b/>
          <w:bCs/>
          <w:color w:val="auto"/>
          <w:w w:val="85"/>
          <w:sz w:val="52"/>
          <w:szCs w:val="52"/>
          <w:highlight w:val="none"/>
        </w:rPr>
        <w:t>滁州市公安局民辅警理发服务项目</w:t>
      </w:r>
    </w:p>
    <w:p w14:paraId="5E6C9C8A">
      <w:pPr>
        <w:jc w:val="center"/>
        <w:rPr>
          <w:rFonts w:ascii="宋体" w:hAnsi="宋体" w:cs="宋体"/>
          <w:b/>
          <w:color w:val="auto"/>
          <w:sz w:val="44"/>
          <w:szCs w:val="44"/>
          <w:highlight w:val="none"/>
        </w:rPr>
      </w:pPr>
    </w:p>
    <w:p w14:paraId="46C452F7">
      <w:pPr>
        <w:pStyle w:val="36"/>
        <w:ind w:firstLine="210"/>
        <w:rPr>
          <w:color w:val="auto"/>
          <w:highlight w:val="none"/>
        </w:rPr>
      </w:pPr>
    </w:p>
    <w:p w14:paraId="37AC7A73">
      <w:pPr>
        <w:jc w:val="center"/>
        <w:rPr>
          <w:rFonts w:ascii="宋体" w:hAnsi="宋体" w:cs="宋体"/>
          <w:b/>
          <w:color w:val="auto"/>
          <w:sz w:val="44"/>
          <w:szCs w:val="44"/>
          <w:highlight w:val="none"/>
        </w:rPr>
      </w:pPr>
    </w:p>
    <w:p w14:paraId="6D3C0CBF">
      <w:pPr>
        <w:spacing w:line="360" w:lineRule="auto"/>
        <w:jc w:val="center"/>
        <w:rPr>
          <w:rFonts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9CC434A">
      <w:pPr>
        <w:jc w:val="center"/>
        <w:rPr>
          <w:rFonts w:ascii="宋体" w:hAnsi="宋体" w:cs="宋体"/>
          <w:b/>
          <w:color w:val="auto"/>
          <w:sz w:val="44"/>
          <w:szCs w:val="44"/>
          <w:highlight w:val="none"/>
        </w:rPr>
      </w:pPr>
    </w:p>
    <w:p w14:paraId="4F8E4CE1">
      <w:pPr>
        <w:jc w:val="center"/>
        <w:rPr>
          <w:rFonts w:ascii="宋体" w:hAnsi="宋体" w:cs="宋体"/>
          <w:bCs/>
          <w:color w:val="auto"/>
          <w:sz w:val="28"/>
          <w:szCs w:val="28"/>
          <w:highlight w:val="none"/>
        </w:rPr>
      </w:pPr>
      <w:r>
        <w:rPr>
          <w:rFonts w:hint="eastAsia" w:ascii="宋体" w:hAnsi="宋体" w:cs="宋体"/>
          <w:bCs/>
          <w:color w:val="auto"/>
          <w:sz w:val="28"/>
          <w:szCs w:val="28"/>
          <w:highlight w:val="none"/>
        </w:rPr>
        <w:t>（自行公开招标）</w:t>
      </w:r>
    </w:p>
    <w:p w14:paraId="688DA764">
      <w:pPr>
        <w:pStyle w:val="24"/>
        <w:rPr>
          <w:color w:val="auto"/>
          <w:highlight w:val="none"/>
        </w:rPr>
      </w:pPr>
    </w:p>
    <w:p w14:paraId="12B5D0AF">
      <w:pPr>
        <w:pStyle w:val="24"/>
        <w:rPr>
          <w:color w:val="auto"/>
          <w:highlight w:val="none"/>
        </w:rPr>
      </w:pPr>
    </w:p>
    <w:p w14:paraId="7DBED0F5">
      <w:pPr>
        <w:pStyle w:val="24"/>
        <w:rPr>
          <w:color w:val="auto"/>
          <w:highlight w:val="none"/>
        </w:rPr>
      </w:pPr>
    </w:p>
    <w:p w14:paraId="44749404">
      <w:pPr>
        <w:pStyle w:val="24"/>
        <w:rPr>
          <w:color w:val="auto"/>
          <w:highlight w:val="none"/>
        </w:rPr>
      </w:pPr>
    </w:p>
    <w:p w14:paraId="073D464A">
      <w:pPr>
        <w:rPr>
          <w:rFonts w:ascii="宋体"/>
          <w:b/>
          <w:color w:val="auto"/>
          <w:sz w:val="32"/>
          <w:szCs w:val="32"/>
          <w:highlight w:val="none"/>
        </w:rPr>
      </w:pPr>
    </w:p>
    <w:p w14:paraId="2614C5F8">
      <w:pPr>
        <w:pStyle w:val="2"/>
        <w:rPr>
          <w:color w:val="auto"/>
          <w:highlight w:val="none"/>
        </w:rPr>
      </w:pPr>
    </w:p>
    <w:p w14:paraId="1467A660">
      <w:pPr>
        <w:pStyle w:val="30"/>
        <w:rPr>
          <w:color w:val="auto"/>
          <w:highlight w:val="none"/>
        </w:rPr>
      </w:pPr>
    </w:p>
    <w:p w14:paraId="0004B7BB">
      <w:pPr>
        <w:spacing w:line="900" w:lineRule="exact"/>
        <w:ind w:firstLine="964" w:firstLineChars="300"/>
        <w:rPr>
          <w:rFonts w:ascii="宋体"/>
          <w:b/>
          <w:color w:val="auto"/>
          <w:sz w:val="32"/>
          <w:szCs w:val="32"/>
          <w:highlight w:val="none"/>
        </w:rPr>
      </w:pPr>
      <w:r>
        <w:rPr>
          <w:rFonts w:hint="eastAsia" w:ascii="宋体"/>
          <w:b/>
          <w:color w:val="auto"/>
          <w:sz w:val="32"/>
          <w:szCs w:val="32"/>
          <w:highlight w:val="none"/>
        </w:rPr>
        <w:t>招   标   人：</w:t>
      </w:r>
      <w:r>
        <w:rPr>
          <w:rFonts w:hint="eastAsia" w:ascii="宋体"/>
          <w:b/>
          <w:color w:val="auto"/>
          <w:sz w:val="32"/>
          <w:szCs w:val="32"/>
          <w:highlight w:val="none"/>
          <w:u w:val="single"/>
        </w:rPr>
        <w:t xml:space="preserve">       滁州市公安局       </w:t>
      </w:r>
      <w:r>
        <w:rPr>
          <w:rFonts w:hint="eastAsia" w:ascii="宋体"/>
          <w:b/>
          <w:color w:val="auto"/>
          <w:sz w:val="32"/>
          <w:szCs w:val="32"/>
          <w:highlight w:val="none"/>
        </w:rPr>
        <w:t>（盖单位章）</w:t>
      </w:r>
    </w:p>
    <w:p w14:paraId="085CA8F6">
      <w:pPr>
        <w:spacing w:line="900" w:lineRule="exact"/>
        <w:ind w:firstLine="964" w:firstLineChars="300"/>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10F6FFC">
      <w:pPr>
        <w:spacing w:line="900" w:lineRule="exact"/>
        <w:jc w:val="center"/>
        <w:rPr>
          <w:rFonts w:ascii="宋体"/>
          <w:b/>
          <w:color w:val="auto"/>
          <w:sz w:val="32"/>
          <w:szCs w:val="32"/>
          <w:highlight w:val="none"/>
        </w:rPr>
      </w:pPr>
      <w:r>
        <w:rPr>
          <w:rFonts w:hint="eastAsia" w:ascii="宋体"/>
          <w:b/>
          <w:color w:val="auto"/>
          <w:sz w:val="32"/>
          <w:szCs w:val="32"/>
          <w:highlight w:val="none"/>
          <w:u w:val="single"/>
        </w:rPr>
        <w:t>2026年6月</w:t>
      </w:r>
    </w:p>
    <w:p w14:paraId="7C0B69F2">
      <w:pPr>
        <w:spacing w:line="360" w:lineRule="exact"/>
        <w:rPr>
          <w:b/>
          <w:color w:val="auto"/>
          <w:sz w:val="36"/>
          <w:highlight w:val="none"/>
        </w:rPr>
      </w:pPr>
    </w:p>
    <w:p w14:paraId="096A40A4">
      <w:pPr>
        <w:spacing w:line="360" w:lineRule="exact"/>
        <w:jc w:val="center"/>
        <w:rPr>
          <w:b/>
          <w:color w:val="auto"/>
          <w:sz w:val="36"/>
          <w:highlight w:val="none"/>
        </w:rPr>
      </w:pPr>
      <w:r>
        <w:rPr>
          <w:rFonts w:hint="eastAsia"/>
          <w:b/>
          <w:color w:val="auto"/>
          <w:sz w:val="36"/>
          <w:highlight w:val="none"/>
        </w:rPr>
        <w:br w:type="page"/>
      </w:r>
    </w:p>
    <w:p w14:paraId="1767FF9A">
      <w:pPr>
        <w:spacing w:line="360" w:lineRule="exact"/>
        <w:jc w:val="center"/>
        <w:rPr>
          <w:b/>
          <w:color w:val="auto"/>
          <w:sz w:val="36"/>
          <w:highlight w:val="none"/>
        </w:rPr>
      </w:pPr>
      <w:r>
        <w:rPr>
          <w:rFonts w:hint="eastAsia"/>
          <w:b/>
          <w:color w:val="auto"/>
          <w:sz w:val="36"/>
          <w:highlight w:val="none"/>
        </w:rPr>
        <w:t>目  录</w:t>
      </w:r>
    </w:p>
    <w:p w14:paraId="16C26CCE">
      <w:pPr>
        <w:pStyle w:val="28"/>
        <w:tabs>
          <w:tab w:val="right" w:leader="dot" w:pos="8296"/>
        </w:tabs>
        <w:spacing w:before="156" w:beforeLines="50" w:after="156" w:afterLines="50" w:line="500" w:lineRule="exact"/>
        <w:ind w:firstLine="480" w:firstLineChars="200"/>
        <w:rPr>
          <w:rFonts w:ascii="宋体" w:hAnsi="宋体" w:cs="宋体"/>
          <w:color w:val="auto"/>
          <w:sz w:val="24"/>
          <w:highlight w:val="none"/>
        </w:rPr>
      </w:pPr>
    </w:p>
    <w:p w14:paraId="6ED7BDA5">
      <w:pPr>
        <w:pStyle w:val="28"/>
        <w:tabs>
          <w:tab w:val="right" w:leader="dot" w:pos="8296"/>
        </w:tabs>
        <w:spacing w:before="156" w:beforeLines="50" w:after="156" w:afterLines="50" w:line="500" w:lineRule="exact"/>
        <w:ind w:firstLine="422" w:firstLineChars="200"/>
        <w:rPr>
          <w:rFonts w:hint="eastAsia"/>
          <w:b/>
          <w:bCs/>
          <w:color w:val="auto"/>
          <w:highlight w:val="none"/>
        </w:rPr>
      </w:pPr>
      <w:r>
        <w:rPr>
          <w:rFonts w:hint="eastAsia"/>
          <w:b/>
          <w:bCs/>
          <w:color w:val="auto"/>
          <w:highlight w:val="none"/>
        </w:rPr>
        <w:fldChar w:fldCharType="begin"/>
      </w:r>
      <w:r>
        <w:rPr>
          <w:rFonts w:hint="eastAsia"/>
          <w:b/>
          <w:bCs/>
          <w:color w:val="auto"/>
          <w:highlight w:val="none"/>
        </w:rPr>
        <w:instrText xml:space="preserve"> TOC \o "1-3" \h \z \u </w:instrText>
      </w:r>
      <w:r>
        <w:rPr>
          <w:rFonts w:hint="eastAsia"/>
          <w:b/>
          <w:bCs/>
          <w:color w:val="auto"/>
          <w:highlight w:val="none"/>
        </w:rPr>
        <w:fldChar w:fldCharType="separate"/>
      </w:r>
      <w:r>
        <w:rPr>
          <w:rFonts w:hint="eastAsia"/>
          <w:b/>
          <w:bCs/>
          <w:color w:val="auto"/>
          <w:highlight w:val="none"/>
        </w:rPr>
        <w:fldChar w:fldCharType="begin"/>
      </w:r>
      <w:r>
        <w:rPr>
          <w:rFonts w:hint="eastAsia"/>
          <w:b/>
          <w:bCs/>
          <w:color w:val="auto"/>
          <w:highlight w:val="none"/>
        </w:rPr>
        <w:instrText xml:space="preserve"> HYPERLINK \l "_Toc58430313" </w:instrText>
      </w:r>
      <w:r>
        <w:rPr>
          <w:rFonts w:hint="eastAsia"/>
          <w:b/>
          <w:bCs/>
          <w:color w:val="auto"/>
          <w:highlight w:val="none"/>
        </w:rPr>
        <w:fldChar w:fldCharType="separate"/>
      </w:r>
      <w:r>
        <w:rPr>
          <w:rFonts w:hint="eastAsia"/>
          <w:b/>
          <w:bCs/>
          <w:color w:val="auto"/>
          <w:highlight w:val="none"/>
        </w:rPr>
        <w:t>第一章 招标公告</w:t>
      </w:r>
      <w:r>
        <w:rPr>
          <w:rFonts w:hint="eastAsia"/>
          <w:b/>
          <w:bCs/>
          <w:color w:val="auto"/>
          <w:highlight w:val="none"/>
        </w:rPr>
        <w:tab/>
      </w:r>
      <w:r>
        <w:rPr>
          <w:rFonts w:hint="eastAsia"/>
          <w:b/>
          <w:bCs/>
          <w:color w:val="auto"/>
          <w:highlight w:val="none"/>
        </w:rPr>
        <w:fldChar w:fldCharType="end"/>
      </w:r>
      <w:r>
        <w:rPr>
          <w:rFonts w:hint="eastAsia"/>
          <w:b/>
          <w:bCs/>
          <w:color w:val="auto"/>
          <w:highlight w:val="none"/>
        </w:rPr>
        <w:t>1</w:t>
      </w:r>
    </w:p>
    <w:p w14:paraId="489C75BC">
      <w:pPr>
        <w:pStyle w:val="28"/>
        <w:tabs>
          <w:tab w:val="right" w:leader="dot" w:pos="8296"/>
        </w:tabs>
        <w:spacing w:before="156" w:beforeLines="50" w:after="156" w:afterLines="50" w:line="500" w:lineRule="exact"/>
        <w:ind w:firstLine="422" w:firstLineChars="200"/>
        <w:rPr>
          <w:rFonts w:hint="eastAsia"/>
          <w:b/>
          <w:bCs/>
          <w:color w:val="auto"/>
          <w:highlight w:val="none"/>
          <w:lang w:eastAsia="zh-CN"/>
        </w:rPr>
      </w:pPr>
      <w:r>
        <w:rPr>
          <w:rFonts w:hint="eastAsia"/>
          <w:b/>
          <w:bCs/>
          <w:color w:val="auto"/>
          <w:highlight w:val="none"/>
        </w:rPr>
        <w:fldChar w:fldCharType="begin"/>
      </w:r>
      <w:r>
        <w:rPr>
          <w:rFonts w:hint="eastAsia"/>
          <w:b/>
          <w:bCs/>
          <w:color w:val="auto"/>
          <w:highlight w:val="none"/>
        </w:rPr>
        <w:instrText xml:space="preserve"> HYPERLINK \l "_Toc58430313" </w:instrText>
      </w:r>
      <w:r>
        <w:rPr>
          <w:rFonts w:hint="eastAsia"/>
          <w:b/>
          <w:bCs/>
          <w:color w:val="auto"/>
          <w:highlight w:val="none"/>
        </w:rPr>
        <w:fldChar w:fldCharType="separate"/>
      </w:r>
      <w:r>
        <w:rPr>
          <w:rFonts w:hint="eastAsia"/>
          <w:b/>
          <w:bCs/>
          <w:color w:val="auto"/>
          <w:highlight w:val="none"/>
        </w:rPr>
        <w:t>第二章 投标人须知</w:t>
      </w:r>
      <w:r>
        <w:rPr>
          <w:rFonts w:hint="eastAsia"/>
          <w:b/>
          <w:bCs/>
          <w:color w:val="auto"/>
          <w:highlight w:val="none"/>
        </w:rPr>
        <w:tab/>
      </w:r>
      <w:r>
        <w:rPr>
          <w:rFonts w:hint="eastAsia"/>
          <w:b/>
          <w:bCs/>
          <w:color w:val="auto"/>
          <w:highlight w:val="none"/>
        </w:rPr>
        <w:fldChar w:fldCharType="end"/>
      </w:r>
      <w:r>
        <w:rPr>
          <w:rFonts w:hint="eastAsia"/>
          <w:b/>
          <w:bCs/>
          <w:color w:val="auto"/>
          <w:highlight w:val="none"/>
          <w:lang w:val="en-US" w:eastAsia="zh-CN"/>
        </w:rPr>
        <w:t>4</w:t>
      </w:r>
    </w:p>
    <w:p w14:paraId="2CD37E41">
      <w:pPr>
        <w:pStyle w:val="28"/>
        <w:tabs>
          <w:tab w:val="right" w:leader="dot" w:pos="8296"/>
        </w:tabs>
        <w:spacing w:before="156" w:beforeLines="50" w:after="156" w:afterLines="50" w:line="500" w:lineRule="exact"/>
        <w:ind w:firstLine="422" w:firstLineChars="200"/>
        <w:rPr>
          <w:rFonts w:hint="eastAsia"/>
          <w:b/>
          <w:bCs/>
          <w:color w:val="auto"/>
          <w:highlight w:val="none"/>
          <w:lang w:eastAsia="zh-CN"/>
        </w:rPr>
      </w:pPr>
      <w:r>
        <w:rPr>
          <w:rFonts w:hint="eastAsia"/>
          <w:b/>
          <w:bCs/>
          <w:color w:val="auto"/>
          <w:highlight w:val="none"/>
        </w:rPr>
        <w:fldChar w:fldCharType="begin"/>
      </w:r>
      <w:r>
        <w:rPr>
          <w:rFonts w:hint="eastAsia"/>
          <w:b/>
          <w:bCs/>
          <w:color w:val="auto"/>
          <w:highlight w:val="none"/>
        </w:rPr>
        <w:instrText xml:space="preserve"> HYPERLINK \l "_Toc58430316" </w:instrText>
      </w:r>
      <w:r>
        <w:rPr>
          <w:rFonts w:hint="eastAsia"/>
          <w:b/>
          <w:bCs/>
          <w:color w:val="auto"/>
          <w:highlight w:val="none"/>
        </w:rPr>
        <w:fldChar w:fldCharType="separate"/>
      </w:r>
      <w:r>
        <w:rPr>
          <w:rFonts w:hint="eastAsia"/>
          <w:b/>
          <w:bCs/>
          <w:color w:val="auto"/>
          <w:highlight w:val="none"/>
        </w:rPr>
        <w:t>第三章 评标办法（综合评分法）</w:t>
      </w:r>
      <w:r>
        <w:rPr>
          <w:rFonts w:hint="eastAsia"/>
          <w:b/>
          <w:bCs/>
          <w:color w:val="auto"/>
          <w:highlight w:val="none"/>
        </w:rPr>
        <w:tab/>
      </w:r>
      <w:r>
        <w:rPr>
          <w:rFonts w:hint="eastAsia"/>
          <w:b/>
          <w:bCs/>
          <w:color w:val="auto"/>
          <w:highlight w:val="none"/>
        </w:rPr>
        <w:fldChar w:fldCharType="end"/>
      </w:r>
      <w:r>
        <w:rPr>
          <w:rFonts w:hint="eastAsia"/>
          <w:b/>
          <w:bCs/>
          <w:color w:val="auto"/>
          <w:highlight w:val="none"/>
        </w:rPr>
        <w:t>1</w:t>
      </w:r>
      <w:r>
        <w:rPr>
          <w:rFonts w:hint="eastAsia"/>
          <w:b/>
          <w:bCs/>
          <w:color w:val="auto"/>
          <w:highlight w:val="none"/>
          <w:lang w:val="en-US" w:eastAsia="zh-CN"/>
        </w:rPr>
        <w:t>7</w:t>
      </w:r>
    </w:p>
    <w:p w14:paraId="33671D96">
      <w:pPr>
        <w:pStyle w:val="28"/>
        <w:tabs>
          <w:tab w:val="right" w:leader="dot" w:pos="8296"/>
        </w:tabs>
        <w:spacing w:before="156" w:beforeLines="50" w:after="156" w:afterLines="50" w:line="500" w:lineRule="exact"/>
        <w:ind w:firstLine="422" w:firstLineChars="200"/>
        <w:rPr>
          <w:rFonts w:hint="eastAsia"/>
          <w:b/>
          <w:bCs/>
          <w:color w:val="auto"/>
          <w:highlight w:val="none"/>
          <w:lang w:eastAsia="zh-CN"/>
        </w:rPr>
      </w:pPr>
      <w:r>
        <w:rPr>
          <w:rFonts w:hint="eastAsia"/>
          <w:b/>
          <w:bCs/>
          <w:color w:val="auto"/>
          <w:highlight w:val="none"/>
        </w:rPr>
        <w:fldChar w:fldCharType="begin"/>
      </w:r>
      <w:r>
        <w:rPr>
          <w:rFonts w:hint="eastAsia"/>
          <w:b/>
          <w:bCs/>
          <w:color w:val="auto"/>
          <w:highlight w:val="none"/>
        </w:rPr>
        <w:instrText xml:space="preserve"> HYPERLINK \l "_Toc58430328" </w:instrText>
      </w:r>
      <w:r>
        <w:rPr>
          <w:rFonts w:hint="eastAsia"/>
          <w:b/>
          <w:bCs/>
          <w:color w:val="auto"/>
          <w:highlight w:val="none"/>
        </w:rPr>
        <w:fldChar w:fldCharType="separate"/>
      </w:r>
      <w:r>
        <w:rPr>
          <w:rFonts w:hint="eastAsia"/>
          <w:b/>
          <w:bCs/>
          <w:color w:val="auto"/>
          <w:highlight w:val="none"/>
        </w:rPr>
        <w:t>第四章 采购需求</w:t>
      </w:r>
      <w:r>
        <w:rPr>
          <w:rFonts w:hint="eastAsia"/>
          <w:b/>
          <w:bCs/>
          <w:color w:val="auto"/>
          <w:highlight w:val="none"/>
        </w:rPr>
        <w:tab/>
      </w:r>
      <w:r>
        <w:rPr>
          <w:rFonts w:hint="eastAsia"/>
          <w:b/>
          <w:bCs/>
          <w:color w:val="auto"/>
          <w:highlight w:val="none"/>
        </w:rPr>
        <w:fldChar w:fldCharType="end"/>
      </w:r>
      <w:r>
        <w:rPr>
          <w:rFonts w:hint="eastAsia"/>
          <w:b/>
          <w:bCs/>
          <w:color w:val="auto"/>
          <w:highlight w:val="none"/>
        </w:rPr>
        <w:t>2</w:t>
      </w:r>
      <w:r>
        <w:rPr>
          <w:rFonts w:hint="eastAsia"/>
          <w:b/>
          <w:bCs/>
          <w:color w:val="auto"/>
          <w:highlight w:val="none"/>
          <w:lang w:val="en-US" w:eastAsia="zh-CN"/>
        </w:rPr>
        <w:t>3</w:t>
      </w:r>
    </w:p>
    <w:p w14:paraId="124F6907">
      <w:pPr>
        <w:pStyle w:val="28"/>
        <w:tabs>
          <w:tab w:val="right" w:leader="dot" w:pos="8296"/>
        </w:tabs>
        <w:spacing w:before="156" w:beforeLines="50" w:after="156" w:afterLines="50" w:line="500" w:lineRule="exact"/>
        <w:ind w:firstLine="422" w:firstLineChars="200"/>
        <w:rPr>
          <w:rFonts w:hint="default"/>
          <w:b/>
          <w:bCs/>
          <w:color w:val="auto"/>
          <w:highlight w:val="none"/>
          <w:lang w:val="en-US" w:eastAsia="zh-CN"/>
        </w:rPr>
      </w:pPr>
      <w:r>
        <w:rPr>
          <w:rFonts w:hint="eastAsia"/>
          <w:b/>
          <w:bCs/>
          <w:color w:val="auto"/>
          <w:highlight w:val="none"/>
        </w:rPr>
        <w:t>第五章 合同格式（参考）</w:t>
      </w:r>
      <w:r>
        <w:rPr>
          <w:rFonts w:hint="eastAsia"/>
          <w:b/>
          <w:bCs/>
          <w:color w:val="auto"/>
          <w:highlight w:val="none"/>
        </w:rPr>
        <w:tab/>
      </w:r>
      <w:r>
        <w:rPr>
          <w:rFonts w:hint="eastAsia"/>
          <w:b/>
          <w:bCs/>
          <w:color w:val="auto"/>
          <w:highlight w:val="none"/>
          <w:lang w:val="en-US" w:eastAsia="zh-CN"/>
        </w:rPr>
        <w:t>25</w:t>
      </w:r>
    </w:p>
    <w:p w14:paraId="1096E341">
      <w:pPr>
        <w:pStyle w:val="28"/>
        <w:tabs>
          <w:tab w:val="right" w:leader="dot" w:pos="8296"/>
        </w:tabs>
        <w:spacing w:before="156" w:beforeLines="50" w:after="156" w:afterLines="50" w:line="500" w:lineRule="exact"/>
        <w:ind w:firstLine="422" w:firstLineChars="200"/>
        <w:rPr>
          <w:rFonts w:hint="default"/>
          <w:b/>
          <w:bCs/>
          <w:color w:val="auto"/>
          <w:highlight w:val="none"/>
          <w:lang w:val="en-US" w:eastAsia="zh-CN"/>
        </w:rPr>
      </w:pPr>
      <w:r>
        <w:rPr>
          <w:rFonts w:hint="eastAsia"/>
          <w:b/>
          <w:bCs/>
          <w:color w:val="auto"/>
          <w:highlight w:val="none"/>
        </w:rPr>
        <w:fldChar w:fldCharType="begin"/>
      </w:r>
      <w:r>
        <w:rPr>
          <w:rFonts w:hint="eastAsia"/>
          <w:b/>
          <w:bCs/>
          <w:color w:val="auto"/>
          <w:highlight w:val="none"/>
        </w:rPr>
        <w:instrText xml:space="preserve"> HYPERLINK \l "_Toc58430332" </w:instrText>
      </w:r>
      <w:r>
        <w:rPr>
          <w:rFonts w:hint="eastAsia"/>
          <w:b/>
          <w:bCs/>
          <w:color w:val="auto"/>
          <w:highlight w:val="none"/>
        </w:rPr>
        <w:fldChar w:fldCharType="separate"/>
      </w:r>
      <w:r>
        <w:rPr>
          <w:rFonts w:hint="eastAsia"/>
          <w:b/>
          <w:bCs/>
          <w:color w:val="auto"/>
          <w:highlight w:val="none"/>
        </w:rPr>
        <w:t>第六章 投标文件格式</w:t>
      </w:r>
      <w:r>
        <w:rPr>
          <w:rFonts w:hint="eastAsia"/>
          <w:b/>
          <w:bCs/>
          <w:color w:val="auto"/>
          <w:highlight w:val="none"/>
        </w:rPr>
        <w:tab/>
      </w:r>
      <w:r>
        <w:rPr>
          <w:rFonts w:hint="eastAsia"/>
          <w:b/>
          <w:bCs/>
          <w:color w:val="auto"/>
          <w:highlight w:val="none"/>
        </w:rPr>
        <w:fldChar w:fldCharType="end"/>
      </w:r>
      <w:r>
        <w:rPr>
          <w:rFonts w:hint="eastAsia"/>
          <w:b/>
          <w:bCs/>
          <w:color w:val="auto"/>
          <w:highlight w:val="none"/>
          <w:lang w:val="en-US" w:eastAsia="zh-CN"/>
        </w:rPr>
        <w:t>34</w:t>
      </w:r>
    </w:p>
    <w:p w14:paraId="15647758">
      <w:pPr>
        <w:pStyle w:val="28"/>
        <w:tabs>
          <w:tab w:val="right" w:leader="dot" w:pos="8296"/>
        </w:tabs>
        <w:spacing w:before="156" w:beforeLines="50" w:after="156" w:afterLines="50" w:line="500" w:lineRule="exact"/>
        <w:ind w:firstLine="422" w:firstLineChars="200"/>
        <w:rPr>
          <w:rFonts w:hint="default"/>
          <w:b/>
          <w:bCs/>
          <w:color w:val="auto"/>
          <w:highlight w:val="none"/>
          <w:lang w:val="en-US"/>
        </w:rPr>
        <w:sectPr>
          <w:headerReference r:id="rId4" w:type="first"/>
          <w:footerReference r:id="rId7" w:type="first"/>
          <w:headerReference r:id="rId3" w:type="default"/>
          <w:footerReference r:id="rId5" w:type="default"/>
          <w:footerReference r:id="rId6" w:type="even"/>
          <w:pgSz w:w="11906" w:h="16838"/>
          <w:pgMar w:top="1270" w:right="1020" w:bottom="1270" w:left="1020" w:header="851" w:footer="992" w:gutter="0"/>
          <w:pgNumType w:start="1"/>
          <w:cols w:space="0" w:num="1"/>
          <w:docGrid w:type="lines" w:linePitch="312" w:charSpace="0"/>
        </w:sectPr>
      </w:pPr>
      <w:r>
        <w:rPr>
          <w:rFonts w:hint="eastAsia"/>
          <w:b/>
          <w:bCs/>
          <w:color w:val="auto"/>
          <w:highlight w:val="none"/>
        </w:rPr>
        <w:fldChar w:fldCharType="end"/>
      </w:r>
      <w:r>
        <w:rPr>
          <w:rFonts w:hint="eastAsia"/>
          <w:b/>
          <w:bCs/>
          <w:color w:val="auto"/>
          <w:highlight w:val="none"/>
        </w:rPr>
        <w:fldChar w:fldCharType="begin"/>
      </w:r>
      <w:r>
        <w:rPr>
          <w:rFonts w:hint="eastAsia"/>
          <w:b/>
          <w:bCs/>
          <w:color w:val="auto"/>
          <w:highlight w:val="none"/>
        </w:rPr>
        <w:instrText xml:space="preserve"> HYPERLINK \l "_Toc58430332" </w:instrText>
      </w:r>
      <w:r>
        <w:rPr>
          <w:rFonts w:hint="eastAsia"/>
          <w:b/>
          <w:bCs/>
          <w:color w:val="auto"/>
          <w:highlight w:val="none"/>
        </w:rPr>
        <w:fldChar w:fldCharType="separate"/>
      </w:r>
      <w:r>
        <w:rPr>
          <w:rFonts w:hint="eastAsia"/>
          <w:b/>
          <w:bCs/>
          <w:color w:val="auto"/>
          <w:highlight w:val="none"/>
        </w:rPr>
        <w:t>第</w:t>
      </w:r>
      <w:r>
        <w:rPr>
          <w:rFonts w:hint="eastAsia"/>
          <w:b/>
          <w:bCs/>
          <w:color w:val="auto"/>
          <w:highlight w:val="none"/>
          <w:lang w:val="en-US" w:eastAsia="zh-CN"/>
        </w:rPr>
        <w:t>七</w:t>
      </w:r>
      <w:r>
        <w:rPr>
          <w:rFonts w:hint="eastAsia"/>
          <w:b/>
          <w:bCs/>
          <w:color w:val="auto"/>
          <w:highlight w:val="none"/>
        </w:rPr>
        <w:t>章 招标人、招标代理机构对本招标文件的确认</w:t>
      </w:r>
      <w:r>
        <w:rPr>
          <w:rFonts w:hint="eastAsia"/>
          <w:b/>
          <w:bCs/>
          <w:color w:val="auto"/>
          <w:highlight w:val="none"/>
        </w:rPr>
        <w:tab/>
      </w:r>
      <w:r>
        <w:rPr>
          <w:rFonts w:hint="eastAsia"/>
          <w:b/>
          <w:bCs/>
          <w:color w:val="auto"/>
          <w:highlight w:val="none"/>
        </w:rPr>
        <w:fldChar w:fldCharType="end"/>
      </w:r>
      <w:r>
        <w:rPr>
          <w:rFonts w:hint="eastAsia"/>
          <w:b/>
          <w:bCs/>
          <w:color w:val="auto"/>
          <w:highlight w:val="none"/>
          <w:lang w:val="en-US" w:eastAsia="zh-CN"/>
        </w:rPr>
        <w:t>55</w:t>
      </w:r>
    </w:p>
    <w:p w14:paraId="7CF3F240">
      <w:pPr>
        <w:spacing w:before="156" w:beforeLines="50" w:after="156" w:afterLines="50" w:line="600" w:lineRule="exact"/>
        <w:jc w:val="center"/>
        <w:outlineLvl w:val="0"/>
        <w:rPr>
          <w:rFonts w:ascii="宋体"/>
          <w:b/>
          <w:color w:val="auto"/>
          <w:sz w:val="32"/>
          <w:szCs w:val="32"/>
          <w:highlight w:val="none"/>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rPr>
        <w:t>招标公告</w:t>
      </w:r>
    </w:p>
    <w:p w14:paraId="242CAB31">
      <w:pPr>
        <w:keepNext/>
        <w:keepLines/>
        <w:spacing w:line="640" w:lineRule="exact"/>
        <w:ind w:firstLine="560" w:firstLineChars="200"/>
        <w:rPr>
          <w:rFonts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723AB11A">
      <w:pPr>
        <w:keepNext/>
        <w:keepLines/>
        <w:spacing w:line="640" w:lineRule="exact"/>
        <w:ind w:firstLine="560" w:firstLineChars="200"/>
        <w:jc w:val="left"/>
        <w:rPr>
          <w:rFonts w:ascii="黑体" w:hAnsi="黑体" w:cs="宋体"/>
          <w:color w:val="auto"/>
          <w:sz w:val="28"/>
          <w:szCs w:val="28"/>
          <w:highlight w:val="none"/>
        </w:rPr>
      </w:pPr>
      <w:r>
        <w:rPr>
          <w:rFonts w:hint="eastAsia" w:ascii="仿宋" w:hAnsi="仿宋" w:eastAsia="仿宋" w:cs="仿宋"/>
          <w:color w:val="auto"/>
          <w:sz w:val="28"/>
          <w:szCs w:val="28"/>
          <w:highlight w:val="none"/>
          <w:u w:val="single"/>
        </w:rPr>
        <w:t>滁州市公安局民辅警理发服务项目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滁州市公安局官网（https://gaj.chuzhou.gov.cn/index.html）、滁州市城投工程咨询管理有限公司（https://www.czctgczx.com/）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2026年6月</w:t>
      </w:r>
      <w:r>
        <w:rPr>
          <w:rFonts w:hint="eastAsia" w:ascii="仿宋" w:hAnsi="仿宋" w:eastAsia="仿宋" w:cs="仿宋"/>
          <w:color w:val="auto"/>
          <w:sz w:val="28"/>
          <w:szCs w:val="28"/>
          <w:highlight w:val="none"/>
          <w:u w:val="single"/>
          <w:lang w:val="en-US" w:eastAsia="zh-CN"/>
        </w:rPr>
        <w:t>18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点30分</w:t>
      </w:r>
      <w:r>
        <w:rPr>
          <w:rFonts w:hint="eastAsia" w:ascii="仿宋" w:hAnsi="仿宋" w:eastAsia="仿宋" w:cs="仿宋"/>
          <w:color w:val="auto"/>
          <w:sz w:val="28"/>
          <w:szCs w:val="28"/>
          <w:highlight w:val="none"/>
        </w:rPr>
        <w:t>（北京时间）前递交投标文件。</w:t>
      </w:r>
    </w:p>
    <w:p w14:paraId="0A9A5697">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E503304">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项目名称：滁州市公安局民辅警理发服务项目</w:t>
      </w:r>
    </w:p>
    <w:p w14:paraId="4045512D">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预算金额：约450000.00元/年，三年1350000.00元/年。</w:t>
      </w:r>
    </w:p>
    <w:p w14:paraId="56BA0F06">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最高限价：本项目最高限价为20元/人/次,投标报价不得超过最高限价，否则按无效投标处理。</w:t>
      </w:r>
    </w:p>
    <w:p w14:paraId="5FBD3423">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采购需求：滁州市公安局民辅警理发服务，具体详见《采购需求》。</w:t>
      </w:r>
    </w:p>
    <w:p w14:paraId="669F0743">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合同履行期限：服务期限为三年，合同一年一签，根据招标人考核结果决定是否续签，未达标的招标人有权终止合同并重新选取服务单位，被终止合同的供应商不得参加该项目重新招标。</w:t>
      </w:r>
    </w:p>
    <w:p w14:paraId="3B7D0E61">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p>
    <w:p w14:paraId="04FF917F">
      <w:pPr>
        <w:keepNext/>
        <w:keepLines/>
        <w:spacing w:before="160" w:line="640" w:lineRule="exact"/>
        <w:rPr>
          <w:rFonts w:ascii="黑体" w:hAnsi="黑体" w:eastAsia="黑体" w:cs="黑体"/>
          <w:color w:val="auto"/>
          <w:sz w:val="28"/>
          <w:szCs w:val="28"/>
          <w:highlight w:val="none"/>
        </w:rPr>
      </w:pPr>
      <w:bookmarkStart w:id="3" w:name="_Toc35393791"/>
      <w:bookmarkStart w:id="4" w:name="_Toc28359003"/>
      <w:bookmarkStart w:id="5" w:name="_Toc35393622"/>
      <w:bookmarkStart w:id="6" w:name="_Toc28359080"/>
      <w:r>
        <w:rPr>
          <w:rFonts w:hint="eastAsia" w:ascii="黑体" w:hAnsi="黑体" w:eastAsia="黑体" w:cs="黑体"/>
          <w:color w:val="auto"/>
          <w:sz w:val="28"/>
          <w:szCs w:val="28"/>
          <w:highlight w:val="none"/>
        </w:rPr>
        <w:t>二、申请人的资格要求</w:t>
      </w:r>
      <w:bookmarkEnd w:id="3"/>
      <w:bookmarkEnd w:id="4"/>
      <w:bookmarkEnd w:id="5"/>
      <w:bookmarkEnd w:id="6"/>
    </w:p>
    <w:p w14:paraId="1ECD5BF3">
      <w:pPr>
        <w:spacing w:line="640" w:lineRule="exact"/>
        <w:ind w:firstLine="560" w:firstLineChars="200"/>
        <w:rPr>
          <w:rFonts w:ascii="仿宋" w:hAnsi="仿宋" w:eastAsia="仿宋"/>
          <w:color w:val="auto"/>
          <w:sz w:val="28"/>
          <w:szCs w:val="28"/>
          <w:highlight w:val="none"/>
        </w:rPr>
      </w:pPr>
      <w:bookmarkStart w:id="7" w:name="_Toc28359004"/>
      <w:bookmarkStart w:id="8" w:name="_Toc35393792"/>
      <w:bookmarkStart w:id="9" w:name="_Toc35393623"/>
      <w:bookmarkStart w:id="10" w:name="_Toc28359081"/>
      <w:r>
        <w:rPr>
          <w:rFonts w:hint="eastAsia" w:ascii="仿宋" w:hAnsi="仿宋" w:eastAsia="仿宋"/>
          <w:color w:val="auto"/>
          <w:sz w:val="28"/>
          <w:szCs w:val="28"/>
          <w:highlight w:val="none"/>
        </w:rPr>
        <w:t>1.</w:t>
      </w:r>
      <w:r>
        <w:rPr>
          <w:rFonts w:hint="eastAsia" w:ascii="仿宋" w:hAnsi="仿宋" w:eastAsia="仿宋" w:cs="仿宋"/>
          <w:color w:val="auto"/>
          <w:sz w:val="28"/>
          <w:szCs w:val="28"/>
          <w:highlight w:val="none"/>
        </w:rPr>
        <w:t>本项目的资格要求：投标人须具有有效的营业执照,且具有承担本项目相应的服务能力；</w:t>
      </w:r>
    </w:p>
    <w:p w14:paraId="13B0AC7C">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667FADE9">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①被列入“信用中国”网站“失信被执行人”的； </w:t>
      </w:r>
    </w:p>
    <w:p w14:paraId="668EC07E">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②被列入“信用中国”网站“重大税收违法失信主体”的； </w:t>
      </w:r>
    </w:p>
    <w:p w14:paraId="512F46E9">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③被列入“信用中国”网站 “严重失信主体名单”的； </w:t>
      </w:r>
    </w:p>
    <w:p w14:paraId="561A09FC">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④在“信用中国”网站上披露的仍在公示期的严重失信行为(具体行 为类别及判定依据见“信用中国”查询的严重失信行为类别及判定依据) 的；</w:t>
      </w:r>
    </w:p>
    <w:p w14:paraId="502B9F1E">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⑤被列入国家企业信用信息公示系统网站“经营异常名录”或者“严 重违法失信名单”的；</w:t>
      </w:r>
    </w:p>
    <w:p w14:paraId="4D4F9D89">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⑥被列入中国政府采购网站“政府采购严重违法失信行为信息记录” 的；</w:t>
      </w:r>
    </w:p>
    <w:p w14:paraId="49771135">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⑦前三年有行贿犯罪行为的单位和个人。</w:t>
      </w:r>
    </w:p>
    <w:p w14:paraId="2654F6DC">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3.投标人所属分公司、办事处等分支机构存在第3款信誉要求①-⑦项情形之一的，接受投标人参加本项目。</w:t>
      </w:r>
    </w:p>
    <w:p w14:paraId="6F28A9C6">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13E5996">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3466951">
      <w:pPr>
        <w:spacing w:line="640" w:lineRule="exact"/>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时间：</w:t>
      </w:r>
      <w:r>
        <w:rPr>
          <w:rFonts w:hint="eastAsia" w:ascii="仿宋" w:hAnsi="仿宋" w:eastAsia="仿宋" w:cs="仿宋"/>
          <w:color w:val="auto"/>
          <w:sz w:val="28"/>
          <w:szCs w:val="28"/>
          <w:highlight w:val="none"/>
          <w:shd w:val="clear" w:color="auto" w:fill="FFFFFF"/>
        </w:rPr>
        <w:t>2026年6月</w:t>
      </w:r>
      <w:r>
        <w:rPr>
          <w:rFonts w:hint="eastAsia" w:ascii="仿宋" w:hAnsi="仿宋" w:eastAsia="仿宋" w:cs="仿宋"/>
          <w:color w:val="auto"/>
          <w:sz w:val="28"/>
          <w:szCs w:val="28"/>
          <w:highlight w:val="none"/>
          <w:shd w:val="clear" w:color="auto" w:fill="FFFFFF"/>
          <w:lang w:val="en-US" w:eastAsia="zh-CN"/>
        </w:rPr>
        <w:t>10</w:t>
      </w:r>
      <w:r>
        <w:rPr>
          <w:rFonts w:hint="eastAsia" w:ascii="仿宋" w:hAnsi="仿宋" w:eastAsia="仿宋" w:cs="仿宋"/>
          <w:color w:val="auto"/>
          <w:sz w:val="28"/>
          <w:szCs w:val="28"/>
          <w:highlight w:val="none"/>
          <w:shd w:val="clear" w:color="auto" w:fill="FFFFFF"/>
        </w:rPr>
        <w:t>日至2026年6月</w:t>
      </w:r>
      <w:r>
        <w:rPr>
          <w:rFonts w:hint="eastAsia" w:ascii="仿宋" w:hAnsi="仿宋" w:eastAsia="仿宋" w:cs="仿宋"/>
          <w:color w:val="auto"/>
          <w:sz w:val="28"/>
          <w:szCs w:val="28"/>
          <w:highlight w:val="none"/>
          <w:shd w:val="clear" w:color="auto" w:fill="FFFFFF"/>
          <w:lang w:val="en-US" w:eastAsia="zh-CN"/>
        </w:rPr>
        <w:t>18</w:t>
      </w:r>
      <w:r>
        <w:rPr>
          <w:rFonts w:hint="eastAsia" w:ascii="仿宋" w:hAnsi="仿宋" w:eastAsia="仿宋" w:cs="仿宋"/>
          <w:color w:val="auto"/>
          <w:sz w:val="28"/>
          <w:szCs w:val="28"/>
          <w:highlight w:val="none"/>
          <w:shd w:val="clear" w:color="auto" w:fill="FFFFFF"/>
        </w:rPr>
        <w:t>日</w:t>
      </w:r>
      <w:bookmarkStart w:id="285" w:name="_GoBack"/>
      <w:bookmarkEnd w:id="285"/>
    </w:p>
    <w:p w14:paraId="1286EEF9">
      <w:pPr>
        <w:spacing w:line="640" w:lineRule="exact"/>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683719B1">
      <w:pPr>
        <w:spacing w:line="64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5DB6C632">
      <w:pPr>
        <w:keepNext/>
        <w:keepLines/>
        <w:spacing w:before="160" w:line="640" w:lineRule="exact"/>
        <w:rPr>
          <w:rFonts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226B3D7D">
      <w:pPr>
        <w:spacing w:line="640" w:lineRule="exact"/>
        <w:ind w:firstLine="540"/>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时间：2026年6月</w:t>
      </w:r>
      <w:r>
        <w:rPr>
          <w:rFonts w:hint="eastAsia" w:ascii="仿宋" w:hAnsi="仿宋" w:eastAsia="仿宋" w:cs="宋体"/>
          <w:b/>
          <w:bCs/>
          <w:color w:val="auto"/>
          <w:sz w:val="28"/>
          <w:szCs w:val="28"/>
          <w:highlight w:val="none"/>
          <w:lang w:val="en-US" w:eastAsia="zh-CN"/>
        </w:rPr>
        <w:t>18</w:t>
      </w:r>
      <w:r>
        <w:rPr>
          <w:rFonts w:hint="eastAsia" w:ascii="仿宋" w:hAnsi="仿宋" w:eastAsia="仿宋" w:cs="宋体"/>
          <w:b/>
          <w:bCs/>
          <w:color w:val="auto"/>
          <w:sz w:val="28"/>
          <w:szCs w:val="28"/>
          <w:highlight w:val="none"/>
        </w:rPr>
        <w:t>日</w:t>
      </w:r>
      <w:r>
        <w:rPr>
          <w:rFonts w:hint="eastAsia" w:ascii="仿宋" w:hAnsi="仿宋" w:eastAsia="仿宋" w:cs="宋体"/>
          <w:b/>
          <w:bCs/>
          <w:color w:val="auto"/>
          <w:sz w:val="28"/>
          <w:szCs w:val="28"/>
          <w:highlight w:val="none"/>
          <w:lang w:val="en-US" w:eastAsia="zh-CN"/>
        </w:rPr>
        <w:t>8</w:t>
      </w:r>
      <w:r>
        <w:rPr>
          <w:rFonts w:hint="eastAsia" w:ascii="仿宋" w:hAnsi="仿宋" w:eastAsia="仿宋" w:cs="宋体"/>
          <w:b/>
          <w:bCs/>
          <w:color w:val="auto"/>
          <w:sz w:val="28"/>
          <w:szCs w:val="28"/>
          <w:highlight w:val="none"/>
        </w:rPr>
        <w:t>点30分</w:t>
      </w:r>
    </w:p>
    <w:p w14:paraId="55355325">
      <w:pPr>
        <w:spacing w:line="640" w:lineRule="exact"/>
        <w:ind w:firstLine="540"/>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地点：滁州市公安局（滁州市龙蟠大道111号）201会议室</w:t>
      </w:r>
    </w:p>
    <w:p w14:paraId="6BE126F3">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五、投标保证金金额及缴纳账户</w:t>
      </w:r>
    </w:p>
    <w:p w14:paraId="57E826ED">
      <w:pPr>
        <w:pStyle w:val="130"/>
        <w:spacing w:line="640" w:lineRule="exact"/>
        <w:rPr>
          <w:color w:val="auto"/>
          <w:highlight w:val="none"/>
        </w:rPr>
      </w:pPr>
      <w:bookmarkStart w:id="15" w:name="_Toc35393795"/>
      <w:bookmarkStart w:id="16" w:name="_Toc35393626"/>
      <w:r>
        <w:rPr>
          <w:color w:val="auto"/>
          <w:highlight w:val="none"/>
        </w:rPr>
        <w:t>窗体顶端</w:t>
      </w:r>
    </w:p>
    <w:p w14:paraId="0AAE3DF5">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不要求投标人提交投标保证金。</w:t>
      </w:r>
      <w:bookmarkEnd w:id="15"/>
      <w:bookmarkEnd w:id="16"/>
    </w:p>
    <w:p w14:paraId="2D8BB21B">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六、公告发布期限</w:t>
      </w:r>
    </w:p>
    <w:p w14:paraId="2DA5A1B7">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自本公告发布之日起至投标截止时间止。</w:t>
      </w:r>
    </w:p>
    <w:p w14:paraId="0EB1F6F4">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七、对本次招标提出询问，请按以下方式联系</w:t>
      </w:r>
    </w:p>
    <w:p w14:paraId="4DF8528D">
      <w:pPr>
        <w:pStyle w:val="7"/>
        <w:numPr>
          <w:ilvl w:val="0"/>
          <w:numId w:val="0"/>
        </w:numPr>
        <w:adjustRightInd/>
        <w:spacing w:line="640" w:lineRule="exact"/>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4C739C59">
      <w:pPr>
        <w:spacing w:line="640" w:lineRule="exact"/>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滁州市公安局</w:t>
      </w:r>
    </w:p>
    <w:p w14:paraId="5A908CB8">
      <w:pPr>
        <w:spacing w:line="640" w:lineRule="exact"/>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滁州市龙蟠大道111号</w:t>
      </w:r>
      <w:r>
        <w:rPr>
          <w:rFonts w:hint="eastAsia" w:ascii="仿宋" w:hAnsi="仿宋" w:eastAsia="仿宋" w:cs="仿宋"/>
          <w:color w:val="auto"/>
          <w:sz w:val="28"/>
          <w:szCs w:val="28"/>
          <w:highlight w:val="none"/>
        </w:rPr>
        <w:t xml:space="preserve">   </w:t>
      </w:r>
    </w:p>
    <w:p w14:paraId="46A24A63">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0550-3064711转2078</w:t>
      </w:r>
    </w:p>
    <w:p w14:paraId="54B43361">
      <w:pPr>
        <w:pStyle w:val="7"/>
        <w:numPr>
          <w:ilvl w:val="0"/>
          <w:numId w:val="0"/>
        </w:numPr>
        <w:adjustRightInd/>
        <w:spacing w:line="64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3300084">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E454802">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D50BBD8">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0550-3519512、18255055896</w:t>
      </w:r>
    </w:p>
    <w:p w14:paraId="61CC784A">
      <w:pPr>
        <w:pStyle w:val="7"/>
        <w:numPr>
          <w:ilvl w:val="0"/>
          <w:numId w:val="0"/>
        </w:numPr>
        <w:adjustRightInd/>
        <w:spacing w:line="64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04BC3F3">
      <w:pPr>
        <w:pStyle w:val="21"/>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rPr>
        <w:t>米主任、周晓培</w:t>
      </w:r>
    </w:p>
    <w:p w14:paraId="5754AA16">
      <w:pPr>
        <w:spacing w:line="640" w:lineRule="exact"/>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0550-3064711转2078、0550-3519512、18255055896</w:t>
      </w:r>
    </w:p>
    <w:p w14:paraId="01F6B5BC">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643615E5">
      <w:pPr>
        <w:snapToGrid w:val="0"/>
        <w:spacing w:before="93" w:beforeLines="30" w:after="93" w:afterLines="30" w:line="500" w:lineRule="exact"/>
        <w:jc w:val="center"/>
        <w:outlineLvl w:val="1"/>
        <w:rPr>
          <w:rFonts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7"/>
        <w:tblW w:w="1007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2000"/>
        <w:gridCol w:w="7395"/>
      </w:tblGrid>
      <w:tr w14:paraId="1626C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82" w:type="dxa"/>
            <w:vAlign w:val="center"/>
          </w:tcPr>
          <w:p w14:paraId="730052EA">
            <w:pPr>
              <w:pStyle w:val="21"/>
              <w:spacing w:line="500" w:lineRule="exact"/>
              <w:jc w:val="center"/>
              <w:rPr>
                <w:rFonts w:hAnsi="宋体" w:cs="宋体"/>
                <w:b/>
                <w:color w:val="auto"/>
                <w:szCs w:val="21"/>
                <w:highlight w:val="none"/>
              </w:rPr>
            </w:pPr>
            <w:r>
              <w:rPr>
                <w:rFonts w:hint="eastAsia" w:hAnsi="宋体" w:cs="宋体"/>
                <w:b/>
                <w:color w:val="auto"/>
                <w:szCs w:val="21"/>
                <w:highlight w:val="none"/>
              </w:rPr>
              <w:t>序号</w:t>
            </w:r>
          </w:p>
        </w:tc>
        <w:tc>
          <w:tcPr>
            <w:tcW w:w="2000" w:type="dxa"/>
            <w:vAlign w:val="center"/>
          </w:tcPr>
          <w:p w14:paraId="702066AD">
            <w:pPr>
              <w:pStyle w:val="21"/>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7395" w:type="dxa"/>
            <w:vAlign w:val="center"/>
          </w:tcPr>
          <w:p w14:paraId="01428676">
            <w:pPr>
              <w:pStyle w:val="21"/>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46D5E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82" w:type="dxa"/>
            <w:vAlign w:val="center"/>
          </w:tcPr>
          <w:p w14:paraId="2F9474A4">
            <w:pPr>
              <w:pStyle w:val="21"/>
              <w:spacing w:line="500" w:lineRule="exact"/>
              <w:jc w:val="center"/>
              <w:rPr>
                <w:rFonts w:hAnsi="宋体" w:cs="宋体"/>
                <w:color w:val="auto"/>
                <w:szCs w:val="21"/>
                <w:highlight w:val="none"/>
              </w:rPr>
            </w:pPr>
            <w:r>
              <w:rPr>
                <w:rFonts w:hint="eastAsia" w:hAnsi="宋体" w:cs="宋体"/>
                <w:color w:val="auto"/>
                <w:szCs w:val="21"/>
                <w:highlight w:val="none"/>
              </w:rPr>
              <w:t>1</w:t>
            </w:r>
          </w:p>
        </w:tc>
        <w:tc>
          <w:tcPr>
            <w:tcW w:w="2000" w:type="dxa"/>
            <w:vAlign w:val="center"/>
          </w:tcPr>
          <w:p w14:paraId="0335F976">
            <w:pPr>
              <w:pStyle w:val="21"/>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7395" w:type="dxa"/>
            <w:vAlign w:val="center"/>
          </w:tcPr>
          <w:p w14:paraId="48E4B51B">
            <w:pPr>
              <w:pStyle w:val="21"/>
              <w:spacing w:line="500" w:lineRule="exact"/>
              <w:rPr>
                <w:rFonts w:hAnsi="宋体" w:cs="宋体"/>
                <w:color w:val="auto"/>
                <w:szCs w:val="21"/>
                <w:highlight w:val="none"/>
              </w:rPr>
            </w:pPr>
            <w:r>
              <w:rPr>
                <w:rFonts w:hint="eastAsia" w:hAnsi="宋体" w:cs="宋体"/>
                <w:color w:val="auto"/>
                <w:szCs w:val="21"/>
                <w:highlight w:val="none"/>
              </w:rPr>
              <w:t>滁州市公安局民辅警理发服务项目</w:t>
            </w:r>
          </w:p>
        </w:tc>
      </w:tr>
      <w:tr w14:paraId="31754F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682" w:type="dxa"/>
            <w:vAlign w:val="center"/>
          </w:tcPr>
          <w:p w14:paraId="1C6EDBED">
            <w:pPr>
              <w:pStyle w:val="21"/>
              <w:spacing w:line="500" w:lineRule="exact"/>
              <w:jc w:val="center"/>
              <w:rPr>
                <w:rFonts w:hAnsi="宋体" w:cs="宋体"/>
                <w:color w:val="auto"/>
                <w:szCs w:val="21"/>
                <w:highlight w:val="none"/>
              </w:rPr>
            </w:pPr>
            <w:r>
              <w:rPr>
                <w:rFonts w:hint="eastAsia" w:hAnsi="宋体" w:cs="宋体"/>
                <w:color w:val="auto"/>
                <w:szCs w:val="21"/>
                <w:highlight w:val="none"/>
              </w:rPr>
              <w:t>2</w:t>
            </w:r>
          </w:p>
        </w:tc>
        <w:tc>
          <w:tcPr>
            <w:tcW w:w="2000" w:type="dxa"/>
            <w:vAlign w:val="center"/>
          </w:tcPr>
          <w:p w14:paraId="33157808">
            <w:pPr>
              <w:pStyle w:val="21"/>
              <w:spacing w:line="500" w:lineRule="exact"/>
              <w:jc w:val="left"/>
              <w:rPr>
                <w:rFonts w:hAnsi="宋体" w:cs="宋体"/>
                <w:color w:val="auto"/>
                <w:szCs w:val="21"/>
                <w:highlight w:val="none"/>
              </w:rPr>
            </w:pPr>
            <w:r>
              <w:rPr>
                <w:rFonts w:hint="eastAsia" w:hAnsi="宋体" w:cs="宋体"/>
                <w:color w:val="auto"/>
                <w:szCs w:val="21"/>
                <w:highlight w:val="none"/>
              </w:rPr>
              <w:t>服务期</w:t>
            </w:r>
          </w:p>
        </w:tc>
        <w:tc>
          <w:tcPr>
            <w:tcW w:w="7395" w:type="dxa"/>
            <w:vAlign w:val="center"/>
          </w:tcPr>
          <w:p w14:paraId="06DB2C04">
            <w:pPr>
              <w:pStyle w:val="24"/>
              <w:spacing w:line="500" w:lineRule="exact"/>
              <w:rPr>
                <w:rFonts w:ascii="宋体" w:hAnsi="宋体" w:cs="宋体"/>
                <w:color w:val="auto"/>
                <w:szCs w:val="21"/>
                <w:highlight w:val="none"/>
              </w:rPr>
            </w:pPr>
            <w:r>
              <w:rPr>
                <w:rFonts w:hint="eastAsia" w:ascii="宋体" w:hAnsi="宋体" w:cs="宋体"/>
                <w:color w:val="auto"/>
                <w:szCs w:val="21"/>
                <w:highlight w:val="none"/>
              </w:rPr>
              <w:t>服务期限为三年，合同一年一签，根据招标人考核结果决定是否续签，未达标的招标人有权终止合同并重新选取服务单位，被终止合同的供应商不得参加该项目重新招标。</w:t>
            </w:r>
          </w:p>
          <w:p w14:paraId="5D494490">
            <w:pPr>
              <w:pStyle w:val="24"/>
              <w:spacing w:line="500" w:lineRule="exact"/>
              <w:rPr>
                <w:rFonts w:ascii="宋体" w:hAnsi="宋体" w:cs="宋体"/>
                <w:color w:val="auto"/>
                <w:szCs w:val="21"/>
                <w:highlight w:val="none"/>
              </w:rPr>
            </w:pPr>
            <w:r>
              <w:rPr>
                <w:rFonts w:hint="eastAsia" w:ascii="宋体" w:hAnsi="宋体" w:cs="宋体"/>
                <w:b/>
                <w:bCs/>
                <w:color w:val="auto"/>
                <w:szCs w:val="21"/>
                <w:highlight w:val="none"/>
              </w:rPr>
              <w:t>注：中标人试用期三个月，三个月内试用合格后签订一年的服务合同（包含试用期）；试用不合格招标人有权终止合作另行选取服务单位。</w:t>
            </w:r>
          </w:p>
        </w:tc>
      </w:tr>
      <w:tr w14:paraId="3E3ADC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8" w:hRule="atLeast"/>
          <w:jc w:val="center"/>
        </w:trPr>
        <w:tc>
          <w:tcPr>
            <w:tcW w:w="682" w:type="dxa"/>
            <w:vAlign w:val="center"/>
          </w:tcPr>
          <w:p w14:paraId="6291A754">
            <w:pPr>
              <w:pStyle w:val="21"/>
              <w:spacing w:line="500" w:lineRule="exact"/>
              <w:jc w:val="center"/>
              <w:rPr>
                <w:rFonts w:hAnsi="宋体" w:cs="宋体"/>
                <w:color w:val="auto"/>
                <w:szCs w:val="21"/>
                <w:highlight w:val="none"/>
              </w:rPr>
            </w:pPr>
            <w:r>
              <w:rPr>
                <w:rFonts w:hint="eastAsia" w:hAnsi="宋体" w:cs="宋体"/>
                <w:color w:val="auto"/>
                <w:szCs w:val="21"/>
                <w:highlight w:val="none"/>
              </w:rPr>
              <w:t>3</w:t>
            </w:r>
          </w:p>
        </w:tc>
        <w:tc>
          <w:tcPr>
            <w:tcW w:w="2000" w:type="dxa"/>
            <w:vAlign w:val="center"/>
          </w:tcPr>
          <w:p w14:paraId="7D984ED5">
            <w:pPr>
              <w:pStyle w:val="21"/>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7395" w:type="dxa"/>
            <w:vAlign w:val="center"/>
          </w:tcPr>
          <w:p w14:paraId="60037253">
            <w:pPr>
              <w:pStyle w:val="21"/>
              <w:spacing w:line="500" w:lineRule="exact"/>
              <w:rPr>
                <w:rFonts w:hAnsi="宋体" w:cs="宋体"/>
                <w:color w:val="auto"/>
                <w:szCs w:val="21"/>
                <w:highlight w:val="none"/>
              </w:rPr>
            </w:pPr>
            <w:r>
              <w:rPr>
                <w:rFonts w:hint="eastAsia" w:hAnsi="宋体" w:cs="宋体"/>
                <w:color w:val="auto"/>
                <w:szCs w:val="21"/>
                <w:highlight w:val="none"/>
              </w:rPr>
              <w:t>招标人指定地点</w:t>
            </w:r>
          </w:p>
        </w:tc>
      </w:tr>
      <w:tr w14:paraId="3EE54F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82" w:type="dxa"/>
            <w:vAlign w:val="center"/>
          </w:tcPr>
          <w:p w14:paraId="28FC1898">
            <w:pPr>
              <w:pStyle w:val="21"/>
              <w:spacing w:line="500" w:lineRule="exact"/>
              <w:jc w:val="center"/>
              <w:rPr>
                <w:rFonts w:hAnsi="宋体" w:cs="宋体"/>
                <w:color w:val="auto"/>
                <w:szCs w:val="21"/>
                <w:highlight w:val="none"/>
              </w:rPr>
            </w:pPr>
            <w:r>
              <w:rPr>
                <w:rFonts w:hint="eastAsia" w:hAnsi="宋体" w:cs="宋体"/>
                <w:color w:val="auto"/>
                <w:szCs w:val="21"/>
                <w:highlight w:val="none"/>
              </w:rPr>
              <w:t>4</w:t>
            </w:r>
          </w:p>
        </w:tc>
        <w:tc>
          <w:tcPr>
            <w:tcW w:w="2000" w:type="dxa"/>
            <w:vAlign w:val="center"/>
          </w:tcPr>
          <w:p w14:paraId="00E45083">
            <w:pPr>
              <w:pStyle w:val="21"/>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7395" w:type="dxa"/>
            <w:vAlign w:val="center"/>
          </w:tcPr>
          <w:p w14:paraId="0014B9F4">
            <w:pPr>
              <w:pStyle w:val="21"/>
              <w:spacing w:line="500" w:lineRule="exact"/>
              <w:rPr>
                <w:rFonts w:hAnsi="宋体" w:cs="宋体"/>
                <w:color w:val="auto"/>
                <w:szCs w:val="21"/>
                <w:highlight w:val="none"/>
              </w:rPr>
            </w:pPr>
            <w:r>
              <w:rPr>
                <w:rFonts w:hint="eastAsia" w:hAnsi="宋体" w:cs="宋体"/>
                <w:color w:val="auto"/>
                <w:szCs w:val="21"/>
                <w:highlight w:val="none"/>
              </w:rPr>
              <w:t>联系人：米主任      电话：0550-3064711转2078</w:t>
            </w:r>
          </w:p>
        </w:tc>
      </w:tr>
      <w:tr w14:paraId="07138D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82" w:type="dxa"/>
            <w:vAlign w:val="center"/>
          </w:tcPr>
          <w:p w14:paraId="4CF25EFC">
            <w:pPr>
              <w:pStyle w:val="21"/>
              <w:spacing w:line="500" w:lineRule="exact"/>
              <w:jc w:val="center"/>
              <w:rPr>
                <w:rFonts w:hAnsi="宋体" w:cs="宋体"/>
                <w:color w:val="auto"/>
                <w:szCs w:val="21"/>
                <w:highlight w:val="none"/>
              </w:rPr>
            </w:pPr>
            <w:r>
              <w:rPr>
                <w:rFonts w:hint="eastAsia" w:hAnsi="宋体" w:cs="宋体"/>
                <w:color w:val="auto"/>
                <w:szCs w:val="21"/>
                <w:highlight w:val="none"/>
              </w:rPr>
              <w:t>5</w:t>
            </w:r>
          </w:p>
        </w:tc>
        <w:tc>
          <w:tcPr>
            <w:tcW w:w="2000" w:type="dxa"/>
            <w:vAlign w:val="center"/>
          </w:tcPr>
          <w:p w14:paraId="6EC07B04">
            <w:pPr>
              <w:pStyle w:val="21"/>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7395" w:type="dxa"/>
            <w:vAlign w:val="center"/>
          </w:tcPr>
          <w:p w14:paraId="2AAC2249">
            <w:pPr>
              <w:pStyle w:val="21"/>
              <w:spacing w:line="500" w:lineRule="exact"/>
              <w:rPr>
                <w:rFonts w:hAnsi="宋体" w:cs="宋体"/>
                <w:color w:val="auto"/>
                <w:szCs w:val="21"/>
                <w:highlight w:val="none"/>
              </w:rPr>
            </w:pPr>
            <w:r>
              <w:rPr>
                <w:rFonts w:hint="eastAsia" w:hAnsi="宋体" w:cs="宋体"/>
                <w:color w:val="auto"/>
                <w:szCs w:val="21"/>
                <w:highlight w:val="none"/>
              </w:rPr>
              <w:t>联系人：周晓培       电话0550-3519512、18255055896</w:t>
            </w:r>
          </w:p>
        </w:tc>
      </w:tr>
      <w:tr w14:paraId="202120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82" w:type="dxa"/>
            <w:vAlign w:val="center"/>
          </w:tcPr>
          <w:p w14:paraId="372DC1AE">
            <w:pPr>
              <w:pStyle w:val="21"/>
              <w:spacing w:line="500" w:lineRule="exact"/>
              <w:jc w:val="center"/>
              <w:rPr>
                <w:rFonts w:hAnsi="宋体" w:cs="宋体"/>
                <w:color w:val="auto"/>
                <w:szCs w:val="21"/>
                <w:highlight w:val="none"/>
              </w:rPr>
            </w:pPr>
            <w:r>
              <w:rPr>
                <w:rFonts w:hint="eastAsia" w:hAnsi="宋体" w:cs="宋体"/>
                <w:color w:val="auto"/>
                <w:szCs w:val="21"/>
                <w:highlight w:val="none"/>
              </w:rPr>
              <w:t>6</w:t>
            </w:r>
          </w:p>
        </w:tc>
        <w:tc>
          <w:tcPr>
            <w:tcW w:w="2000" w:type="dxa"/>
            <w:vAlign w:val="center"/>
          </w:tcPr>
          <w:p w14:paraId="52B5F728">
            <w:pPr>
              <w:pStyle w:val="21"/>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7395" w:type="dxa"/>
            <w:vAlign w:val="center"/>
          </w:tcPr>
          <w:p w14:paraId="499BCE91">
            <w:pPr>
              <w:pStyle w:val="21"/>
              <w:spacing w:line="500" w:lineRule="exact"/>
              <w:rPr>
                <w:rFonts w:hAnsi="宋体" w:cs="宋体"/>
                <w:color w:val="auto"/>
                <w:szCs w:val="21"/>
                <w:highlight w:val="none"/>
              </w:rPr>
            </w:pPr>
            <w:r>
              <w:rPr>
                <w:rFonts w:hint="eastAsia" w:hAnsi="宋体" w:cs="宋体"/>
                <w:color w:val="auto"/>
                <w:szCs w:val="21"/>
                <w:highlight w:val="none"/>
              </w:rPr>
              <w:t>财政资金</w:t>
            </w:r>
          </w:p>
        </w:tc>
      </w:tr>
      <w:tr w14:paraId="7231F3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82" w:type="dxa"/>
            <w:vAlign w:val="center"/>
          </w:tcPr>
          <w:p w14:paraId="5E07EAA7">
            <w:pPr>
              <w:pStyle w:val="21"/>
              <w:spacing w:line="500" w:lineRule="exact"/>
              <w:jc w:val="center"/>
              <w:rPr>
                <w:rFonts w:hAnsi="宋体" w:cs="宋体"/>
                <w:color w:val="auto"/>
                <w:szCs w:val="21"/>
                <w:highlight w:val="none"/>
              </w:rPr>
            </w:pPr>
            <w:r>
              <w:rPr>
                <w:rFonts w:hint="eastAsia" w:hAnsi="宋体" w:cs="宋体"/>
                <w:color w:val="auto"/>
                <w:szCs w:val="21"/>
                <w:highlight w:val="none"/>
              </w:rPr>
              <w:t>7</w:t>
            </w:r>
          </w:p>
        </w:tc>
        <w:tc>
          <w:tcPr>
            <w:tcW w:w="2000" w:type="dxa"/>
            <w:vAlign w:val="center"/>
          </w:tcPr>
          <w:p w14:paraId="3CB88C66">
            <w:pPr>
              <w:pStyle w:val="21"/>
              <w:spacing w:line="500" w:lineRule="exact"/>
              <w:jc w:val="left"/>
              <w:rPr>
                <w:rFonts w:hAnsi="宋体" w:cs="宋体"/>
                <w:color w:val="auto"/>
                <w:szCs w:val="21"/>
                <w:highlight w:val="none"/>
              </w:rPr>
            </w:pPr>
            <w:r>
              <w:rPr>
                <w:rFonts w:hint="eastAsia" w:hAnsi="宋体" w:cs="宋体"/>
                <w:color w:val="auto"/>
                <w:szCs w:val="21"/>
                <w:highlight w:val="none"/>
              </w:rPr>
              <w:t>采购预算</w:t>
            </w:r>
          </w:p>
        </w:tc>
        <w:tc>
          <w:tcPr>
            <w:tcW w:w="7395" w:type="dxa"/>
            <w:vAlign w:val="center"/>
          </w:tcPr>
          <w:p w14:paraId="1E433AE2">
            <w:pPr>
              <w:pStyle w:val="21"/>
              <w:spacing w:line="500" w:lineRule="exact"/>
              <w:rPr>
                <w:rFonts w:hAnsi="宋体" w:cs="宋体"/>
                <w:color w:val="auto"/>
                <w:szCs w:val="21"/>
                <w:highlight w:val="none"/>
              </w:rPr>
            </w:pPr>
            <w:r>
              <w:rPr>
                <w:rFonts w:hint="eastAsia" w:hAnsi="宋体" w:cs="宋体"/>
                <w:color w:val="auto"/>
                <w:szCs w:val="21"/>
                <w:highlight w:val="none"/>
              </w:rPr>
              <w:t>/</w:t>
            </w:r>
          </w:p>
        </w:tc>
      </w:tr>
      <w:tr w14:paraId="42610B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2" w:type="dxa"/>
            <w:vAlign w:val="center"/>
          </w:tcPr>
          <w:p w14:paraId="5550237D">
            <w:pPr>
              <w:pStyle w:val="21"/>
              <w:spacing w:line="500" w:lineRule="exact"/>
              <w:jc w:val="center"/>
              <w:rPr>
                <w:rFonts w:hAnsi="宋体" w:cs="宋体"/>
                <w:color w:val="auto"/>
                <w:szCs w:val="21"/>
                <w:highlight w:val="none"/>
              </w:rPr>
            </w:pPr>
            <w:r>
              <w:rPr>
                <w:rFonts w:hint="eastAsia" w:hAnsi="宋体" w:cs="宋体"/>
                <w:color w:val="auto"/>
                <w:szCs w:val="21"/>
                <w:highlight w:val="none"/>
              </w:rPr>
              <w:t>8</w:t>
            </w:r>
          </w:p>
        </w:tc>
        <w:tc>
          <w:tcPr>
            <w:tcW w:w="2000" w:type="dxa"/>
            <w:vAlign w:val="center"/>
          </w:tcPr>
          <w:p w14:paraId="01DCC40D">
            <w:pPr>
              <w:pStyle w:val="21"/>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7395" w:type="dxa"/>
            <w:vAlign w:val="center"/>
          </w:tcPr>
          <w:p w14:paraId="38871A43">
            <w:pPr>
              <w:pStyle w:val="21"/>
              <w:spacing w:line="500" w:lineRule="exact"/>
              <w:rPr>
                <w:rFonts w:hAnsi="宋体" w:cs="宋体"/>
                <w:color w:val="auto"/>
                <w:szCs w:val="21"/>
                <w:highlight w:val="none"/>
              </w:rPr>
            </w:pPr>
            <w:r>
              <w:rPr>
                <w:rFonts w:hint="eastAsia" w:hAnsi="宋体" w:cs="宋体"/>
                <w:color w:val="auto"/>
                <w:szCs w:val="21"/>
                <w:highlight w:val="none"/>
              </w:rPr>
              <w:t>/</w:t>
            </w:r>
          </w:p>
        </w:tc>
      </w:tr>
      <w:tr w14:paraId="4410BF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2" w:type="dxa"/>
            <w:vAlign w:val="center"/>
          </w:tcPr>
          <w:p w14:paraId="4D02CCA7">
            <w:pPr>
              <w:pStyle w:val="21"/>
              <w:spacing w:line="500" w:lineRule="exact"/>
              <w:jc w:val="center"/>
              <w:rPr>
                <w:rFonts w:hAnsi="宋体" w:cs="宋体"/>
                <w:color w:val="auto"/>
                <w:szCs w:val="21"/>
                <w:highlight w:val="none"/>
              </w:rPr>
            </w:pPr>
            <w:r>
              <w:rPr>
                <w:rFonts w:hint="eastAsia" w:hAnsi="宋体" w:cs="宋体"/>
                <w:color w:val="auto"/>
                <w:szCs w:val="21"/>
                <w:highlight w:val="none"/>
              </w:rPr>
              <w:t>9</w:t>
            </w:r>
          </w:p>
        </w:tc>
        <w:tc>
          <w:tcPr>
            <w:tcW w:w="2000" w:type="dxa"/>
            <w:vAlign w:val="center"/>
          </w:tcPr>
          <w:p w14:paraId="4FA8027F">
            <w:pPr>
              <w:pStyle w:val="21"/>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7395" w:type="dxa"/>
            <w:vAlign w:val="center"/>
          </w:tcPr>
          <w:p w14:paraId="551F1763">
            <w:pPr>
              <w:pStyle w:val="21"/>
              <w:spacing w:line="500" w:lineRule="exact"/>
              <w:rPr>
                <w:rFonts w:hAnsi="宋体" w:cs="宋体"/>
                <w:color w:val="auto"/>
                <w:szCs w:val="21"/>
                <w:highlight w:val="none"/>
              </w:rPr>
            </w:pPr>
            <w:r>
              <w:rPr>
                <w:rFonts w:hint="eastAsia" w:hAnsi="宋体" w:cs="宋体"/>
                <w:color w:val="auto"/>
                <w:szCs w:val="21"/>
                <w:highlight w:val="none"/>
              </w:rPr>
              <w:t>本项目采购内容包括：详见《采购需求》</w:t>
            </w:r>
          </w:p>
        </w:tc>
      </w:tr>
      <w:tr w14:paraId="592D6C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82" w:type="dxa"/>
            <w:vAlign w:val="center"/>
          </w:tcPr>
          <w:p w14:paraId="75456AFE">
            <w:pPr>
              <w:pStyle w:val="21"/>
              <w:spacing w:line="500" w:lineRule="exact"/>
              <w:jc w:val="center"/>
              <w:rPr>
                <w:rFonts w:hAnsi="宋体" w:cs="宋体"/>
                <w:color w:val="auto"/>
                <w:szCs w:val="21"/>
                <w:highlight w:val="none"/>
              </w:rPr>
            </w:pPr>
            <w:r>
              <w:rPr>
                <w:rFonts w:hint="eastAsia" w:hAnsi="宋体" w:cs="宋体"/>
                <w:color w:val="auto"/>
                <w:szCs w:val="21"/>
                <w:highlight w:val="none"/>
              </w:rPr>
              <w:t>10</w:t>
            </w:r>
          </w:p>
        </w:tc>
        <w:tc>
          <w:tcPr>
            <w:tcW w:w="2000" w:type="dxa"/>
            <w:vAlign w:val="center"/>
          </w:tcPr>
          <w:p w14:paraId="07E52332">
            <w:pPr>
              <w:pStyle w:val="21"/>
              <w:spacing w:line="500" w:lineRule="exact"/>
              <w:jc w:val="left"/>
              <w:rPr>
                <w:rFonts w:hAnsi="宋体" w:cs="宋体"/>
                <w:color w:val="auto"/>
                <w:szCs w:val="21"/>
                <w:highlight w:val="none"/>
              </w:rPr>
            </w:pPr>
            <w:r>
              <w:rPr>
                <w:rFonts w:hint="eastAsia" w:hAnsi="宋体" w:cs="宋体"/>
                <w:color w:val="auto"/>
                <w:szCs w:val="21"/>
                <w:highlight w:val="none"/>
              </w:rPr>
              <w:t>标包划分</w:t>
            </w:r>
          </w:p>
        </w:tc>
        <w:tc>
          <w:tcPr>
            <w:tcW w:w="7395" w:type="dxa"/>
            <w:vAlign w:val="center"/>
          </w:tcPr>
          <w:p w14:paraId="7C6C468F">
            <w:pPr>
              <w:pStyle w:val="21"/>
              <w:spacing w:line="500" w:lineRule="exact"/>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  </w:t>
            </w:r>
            <w:r>
              <w:rPr>
                <w:rFonts w:hint="eastAsia" w:hAnsi="宋体" w:cs="宋体"/>
                <w:color w:val="auto"/>
                <w:szCs w:val="21"/>
                <w:highlight w:val="none"/>
              </w:rPr>
              <w:t>个标包</w:t>
            </w:r>
          </w:p>
        </w:tc>
      </w:tr>
      <w:tr w14:paraId="2A8665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82" w:type="dxa"/>
            <w:vAlign w:val="center"/>
          </w:tcPr>
          <w:p w14:paraId="3B71FCB8">
            <w:pPr>
              <w:pStyle w:val="21"/>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000" w:type="dxa"/>
            <w:vAlign w:val="center"/>
          </w:tcPr>
          <w:p w14:paraId="7BCB273D">
            <w:pPr>
              <w:pStyle w:val="21"/>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7395" w:type="dxa"/>
            <w:vAlign w:val="center"/>
          </w:tcPr>
          <w:p w14:paraId="7D6BD255">
            <w:pPr>
              <w:pStyle w:val="21"/>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6B983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682" w:type="dxa"/>
            <w:vAlign w:val="center"/>
          </w:tcPr>
          <w:p w14:paraId="6843C32C">
            <w:pPr>
              <w:pStyle w:val="21"/>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000" w:type="dxa"/>
            <w:vAlign w:val="center"/>
          </w:tcPr>
          <w:p w14:paraId="6032F885">
            <w:pPr>
              <w:pStyle w:val="21"/>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7395" w:type="dxa"/>
            <w:vAlign w:val="center"/>
          </w:tcPr>
          <w:p w14:paraId="0BC0F609">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4C1C37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5962DE12">
            <w:pPr>
              <w:pStyle w:val="21"/>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000" w:type="dxa"/>
            <w:vAlign w:val="center"/>
          </w:tcPr>
          <w:p w14:paraId="55E59C15">
            <w:pPr>
              <w:pStyle w:val="21"/>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7395" w:type="dxa"/>
            <w:vAlign w:val="center"/>
          </w:tcPr>
          <w:p w14:paraId="08B1063A">
            <w:pPr>
              <w:pStyle w:val="21"/>
              <w:spacing w:line="500" w:lineRule="exact"/>
              <w:rPr>
                <w:rFonts w:hAnsi="宋体" w:cs="宋体"/>
                <w:color w:val="auto"/>
                <w:szCs w:val="21"/>
                <w:highlight w:val="none"/>
              </w:rPr>
            </w:pPr>
            <w:r>
              <w:rPr>
                <w:rFonts w:hint="eastAsia" w:hAnsi="宋体" w:cs="宋体"/>
                <w:color w:val="auto"/>
                <w:szCs w:val="21"/>
                <w:highlight w:val="none"/>
              </w:rPr>
              <w:t>不组织,投标人自行踏勘现场</w:t>
            </w:r>
          </w:p>
        </w:tc>
      </w:tr>
      <w:tr w14:paraId="140A05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3EC21152">
            <w:pPr>
              <w:pStyle w:val="21"/>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000" w:type="dxa"/>
            <w:vAlign w:val="center"/>
          </w:tcPr>
          <w:p w14:paraId="2CE15383">
            <w:pPr>
              <w:pStyle w:val="21"/>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7395" w:type="dxa"/>
            <w:vAlign w:val="center"/>
          </w:tcPr>
          <w:p w14:paraId="00DD5CB8">
            <w:pPr>
              <w:pStyle w:val="21"/>
              <w:spacing w:line="500" w:lineRule="exact"/>
              <w:rPr>
                <w:rFonts w:hAnsi="宋体" w:cs="宋体"/>
                <w:color w:val="auto"/>
                <w:szCs w:val="21"/>
                <w:highlight w:val="none"/>
              </w:rPr>
            </w:pPr>
            <w:r>
              <w:rPr>
                <w:rFonts w:hint="eastAsia" w:hAnsi="宋体" w:cs="宋体"/>
                <w:color w:val="auto"/>
                <w:szCs w:val="21"/>
                <w:highlight w:val="none"/>
              </w:rPr>
              <w:t>不召开</w:t>
            </w:r>
          </w:p>
        </w:tc>
      </w:tr>
      <w:tr w14:paraId="738908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682" w:type="dxa"/>
            <w:vAlign w:val="center"/>
          </w:tcPr>
          <w:p w14:paraId="7CCBCCC0">
            <w:pPr>
              <w:pStyle w:val="21"/>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000" w:type="dxa"/>
            <w:vAlign w:val="center"/>
          </w:tcPr>
          <w:p w14:paraId="31BA4848">
            <w:pPr>
              <w:pStyle w:val="21"/>
              <w:spacing w:line="500" w:lineRule="exact"/>
              <w:jc w:val="left"/>
              <w:rPr>
                <w:rFonts w:hAnsi="宋体" w:cs="宋体"/>
                <w:color w:val="auto"/>
                <w:szCs w:val="21"/>
                <w:highlight w:val="none"/>
              </w:rPr>
            </w:pPr>
            <w:r>
              <w:rPr>
                <w:rFonts w:hint="eastAsia" w:hAnsi="宋体" w:cs="宋体"/>
                <w:color w:val="auto"/>
                <w:szCs w:val="21"/>
                <w:highlight w:val="none"/>
              </w:rPr>
              <w:t>联合体投标</w:t>
            </w:r>
          </w:p>
        </w:tc>
        <w:tc>
          <w:tcPr>
            <w:tcW w:w="7395" w:type="dxa"/>
            <w:vAlign w:val="center"/>
          </w:tcPr>
          <w:p w14:paraId="47E0F86B">
            <w:pPr>
              <w:pStyle w:val="21"/>
              <w:spacing w:line="500" w:lineRule="exact"/>
              <w:rPr>
                <w:rFonts w:hAnsi="宋体" w:cs="宋体"/>
                <w:color w:val="auto"/>
                <w:szCs w:val="21"/>
                <w:highlight w:val="none"/>
              </w:rPr>
            </w:pPr>
            <w:r>
              <w:rPr>
                <w:rFonts w:hint="eastAsia" w:hAnsi="宋体" w:cs="宋体"/>
                <w:color w:val="auto"/>
                <w:szCs w:val="21"/>
                <w:highlight w:val="none"/>
              </w:rPr>
              <w:t>详见第一章“招标公告”</w:t>
            </w:r>
          </w:p>
        </w:tc>
      </w:tr>
      <w:tr w14:paraId="4110F7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82" w:type="dxa"/>
            <w:vAlign w:val="center"/>
          </w:tcPr>
          <w:p w14:paraId="41290A9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000" w:type="dxa"/>
            <w:vAlign w:val="center"/>
          </w:tcPr>
          <w:p w14:paraId="7DB358C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招标代理费及其他费用</w:t>
            </w:r>
          </w:p>
        </w:tc>
        <w:tc>
          <w:tcPr>
            <w:tcW w:w="7395" w:type="dxa"/>
            <w:vAlign w:val="center"/>
          </w:tcPr>
          <w:p w14:paraId="52798676">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代理服务费金额：3370元；专家评审费用约1240元（具体以实际发生费用为准）。</w:t>
            </w:r>
          </w:p>
          <w:p w14:paraId="56A417B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支付主体：代理服务由中标人在领取中标通知书前一次性付至代理机构，专家评审费由招标人支付。</w:t>
            </w:r>
          </w:p>
        </w:tc>
      </w:tr>
      <w:tr w14:paraId="748BE9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3A15E7C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000" w:type="dxa"/>
            <w:vAlign w:val="center"/>
          </w:tcPr>
          <w:p w14:paraId="1695BBA3">
            <w:pPr>
              <w:pStyle w:val="21"/>
              <w:spacing w:line="500" w:lineRule="exact"/>
              <w:jc w:val="left"/>
              <w:rPr>
                <w:rFonts w:hAnsi="宋体" w:cs="宋体"/>
                <w:color w:val="auto"/>
                <w:szCs w:val="21"/>
                <w:highlight w:val="none"/>
              </w:rPr>
            </w:pPr>
            <w:r>
              <w:rPr>
                <w:rFonts w:hint="eastAsia" w:hAnsi="宋体" w:cs="宋体"/>
                <w:color w:val="auto"/>
                <w:szCs w:val="21"/>
                <w:highlight w:val="none"/>
              </w:rPr>
              <w:t>招标人澄清的方式</w:t>
            </w:r>
          </w:p>
        </w:tc>
        <w:tc>
          <w:tcPr>
            <w:tcW w:w="7395" w:type="dxa"/>
            <w:vAlign w:val="center"/>
          </w:tcPr>
          <w:p w14:paraId="7D67394B">
            <w:pPr>
              <w:spacing w:line="500" w:lineRule="exact"/>
              <w:rPr>
                <w:rFonts w:ascii="宋体" w:hAnsi="宋体" w:cs="宋体"/>
                <w:color w:val="auto"/>
                <w:szCs w:val="21"/>
                <w:highlight w:val="none"/>
              </w:rPr>
            </w:pPr>
            <w:r>
              <w:rPr>
                <w:rFonts w:hint="eastAsia" w:ascii="宋体" w:hAnsi="宋体" w:cs="宋体"/>
                <w:color w:val="auto"/>
                <w:spacing w:val="-4"/>
                <w:szCs w:val="21"/>
                <w:highlight w:val="none"/>
              </w:rPr>
              <w:t>如投标人对招标文件有疑问，请于</w:t>
            </w:r>
            <w:r>
              <w:rPr>
                <w:rFonts w:hint="eastAsia" w:ascii="宋体" w:hAnsi="宋体" w:cs="宋体"/>
                <w:b/>
                <w:bCs/>
                <w:color w:val="auto"/>
                <w:spacing w:val="-4"/>
                <w:szCs w:val="21"/>
                <w:highlight w:val="none"/>
              </w:rPr>
              <w:t>2026年6月</w:t>
            </w:r>
            <w:r>
              <w:rPr>
                <w:rFonts w:hint="eastAsia" w:ascii="宋体" w:hAnsi="宋体" w:cs="宋体"/>
                <w:b/>
                <w:bCs/>
                <w:color w:val="auto"/>
                <w:spacing w:val="-4"/>
                <w:szCs w:val="21"/>
                <w:highlight w:val="none"/>
                <w:lang w:val="en-US" w:eastAsia="zh-CN"/>
              </w:rPr>
              <w:t>12</w:t>
            </w:r>
            <w:r>
              <w:rPr>
                <w:rFonts w:hint="eastAsia" w:ascii="宋体" w:hAnsi="宋体" w:cs="宋体"/>
                <w:b/>
                <w:bCs/>
                <w:color w:val="auto"/>
                <w:spacing w:val="-4"/>
                <w:szCs w:val="21"/>
                <w:highlight w:val="none"/>
              </w:rPr>
              <w:t>日17时前</w:t>
            </w:r>
            <w:r>
              <w:rPr>
                <w:rFonts w:hint="eastAsia" w:ascii="宋体" w:hAnsi="宋体" w:cs="宋体"/>
                <w:color w:val="auto"/>
                <w:szCs w:val="21"/>
                <w:highlight w:val="none"/>
              </w:rPr>
              <w:t>将疑问内容发送至</w:t>
            </w:r>
            <w:r>
              <w:rPr>
                <w:color w:val="auto"/>
                <w:highlight w:val="none"/>
              </w:rPr>
              <w:t>滁州市城投工程咨询管理有限公司邮箱（czsct</w:t>
            </w:r>
            <w:r>
              <w:rPr>
                <w:rFonts w:hint="eastAsia"/>
                <w:color w:val="auto"/>
                <w:highlight w:val="none"/>
              </w:rPr>
              <w:t>gc</w:t>
            </w:r>
            <w:r>
              <w:rPr>
                <w:color w:val="auto"/>
                <w:highlight w:val="none"/>
              </w:rPr>
              <w:t>zx@163.com）</w:t>
            </w:r>
            <w:r>
              <w:rPr>
                <w:rFonts w:hint="eastAsia" w:ascii="宋体" w:hAnsi="宋体" w:cs="宋体"/>
                <w:color w:val="auto"/>
                <w:spacing w:val="-4"/>
                <w:szCs w:val="21"/>
                <w:highlight w:val="none"/>
              </w:rPr>
              <w:t>，招标人将在</w:t>
            </w:r>
            <w:r>
              <w:rPr>
                <w:rFonts w:hint="eastAsia" w:ascii="宋体" w:hAnsi="宋体" w:cs="宋体"/>
                <w:b/>
                <w:bCs/>
                <w:color w:val="auto"/>
                <w:spacing w:val="-4"/>
                <w:szCs w:val="21"/>
                <w:highlight w:val="none"/>
              </w:rPr>
              <w:t>2026年6月</w:t>
            </w:r>
            <w:r>
              <w:rPr>
                <w:rFonts w:hint="eastAsia" w:ascii="宋体" w:hAnsi="宋体" w:cs="宋体"/>
                <w:b/>
                <w:bCs/>
                <w:color w:val="auto"/>
                <w:spacing w:val="-4"/>
                <w:szCs w:val="21"/>
                <w:highlight w:val="none"/>
                <w:lang w:val="en-US" w:eastAsia="zh-CN"/>
              </w:rPr>
              <w:t>15</w:t>
            </w:r>
            <w:r>
              <w:rPr>
                <w:rFonts w:hint="eastAsia" w:ascii="宋体" w:hAnsi="宋体" w:cs="宋体"/>
                <w:b/>
                <w:bCs/>
                <w:color w:val="auto"/>
                <w:spacing w:val="-4"/>
                <w:szCs w:val="21"/>
                <w:highlight w:val="none"/>
              </w:rPr>
              <w:t>日17时</w:t>
            </w:r>
            <w:r>
              <w:rPr>
                <w:rFonts w:hint="eastAsia" w:ascii="宋体" w:hAnsi="宋体" w:cs="宋体"/>
                <w:color w:val="auto"/>
                <w:spacing w:val="-4"/>
                <w:szCs w:val="21"/>
                <w:highlight w:val="none"/>
              </w:rPr>
              <w:t>后</w:t>
            </w:r>
            <w:r>
              <w:rPr>
                <w:rFonts w:hint="eastAsia" w:ascii="宋体" w:hAnsi="宋体" w:cs="宋体"/>
                <w:color w:val="auto"/>
                <w:szCs w:val="21"/>
                <w:highlight w:val="none"/>
              </w:rPr>
              <w:t>在滁州市公安局官网（https://gaj.chuzhou.gov.cn/index.html）、滁州市城投工程咨询管理有限公司（https://www.czctgczx.com/）发布，请各位投标人注意查看有关澄清内容，如不及时查看造成后果由投标人自负。</w:t>
            </w:r>
          </w:p>
        </w:tc>
      </w:tr>
      <w:tr w14:paraId="6BDD62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75F10A21">
            <w:pPr>
              <w:pStyle w:val="21"/>
              <w:spacing w:line="500" w:lineRule="exact"/>
              <w:jc w:val="center"/>
              <w:rPr>
                <w:rFonts w:hAnsi="宋体" w:cs="宋体"/>
                <w:color w:val="auto"/>
                <w:szCs w:val="21"/>
                <w:highlight w:val="none"/>
              </w:rPr>
            </w:pPr>
            <w:r>
              <w:rPr>
                <w:rFonts w:hint="eastAsia" w:hAnsi="宋体" w:cs="宋体"/>
                <w:color w:val="auto"/>
                <w:szCs w:val="21"/>
                <w:highlight w:val="none"/>
              </w:rPr>
              <w:t>18</w:t>
            </w:r>
          </w:p>
        </w:tc>
        <w:tc>
          <w:tcPr>
            <w:tcW w:w="2000" w:type="dxa"/>
            <w:vAlign w:val="center"/>
          </w:tcPr>
          <w:p w14:paraId="17E2A234">
            <w:pPr>
              <w:pStyle w:val="21"/>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7395" w:type="dxa"/>
            <w:vAlign w:val="center"/>
          </w:tcPr>
          <w:p w14:paraId="0948D244">
            <w:pPr>
              <w:pStyle w:val="21"/>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日历天（从投标截止之日算起）。在此期限内，凡符合本招标文件要求的投标文件均保持有效。</w:t>
            </w:r>
          </w:p>
        </w:tc>
      </w:tr>
      <w:tr w14:paraId="4A7ED5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82" w:type="dxa"/>
            <w:vAlign w:val="center"/>
          </w:tcPr>
          <w:p w14:paraId="44600A1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000" w:type="dxa"/>
            <w:vAlign w:val="center"/>
          </w:tcPr>
          <w:p w14:paraId="4D1BB54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7395" w:type="dxa"/>
          </w:tcPr>
          <w:p w14:paraId="6A34E057">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rPr>
              <w:t>不收取</w:t>
            </w:r>
          </w:p>
        </w:tc>
      </w:tr>
      <w:tr w14:paraId="0EE9C9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682" w:type="dxa"/>
            <w:vAlign w:val="center"/>
          </w:tcPr>
          <w:p w14:paraId="19D676F4">
            <w:pPr>
              <w:pStyle w:val="21"/>
              <w:spacing w:line="500" w:lineRule="exact"/>
              <w:jc w:val="center"/>
              <w:rPr>
                <w:rFonts w:hAnsi="宋体" w:cs="宋体"/>
                <w:color w:val="auto"/>
                <w:szCs w:val="21"/>
                <w:highlight w:val="none"/>
              </w:rPr>
            </w:pPr>
            <w:r>
              <w:rPr>
                <w:rFonts w:hint="eastAsia" w:hAnsi="宋体" w:cs="宋体"/>
                <w:color w:val="auto"/>
                <w:szCs w:val="21"/>
                <w:highlight w:val="none"/>
              </w:rPr>
              <w:t>20</w:t>
            </w:r>
          </w:p>
        </w:tc>
        <w:tc>
          <w:tcPr>
            <w:tcW w:w="2000" w:type="dxa"/>
            <w:vAlign w:val="center"/>
          </w:tcPr>
          <w:p w14:paraId="5A92E99C">
            <w:pPr>
              <w:pStyle w:val="21"/>
              <w:spacing w:line="500" w:lineRule="exact"/>
              <w:jc w:val="left"/>
              <w:rPr>
                <w:rFonts w:hAnsi="宋体" w:cs="宋体"/>
                <w:color w:val="auto"/>
                <w:szCs w:val="21"/>
                <w:highlight w:val="none"/>
              </w:rPr>
            </w:pPr>
            <w:r>
              <w:rPr>
                <w:rFonts w:hint="eastAsia" w:hAnsi="宋体" w:cs="宋体"/>
                <w:color w:val="auto"/>
                <w:szCs w:val="21"/>
                <w:highlight w:val="none"/>
              </w:rPr>
              <w:t>投标文件份数及密封要求</w:t>
            </w:r>
          </w:p>
        </w:tc>
        <w:tc>
          <w:tcPr>
            <w:tcW w:w="7395" w:type="dxa"/>
            <w:vAlign w:val="center"/>
          </w:tcPr>
          <w:p w14:paraId="38D7FAE0">
            <w:pPr>
              <w:spacing w:line="500" w:lineRule="exact"/>
              <w:rPr>
                <w:rFonts w:ascii="宋体" w:hAnsi="宋体" w:cs="宋体"/>
                <w:color w:val="auto"/>
                <w:szCs w:val="21"/>
                <w:highlight w:val="none"/>
              </w:rPr>
            </w:pPr>
            <w:r>
              <w:rPr>
                <w:rFonts w:hint="eastAsia" w:ascii="宋体" w:hAnsi="宋体" w:cs="宋体"/>
                <w:color w:val="auto"/>
                <w:szCs w:val="21"/>
                <w:highlight w:val="none"/>
              </w:rPr>
              <w:t>份数：正本一份；副本二份。</w:t>
            </w:r>
          </w:p>
        </w:tc>
      </w:tr>
      <w:tr w14:paraId="5AFDAF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6BC4750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000" w:type="dxa"/>
            <w:vAlign w:val="center"/>
          </w:tcPr>
          <w:p w14:paraId="03AF37A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395" w:type="dxa"/>
            <w:vAlign w:val="center"/>
          </w:tcPr>
          <w:p w14:paraId="510B9FE0">
            <w:pPr>
              <w:widowControl/>
              <w:spacing w:line="500" w:lineRule="exact"/>
              <w:jc w:val="left"/>
              <w:rPr>
                <w:rFonts w:ascii="宋体" w:hAnsi="宋体" w:cs="宋体"/>
                <w:color w:val="auto"/>
                <w:szCs w:val="21"/>
                <w:highlight w:val="none"/>
              </w:rPr>
            </w:pPr>
            <w:r>
              <w:rPr>
                <w:rFonts w:hint="eastAsia" w:ascii="宋体" w:hAnsi="宋体" w:cs="宋体"/>
                <w:bCs/>
                <w:color w:val="auto"/>
                <w:kern w:val="0"/>
                <w:szCs w:val="21"/>
                <w:highlight w:val="none"/>
              </w:rPr>
              <w:t>投标文件须按格式文件要求签字或盖章，否则经评委会一致认定后，按照无效投标处理。</w:t>
            </w:r>
          </w:p>
        </w:tc>
      </w:tr>
      <w:tr w14:paraId="6C4C68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682" w:type="dxa"/>
            <w:vAlign w:val="center"/>
          </w:tcPr>
          <w:p w14:paraId="21273EB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000" w:type="dxa"/>
            <w:vAlign w:val="center"/>
          </w:tcPr>
          <w:p w14:paraId="0120F94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7395" w:type="dxa"/>
            <w:vAlign w:val="center"/>
          </w:tcPr>
          <w:p w14:paraId="741CC58C">
            <w:pPr>
              <w:spacing w:line="500" w:lineRule="exact"/>
              <w:rPr>
                <w:rFonts w:ascii="宋体" w:hAnsi="宋体" w:cs="宋体"/>
                <w:color w:val="auto"/>
                <w:szCs w:val="21"/>
                <w:highlight w:val="none"/>
              </w:rPr>
            </w:pPr>
            <w:r>
              <w:rPr>
                <w:rFonts w:hint="eastAsia" w:ascii="宋体" w:hAnsi="宋体" w:cs="宋体"/>
                <w:b/>
                <w:bCs/>
                <w:color w:val="auto"/>
                <w:szCs w:val="21"/>
                <w:highlight w:val="none"/>
              </w:rPr>
              <w:t>2026年6月</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时30分（北京时间）</w:t>
            </w:r>
          </w:p>
        </w:tc>
      </w:tr>
      <w:tr w14:paraId="3762AA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82" w:type="dxa"/>
            <w:vAlign w:val="center"/>
          </w:tcPr>
          <w:p w14:paraId="5F2B014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000" w:type="dxa"/>
            <w:vAlign w:val="center"/>
          </w:tcPr>
          <w:p w14:paraId="30F2068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395" w:type="dxa"/>
            <w:vAlign w:val="center"/>
          </w:tcPr>
          <w:p w14:paraId="60E5A498">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0B78E5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03B8EB6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000" w:type="dxa"/>
            <w:vAlign w:val="center"/>
          </w:tcPr>
          <w:p w14:paraId="69A2440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7395" w:type="dxa"/>
            <w:vAlign w:val="center"/>
          </w:tcPr>
          <w:p w14:paraId="6C756A00">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开标时间：2026年6月</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时30分（北京时间）</w:t>
            </w:r>
          </w:p>
          <w:p w14:paraId="16417E63">
            <w:pPr>
              <w:adjustRightInd w:val="0"/>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开标地点：滁州市公安局（滁州市龙蟠大道111号）201会议室</w:t>
            </w:r>
          </w:p>
        </w:tc>
      </w:tr>
      <w:tr w14:paraId="7FC62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40381D7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2000" w:type="dxa"/>
            <w:vAlign w:val="center"/>
          </w:tcPr>
          <w:p w14:paraId="6A3F23F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7395" w:type="dxa"/>
            <w:vAlign w:val="center"/>
          </w:tcPr>
          <w:p w14:paraId="10DCE198">
            <w:pPr>
              <w:spacing w:line="500" w:lineRule="exact"/>
              <w:rPr>
                <w:rFonts w:ascii="宋体" w:hAnsi="宋体" w:cs="宋体"/>
                <w:color w:val="auto"/>
                <w:szCs w:val="21"/>
                <w:highlight w:val="none"/>
              </w:rPr>
            </w:pPr>
            <w:r>
              <w:rPr>
                <w:rFonts w:hint="eastAsia" w:ascii="宋体" w:hAnsi="宋体" w:cs="宋体"/>
                <w:color w:val="auto"/>
                <w:szCs w:val="21"/>
                <w:highlight w:val="none"/>
              </w:rPr>
              <w:t>先进行符合性审查，再进行综合评审。</w:t>
            </w:r>
          </w:p>
        </w:tc>
      </w:tr>
      <w:tr w14:paraId="7C1D30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82" w:type="dxa"/>
            <w:vAlign w:val="center"/>
          </w:tcPr>
          <w:p w14:paraId="6C0E8212">
            <w:pPr>
              <w:pStyle w:val="21"/>
              <w:spacing w:line="500" w:lineRule="exact"/>
              <w:jc w:val="center"/>
              <w:rPr>
                <w:rFonts w:hAnsi="宋体" w:cs="宋体"/>
                <w:color w:val="auto"/>
                <w:szCs w:val="21"/>
                <w:highlight w:val="none"/>
              </w:rPr>
            </w:pPr>
            <w:r>
              <w:rPr>
                <w:rFonts w:hint="eastAsia" w:hAnsi="宋体" w:cs="宋体"/>
                <w:color w:val="auto"/>
                <w:szCs w:val="21"/>
                <w:highlight w:val="none"/>
              </w:rPr>
              <w:t>26</w:t>
            </w:r>
          </w:p>
        </w:tc>
        <w:tc>
          <w:tcPr>
            <w:tcW w:w="2000" w:type="dxa"/>
            <w:vAlign w:val="center"/>
          </w:tcPr>
          <w:p w14:paraId="44D5B0FF">
            <w:pPr>
              <w:pStyle w:val="21"/>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7395" w:type="dxa"/>
          </w:tcPr>
          <w:p w14:paraId="6B87A5A6">
            <w:pPr>
              <w:pStyle w:val="21"/>
              <w:spacing w:line="500" w:lineRule="exact"/>
              <w:rPr>
                <w:rFonts w:hAnsi="宋体" w:cs="宋体"/>
                <w:color w:val="auto"/>
                <w:szCs w:val="21"/>
                <w:highlight w:val="none"/>
              </w:rPr>
            </w:pPr>
            <w:r>
              <w:rPr>
                <w:rFonts w:hint="eastAsia" w:hAnsi="宋体" w:cs="宋体"/>
                <w:color w:val="auto"/>
                <w:szCs w:val="21"/>
                <w:highlight w:val="none"/>
              </w:rPr>
              <w:t>评标委员会由招标人组建。</w:t>
            </w:r>
          </w:p>
        </w:tc>
      </w:tr>
      <w:tr w14:paraId="06021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82" w:type="dxa"/>
            <w:vAlign w:val="center"/>
          </w:tcPr>
          <w:p w14:paraId="260E8C37">
            <w:pPr>
              <w:pStyle w:val="21"/>
              <w:spacing w:line="500" w:lineRule="exact"/>
              <w:jc w:val="center"/>
              <w:rPr>
                <w:rFonts w:hAnsi="宋体" w:cs="宋体"/>
                <w:color w:val="auto"/>
                <w:szCs w:val="21"/>
                <w:highlight w:val="none"/>
              </w:rPr>
            </w:pPr>
            <w:r>
              <w:rPr>
                <w:rFonts w:hint="eastAsia" w:hAnsi="宋体" w:cs="宋体"/>
                <w:color w:val="auto"/>
                <w:szCs w:val="21"/>
                <w:highlight w:val="none"/>
              </w:rPr>
              <w:t>27</w:t>
            </w:r>
          </w:p>
        </w:tc>
        <w:tc>
          <w:tcPr>
            <w:tcW w:w="2000" w:type="dxa"/>
            <w:vAlign w:val="center"/>
          </w:tcPr>
          <w:p w14:paraId="15EC22EA">
            <w:pPr>
              <w:pStyle w:val="21"/>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7395" w:type="dxa"/>
            <w:vAlign w:val="center"/>
          </w:tcPr>
          <w:p w14:paraId="5024EE58">
            <w:pPr>
              <w:pStyle w:val="21"/>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u w:val="single"/>
              </w:rPr>
              <w:t xml:space="preserve"> 3</w:t>
            </w:r>
            <w:r>
              <w:rPr>
                <w:rFonts w:hint="eastAsia" w:hAnsi="宋体" w:cs="宋体"/>
                <w:color w:val="auto"/>
                <w:szCs w:val="21"/>
                <w:highlight w:val="none"/>
              </w:rPr>
              <w:t>名中标候选人。</w:t>
            </w:r>
          </w:p>
        </w:tc>
      </w:tr>
      <w:tr w14:paraId="5FE112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82" w:type="dxa"/>
            <w:vAlign w:val="center"/>
          </w:tcPr>
          <w:p w14:paraId="74E4ADB5">
            <w:pPr>
              <w:pStyle w:val="21"/>
              <w:spacing w:line="500" w:lineRule="exact"/>
              <w:jc w:val="center"/>
              <w:rPr>
                <w:rFonts w:hAnsi="宋体" w:cs="宋体"/>
                <w:color w:val="auto"/>
                <w:szCs w:val="21"/>
                <w:highlight w:val="none"/>
              </w:rPr>
            </w:pPr>
            <w:r>
              <w:rPr>
                <w:rFonts w:hint="eastAsia" w:hAnsi="宋体" w:cs="宋体"/>
                <w:color w:val="auto"/>
                <w:szCs w:val="21"/>
                <w:highlight w:val="none"/>
              </w:rPr>
              <w:t>28</w:t>
            </w:r>
          </w:p>
        </w:tc>
        <w:tc>
          <w:tcPr>
            <w:tcW w:w="2000" w:type="dxa"/>
            <w:shd w:val="clear" w:color="auto" w:fill="auto"/>
            <w:vAlign w:val="center"/>
          </w:tcPr>
          <w:p w14:paraId="09DA714F">
            <w:pPr>
              <w:pStyle w:val="21"/>
              <w:spacing w:line="500" w:lineRule="exact"/>
              <w:rPr>
                <w:rFonts w:hAnsi="宋体" w:cs="宋体"/>
                <w:color w:val="auto"/>
                <w:szCs w:val="21"/>
                <w:highlight w:val="none"/>
              </w:rPr>
            </w:pPr>
            <w:r>
              <w:rPr>
                <w:rFonts w:hint="eastAsia" w:hAnsi="宋体" w:cs="宋体"/>
                <w:color w:val="auto"/>
                <w:szCs w:val="21"/>
                <w:highlight w:val="none"/>
              </w:rPr>
              <w:t>中标结果公告媒介</w:t>
            </w:r>
          </w:p>
        </w:tc>
        <w:tc>
          <w:tcPr>
            <w:tcW w:w="7395" w:type="dxa"/>
            <w:shd w:val="clear" w:color="auto" w:fill="auto"/>
            <w:vAlign w:val="center"/>
          </w:tcPr>
          <w:p w14:paraId="36E163DE">
            <w:pPr>
              <w:pStyle w:val="21"/>
              <w:spacing w:line="500" w:lineRule="exact"/>
              <w:rPr>
                <w:rFonts w:hAnsi="宋体" w:cs="宋体"/>
                <w:color w:val="auto"/>
                <w:szCs w:val="21"/>
                <w:highlight w:val="none"/>
              </w:rPr>
            </w:pPr>
            <w:r>
              <w:rPr>
                <w:rFonts w:hint="eastAsia" w:hAnsi="宋体" w:cs="宋体"/>
                <w:color w:val="auto"/>
                <w:szCs w:val="21"/>
                <w:highlight w:val="none"/>
              </w:rPr>
              <w:t>滁州市公安局官网（https://gaj.chuzhou.gov.cn/index.html）、滁州市城投工程咨询管理有限公司（https://www.czctgczx.com/）</w:t>
            </w:r>
          </w:p>
        </w:tc>
      </w:tr>
      <w:tr w14:paraId="0F711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82" w:type="dxa"/>
            <w:vAlign w:val="center"/>
          </w:tcPr>
          <w:p w14:paraId="01A69F6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2000" w:type="dxa"/>
            <w:vAlign w:val="center"/>
          </w:tcPr>
          <w:p w14:paraId="7B1E8D2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7395" w:type="dxa"/>
            <w:vAlign w:val="center"/>
          </w:tcPr>
          <w:p w14:paraId="55808D66">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中标通知书须加盖招标人及代理机构公章后方可发出。</w:t>
            </w:r>
          </w:p>
        </w:tc>
      </w:tr>
      <w:tr w14:paraId="50A980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82" w:type="dxa"/>
            <w:vAlign w:val="center"/>
          </w:tcPr>
          <w:p w14:paraId="2A3DBAC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000" w:type="dxa"/>
            <w:vAlign w:val="center"/>
          </w:tcPr>
          <w:p w14:paraId="4C05FEF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7395" w:type="dxa"/>
            <w:vAlign w:val="center"/>
          </w:tcPr>
          <w:p w14:paraId="631AB12F">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本项目不收取履约担保。</w:t>
            </w:r>
          </w:p>
        </w:tc>
      </w:tr>
    </w:tbl>
    <w:p w14:paraId="6FC1E3B6">
      <w:pPr>
        <w:rPr>
          <w:rFonts w:ascii="宋体"/>
          <w:b/>
          <w:color w:val="auto"/>
          <w:sz w:val="32"/>
          <w:szCs w:val="32"/>
          <w:highlight w:val="none"/>
        </w:rPr>
      </w:pPr>
      <w:bookmarkStart w:id="19" w:name="_Toc449028866"/>
      <w:bookmarkStart w:id="20" w:name="_Toc58430315"/>
      <w:r>
        <w:rPr>
          <w:rFonts w:hint="eastAsia" w:ascii="宋体"/>
          <w:b/>
          <w:color w:val="auto"/>
          <w:sz w:val="32"/>
          <w:szCs w:val="32"/>
          <w:highlight w:val="none"/>
        </w:rPr>
        <w:br w:type="page"/>
      </w:r>
    </w:p>
    <w:p w14:paraId="6CD497E0">
      <w:pPr>
        <w:snapToGrid w:val="0"/>
        <w:spacing w:before="93" w:beforeLines="30" w:after="93" w:afterLines="30" w:line="500" w:lineRule="exact"/>
        <w:jc w:val="center"/>
        <w:outlineLvl w:val="1"/>
        <w:rPr>
          <w:rFonts w:ascii="宋体"/>
          <w:b/>
          <w:color w:val="auto"/>
          <w:sz w:val="32"/>
          <w:szCs w:val="32"/>
          <w:highlight w:val="none"/>
        </w:rPr>
      </w:pPr>
      <w:r>
        <w:rPr>
          <w:rFonts w:hint="eastAsia" w:ascii="宋体"/>
          <w:b/>
          <w:color w:val="auto"/>
          <w:sz w:val="32"/>
          <w:szCs w:val="32"/>
          <w:highlight w:val="none"/>
        </w:rPr>
        <w:t>二、投标人须知</w:t>
      </w:r>
      <w:bookmarkEnd w:id="19"/>
      <w:bookmarkEnd w:id="20"/>
    </w:p>
    <w:p w14:paraId="59B45FD6">
      <w:pPr>
        <w:spacing w:before="93" w:beforeLines="30" w:after="93" w:afterLines="30" w:line="500" w:lineRule="exact"/>
        <w:jc w:val="center"/>
        <w:rPr>
          <w:rFonts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C8C8A8B">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1.项目概况</w:t>
      </w:r>
    </w:p>
    <w:p w14:paraId="7062A45C">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21CFB1FC">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18D03A53">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2D7430F">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服务期：见投标人须知前附表。</w:t>
      </w:r>
    </w:p>
    <w:p w14:paraId="701787AA">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服务地点：见投标人须知前附表。</w:t>
      </w:r>
    </w:p>
    <w:p w14:paraId="7DFD0D71">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ED439DE">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590F5A70">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888CE3B">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2FB09E5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5E9817D4">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2.招标范围：</w:t>
      </w:r>
    </w:p>
    <w:p w14:paraId="4B8171E9">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0319333E">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 技术要求：详见招标文件第四章采购需求。</w:t>
      </w:r>
    </w:p>
    <w:p w14:paraId="79446E55">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3.标包划分：</w:t>
      </w:r>
    </w:p>
    <w:p w14:paraId="07F919A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2231F433">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4.招标方式：</w:t>
      </w:r>
    </w:p>
    <w:p w14:paraId="64C3CA0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792B1A60">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5.计价方式：</w:t>
      </w:r>
    </w:p>
    <w:p w14:paraId="12F75B1B">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单价合同 </w:t>
      </w:r>
      <w:r>
        <w:rPr>
          <w:rFonts w:hint="eastAsia" w:ascii="宋体" w:hAnsi="宋体" w:cs="宋体"/>
          <w:color w:val="auto"/>
          <w:szCs w:val="21"/>
          <w:highlight w:val="none"/>
        </w:rPr>
        <w:t>。</w:t>
      </w:r>
    </w:p>
    <w:p w14:paraId="09BBB872">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6.评标办法：</w:t>
      </w:r>
    </w:p>
    <w:p w14:paraId="576DC90E">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176D746A">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7.投标人资格：</w:t>
      </w:r>
    </w:p>
    <w:p w14:paraId="4171A83E">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30A086A1">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 投标费用</w:t>
      </w:r>
    </w:p>
    <w:p w14:paraId="7868ABAE">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0152175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9.</w:t>
      </w:r>
      <w:bookmarkStart w:id="22" w:name="_Toc247592876"/>
      <w:bookmarkStart w:id="23" w:name="_Toc144974507"/>
      <w:bookmarkStart w:id="24" w:name="_Toc152042315"/>
      <w:bookmarkStart w:id="25" w:name="_Toc247527563"/>
      <w:bookmarkStart w:id="26" w:name="_Toc152045539"/>
      <w:bookmarkStart w:id="27" w:name="_Toc296602429"/>
      <w:bookmarkStart w:id="28" w:name="_Toc247513962"/>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6D50EA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4DF1B7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8FB143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6063367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29" w:name="_Toc247527564"/>
      <w:bookmarkStart w:id="30" w:name="_Toc152045540"/>
      <w:bookmarkStart w:id="31" w:name="_Toc152042316"/>
      <w:bookmarkStart w:id="32" w:name="_Toc296602430"/>
      <w:bookmarkStart w:id="33" w:name="_Toc247592877"/>
      <w:bookmarkStart w:id="34" w:name="_Toc247513963"/>
      <w:bookmarkStart w:id="35" w:name="_Toc144974508"/>
    </w:p>
    <w:p w14:paraId="424E52B9">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7A2C971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10.1投标人须知前附表规定召开投标预备会的，招标人按投标人须知前附表规定的时间和地点召开投标预备会，澄清投标人提出的问题。</w:t>
      </w:r>
    </w:p>
    <w:p w14:paraId="297578EF">
      <w:pPr>
        <w:numPr>
          <w:ilvl w:val="0"/>
          <w:numId w:val="8"/>
        </w:num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1D1A3A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 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》第二十二条规定的条件。招标人根据采购项目的特殊要求规定投标人特定条件的，联合体各方中至少应当有一方符合招标人规定的特定条件。</w:t>
      </w:r>
    </w:p>
    <w:p w14:paraId="3700DDC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2C1F3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11.3联合体应当确定其中一个单位为投标的全权代表，负责参加投标的一切事务，并承担投标及履约中应承担的全部责任与义务。</w:t>
      </w:r>
    </w:p>
    <w:p w14:paraId="2AACE02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11.4联合体各方应当共同与招标人签订采购合同，就采购合同约定的事项对招标人承担连带责任。</w:t>
      </w:r>
    </w:p>
    <w:p w14:paraId="3299AAB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11.5联合体中有同类资质的供应商按照联合体分工承担相同工作的，应当按照资质等级较低的供应商确定资质等级。</w:t>
      </w:r>
    </w:p>
    <w:p w14:paraId="302F802B">
      <w:pPr>
        <w:pStyle w:val="2"/>
        <w:spacing w:after="0" w:line="500" w:lineRule="exact"/>
        <w:ind w:left="0" w:leftChars="0"/>
        <w:rPr>
          <w:rFonts w:ascii="宋体" w:hAnsi="宋体" w:cs="宋体"/>
          <w:b/>
          <w:color w:val="auto"/>
          <w:szCs w:val="21"/>
          <w:highlight w:val="none"/>
        </w:rPr>
      </w:pPr>
      <w:r>
        <w:rPr>
          <w:rFonts w:hint="eastAsia" w:ascii="宋体" w:hAnsi="宋体" w:cs="宋体"/>
          <w:color w:val="auto"/>
          <w:szCs w:val="21"/>
          <w:highlight w:val="none"/>
        </w:rPr>
        <w:t>11.6非专门面向中小企业采购项目是否允许大中型企业向一家或者多家小微企业分包见投标人须知前附表。</w:t>
      </w:r>
    </w:p>
    <w:p w14:paraId="67CCF1E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12.招标代理费和其他费用</w:t>
      </w:r>
    </w:p>
    <w:p w14:paraId="2D1EB3CE">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75096665">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31616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35DD7F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6075999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CCA5E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288D72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0CB6E51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B3A53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7F504B8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0DCDCB7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13.6中标候选人无正当理由放弃中标候选人资格的，其将被记不良信息记录。</w:t>
      </w:r>
    </w:p>
    <w:p w14:paraId="0AA31092">
      <w:pPr>
        <w:spacing w:before="93" w:beforeLines="30" w:after="93" w:afterLines="30" w:line="500" w:lineRule="exact"/>
        <w:jc w:val="center"/>
        <w:rPr>
          <w:rFonts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56041E6F">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 招标文件的编制依据</w:t>
      </w:r>
    </w:p>
    <w:p w14:paraId="1F7D2AD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相关法律法规和规章及部、省、市级规范性文件的规定，编制本招标文件。</w:t>
      </w:r>
    </w:p>
    <w:p w14:paraId="13BB5A8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招标文件的组成</w:t>
      </w:r>
    </w:p>
    <w:p w14:paraId="20C496F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 招标文件包括内容：</w:t>
      </w:r>
    </w:p>
    <w:p w14:paraId="6C3FB42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5E7BAE1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755B236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01C4CD7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采购需求</w:t>
      </w:r>
    </w:p>
    <w:p w14:paraId="172F6AA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合同条款（参考）</w:t>
      </w:r>
    </w:p>
    <w:p w14:paraId="787D06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F848B3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 除15.1款内容外，招标答疑亦为招标文件的组成部分，对招标人和投标人起约束作用。</w:t>
      </w:r>
    </w:p>
    <w:p w14:paraId="201E6DB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15.3投标人应仔细阅读和检查招标文件的全部内容。如发现缺页或附件不全，应及时向招标人提出，以便补齐。</w:t>
      </w:r>
    </w:p>
    <w:p w14:paraId="2CA97C0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15.4 投标人可以将疑问内容发送至</w:t>
      </w:r>
      <w:r>
        <w:rPr>
          <w:color w:val="auto"/>
          <w:highlight w:val="none"/>
        </w:rPr>
        <w:t>滁州市城投工程咨询管理有限公司邮箱（czsct</w:t>
      </w:r>
      <w:r>
        <w:rPr>
          <w:rFonts w:hint="eastAsia"/>
          <w:color w:val="auto"/>
          <w:highlight w:val="none"/>
        </w:rPr>
        <w:t>gc</w:t>
      </w:r>
      <w:r>
        <w:rPr>
          <w:color w:val="auto"/>
          <w:highlight w:val="none"/>
        </w:rPr>
        <w:t>zx@163.com）</w:t>
      </w:r>
      <w:r>
        <w:rPr>
          <w:rFonts w:hint="eastAsia" w:ascii="宋体" w:hAnsi="宋体" w:cs="宋体"/>
          <w:color w:val="auto"/>
          <w:szCs w:val="21"/>
          <w:highlight w:val="none"/>
        </w:rPr>
        <w:t>，招标文件的澄清将以更正公告形式在滁州市公安局官网（https://gaj.chuzhou.gov.cn/index.html）、</w:t>
      </w:r>
      <w:r>
        <w:rPr>
          <w:rFonts w:hint="eastAsia" w:hAnsi="宋体" w:cs="宋体"/>
          <w:color w:val="auto"/>
          <w:szCs w:val="21"/>
          <w:highlight w:val="none"/>
        </w:rPr>
        <w:t>滁州市城投工程咨询管理有限公司（https://www.czctgczx.com/）</w:t>
      </w:r>
      <w:r>
        <w:rPr>
          <w:rFonts w:hint="eastAsia" w:ascii="宋体" w:hAnsi="宋体" w:cs="宋体"/>
          <w:color w:val="auto"/>
          <w:szCs w:val="21"/>
          <w:highlight w:val="none"/>
        </w:rPr>
        <w:t>予以公布，但不指明澄清问题的来源。如果澄清内容影响投标文件编制的，将相应延长投标截止时间。</w:t>
      </w:r>
    </w:p>
    <w:p w14:paraId="5E6EA917">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523B71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招标文件发出后，招标人在规定的投标截止时间前可对招标文件进行必要的修改和补充，并以更正公告形式在滁州市公安局官网（https://gaj.chuzhou.gov.cn/index.html）、</w:t>
      </w:r>
      <w:r>
        <w:rPr>
          <w:rFonts w:hint="eastAsia" w:hAnsi="宋体" w:cs="宋体"/>
          <w:color w:val="auto"/>
          <w:szCs w:val="21"/>
          <w:highlight w:val="none"/>
        </w:rPr>
        <w:t>滁州市城投工程咨询管理有限公司（https://www.czctgczx.com/）</w:t>
      </w:r>
      <w:r>
        <w:rPr>
          <w:rFonts w:hint="eastAsia" w:ascii="宋体" w:hAnsi="宋体" w:cs="宋体"/>
          <w:color w:val="auto"/>
          <w:szCs w:val="21"/>
          <w:highlight w:val="none"/>
        </w:rPr>
        <w:t>予以公布。请各位投标人注意查看有关澄清内容，如不及时查看造成后果由投标人自负。招标文件的修改、补充等内容作为招标文件的组成部分，具有约束作用。</w:t>
      </w:r>
    </w:p>
    <w:p w14:paraId="51027547">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16.2招标文件的解释</w:t>
      </w:r>
    </w:p>
    <w:p w14:paraId="6266052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24E962E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A71F94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7C9A157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1ABF833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28CCFAA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17. 招标文件的发出</w:t>
      </w:r>
    </w:p>
    <w:p w14:paraId="469CCE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17.1招标文件、招标文件的澄清、修改、补充及招标答疑等均应报招标人审核后，方可发出。</w:t>
      </w:r>
    </w:p>
    <w:p w14:paraId="110AA902">
      <w:pPr>
        <w:spacing w:before="93" w:beforeLines="30" w:after="93" w:afterLines="30" w:line="500" w:lineRule="exact"/>
        <w:jc w:val="center"/>
        <w:rPr>
          <w:rFonts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0C465D3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18.投标的语言及度量衡单位</w:t>
      </w:r>
    </w:p>
    <w:p w14:paraId="7E66A1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18.1投标人的投标文件、以及投标人与招标人就投标的所有往来函电，均须使用简体中文。</w:t>
      </w:r>
    </w:p>
    <w:p w14:paraId="682D544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18.2除招标文件中另有规定外，投标文件所使用的度量衡均须采用法定计量单位。</w:t>
      </w:r>
    </w:p>
    <w:p w14:paraId="1C9E8AC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19.投标文件的组成</w:t>
      </w:r>
    </w:p>
    <w:p w14:paraId="6EA17CE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具体内容详见第六章投标文件格式内容。</w:t>
      </w:r>
    </w:p>
    <w:p w14:paraId="20B4E78A">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20</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3EF26B1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投标报价文件中报价采用人民币表示。投标人的报价应含有服务（货物）、利润、税金、政策性文件规定及合同包含的所有风险、责任、义务等，即为完成招标文件要求的服务（货物）内容所包含的一切应有费用，中标价格今后将不作任何调整，招标人后期不再追加费用，投标供应商自行考虑投标风险。</w:t>
      </w:r>
    </w:p>
    <w:p w14:paraId="2B5C1CA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20.2投标人只允许有一个方案、一个报价。</w:t>
      </w:r>
    </w:p>
    <w:p w14:paraId="25B488E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20.3投标报价应由法定代表人或被授权人签署。</w:t>
      </w:r>
    </w:p>
    <w:p w14:paraId="13F3B2EE">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20.4</w:t>
      </w:r>
      <w:r>
        <w:rPr>
          <w:rFonts w:hint="eastAsia" w:ascii="宋体"/>
          <w:bCs/>
          <w:color w:val="auto"/>
          <w:szCs w:val="21"/>
          <w:highlight w:val="none"/>
        </w:rPr>
        <w:t>投标人的报价不得高于本次招标最高限价，否则将作为无效投标处理。</w:t>
      </w:r>
    </w:p>
    <w:p w14:paraId="2A854C9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 投标有效期</w:t>
      </w:r>
    </w:p>
    <w:p w14:paraId="7CBE9C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投标有效期见投标人须知前附表。</w:t>
      </w:r>
    </w:p>
    <w:p w14:paraId="24435EB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21.2在投标有效期内，投标人撤销或修改其投标文件的，应承担招标文件和法律规定的责任。</w:t>
      </w:r>
    </w:p>
    <w:p w14:paraId="545290E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21.3出现特殊情况需要延长投标有效期的，招标人以书面形式通知所有投标人延长投标有效期。投标人同意延长的，不得要求或被允许修改或撤销其投标文件；投标人拒绝延长的，其投标失效。</w:t>
      </w:r>
    </w:p>
    <w:p w14:paraId="33C843F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22. 投标保证金</w:t>
      </w:r>
    </w:p>
    <w:p w14:paraId="1EC542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22.1本项目不缴纳投标保证金。</w:t>
      </w:r>
    </w:p>
    <w:p w14:paraId="2C1ABBC2">
      <w:pPr>
        <w:spacing w:before="93" w:beforeLines="30" w:after="93" w:afterLines="30" w:line="500" w:lineRule="exact"/>
        <w:jc w:val="center"/>
        <w:rPr>
          <w:rFonts w:ascii="宋体" w:hAnsi="宋体" w:cs="宋体"/>
          <w:b/>
          <w:color w:val="auto"/>
          <w:sz w:val="28"/>
          <w:szCs w:val="28"/>
          <w:highlight w:val="none"/>
        </w:rPr>
      </w:pPr>
      <w:bookmarkStart w:id="38" w:name="_Toc449028870"/>
      <w:r>
        <w:rPr>
          <w:rFonts w:hint="eastAsia" w:ascii="宋体" w:hAnsi="宋体" w:cs="宋体"/>
          <w:b/>
          <w:color w:val="auto"/>
          <w:sz w:val="28"/>
          <w:szCs w:val="28"/>
          <w:highlight w:val="none"/>
        </w:rPr>
        <w:t>（四）投标文件的递交</w:t>
      </w:r>
      <w:bookmarkEnd w:id="38"/>
    </w:p>
    <w:p w14:paraId="5FE93C0E">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23. 投标文件的份数和签署</w:t>
      </w:r>
    </w:p>
    <w:p w14:paraId="2AD41D93">
      <w:pPr>
        <w:spacing w:line="500" w:lineRule="exact"/>
        <w:ind w:firstLine="420" w:firstLineChars="200"/>
        <w:rPr>
          <w:rFonts w:ascii="宋体" w:hAnsi="宋体" w:cs="宋体"/>
          <w:color w:val="auto"/>
          <w:szCs w:val="21"/>
          <w:highlight w:val="none"/>
        </w:rPr>
      </w:pPr>
      <w:bookmarkStart w:id="39" w:name="_Toc449028871"/>
      <w:r>
        <w:rPr>
          <w:rFonts w:hint="eastAsia" w:ascii="宋体" w:hAnsi="宋体" w:cs="宋体"/>
          <w:color w:val="auto"/>
          <w:szCs w:val="21"/>
          <w:highlight w:val="none"/>
        </w:rPr>
        <w:t>23.1投标文件份数：正本一份，副本二份。</w:t>
      </w:r>
    </w:p>
    <w:p w14:paraId="11640D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23.2投标文件须按格式文件要求签字或盖章，否则经评委会一致认定后, 按照无效投标处理。</w:t>
      </w:r>
    </w:p>
    <w:p w14:paraId="1958E65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24. 投标文件的提交</w:t>
      </w:r>
    </w:p>
    <w:p w14:paraId="55A55B82">
      <w:pPr>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24.1投标人应在投标截止时间前将投标文件递交至招标人或招标代理机构。</w:t>
      </w:r>
    </w:p>
    <w:p w14:paraId="02AEE07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24.2投标人应当在投标截止时间前完成投标文件的递交， 并可以补充、修改或者撤回投标文件。投标截止时间前未完成投标文件递交的，视为撤回投标文件。未按规定密封或投标截止时间后递交投标文件的，应当拒收，投标无效。</w:t>
      </w:r>
    </w:p>
    <w:p w14:paraId="0F7DEF90">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25．投标文件的修改与撤回</w:t>
      </w:r>
    </w:p>
    <w:p w14:paraId="248AE743">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25.1</w:t>
      </w:r>
      <w:r>
        <w:rPr>
          <w:rFonts w:hint="eastAsia" w:ascii="宋体" w:hAnsi="宋体" w:cs="宋体"/>
          <w:color w:val="auto"/>
          <w:szCs w:val="21"/>
          <w:highlight w:val="none"/>
        </w:rPr>
        <w:t>在规定的投标截止时间前，投标人可以自行撤回已递交的投标文件，并可修改后重新递交，开标时以投标截止时间前投标人最终递交的投标文件为准。</w:t>
      </w:r>
    </w:p>
    <w:p w14:paraId="1192E793">
      <w:pPr>
        <w:spacing w:before="93" w:beforeLines="30" w:after="93" w:afterLines="3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39"/>
    </w:p>
    <w:p w14:paraId="55EB8A73">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26. 开标</w:t>
      </w:r>
    </w:p>
    <w:p w14:paraId="440D7E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26.1开标的时间和地点</w:t>
      </w:r>
    </w:p>
    <w:p w14:paraId="659113DB">
      <w:pPr>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26.1.1招标人在投标人须知前附表规定的投标截止时间（开标时间）和地点公开开标。</w:t>
      </w:r>
    </w:p>
    <w:p w14:paraId="13AB14D2">
      <w:pPr>
        <w:spacing w:line="500" w:lineRule="exact"/>
        <w:ind w:right="-155" w:rightChars="-74"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26.2开标程序</w:t>
      </w:r>
    </w:p>
    <w:p w14:paraId="250F4530">
      <w:pPr>
        <w:spacing w:line="500" w:lineRule="exact"/>
        <w:ind w:firstLine="420" w:firstLineChars="200"/>
        <w:outlineLvl w:val="2"/>
        <w:rPr>
          <w:rFonts w:ascii="宋体" w:hAnsi="宋体" w:cs="宋体"/>
          <w:color w:val="auto"/>
          <w:szCs w:val="21"/>
          <w:highlight w:val="none"/>
        </w:rPr>
      </w:pPr>
      <w:r>
        <w:rPr>
          <w:rFonts w:hint="eastAsia" w:ascii="宋体" w:hAnsi="宋体" w:cs="宋体"/>
          <w:color w:val="auto"/>
          <w:szCs w:val="21"/>
          <w:highlight w:val="none"/>
        </w:rPr>
        <w:t xml:space="preserve">开标会议由采购代理机构主持。 </w:t>
      </w:r>
    </w:p>
    <w:p w14:paraId="7FD71A21">
      <w:pPr>
        <w:spacing w:line="500" w:lineRule="exact"/>
        <w:ind w:firstLine="420" w:firstLineChars="200"/>
        <w:jc w:val="left"/>
        <w:rPr>
          <w:rFonts w:ascii="宋体" w:hAnsi="宋体" w:cs="宋体"/>
          <w:color w:val="auto"/>
          <w:szCs w:val="21"/>
          <w:highlight w:val="none"/>
        </w:rPr>
      </w:pPr>
      <w:bookmarkStart w:id="40" w:name="_Toc15058877"/>
      <w:r>
        <w:rPr>
          <w:rFonts w:hint="eastAsia" w:ascii="宋体" w:hAnsi="宋体" w:cs="宋体"/>
          <w:color w:val="auto"/>
          <w:szCs w:val="21"/>
          <w:highlight w:val="none"/>
        </w:rPr>
        <w:t>（1）宣布开标纪律；</w:t>
      </w:r>
      <w:bookmarkEnd w:id="40"/>
    </w:p>
    <w:p w14:paraId="5E2AD18D">
      <w:pPr>
        <w:spacing w:line="500" w:lineRule="exact"/>
        <w:ind w:firstLine="420" w:firstLineChars="200"/>
        <w:jc w:val="left"/>
        <w:rPr>
          <w:rFonts w:ascii="宋体" w:hAnsi="宋体" w:cs="宋体"/>
          <w:color w:val="auto"/>
          <w:szCs w:val="21"/>
          <w:highlight w:val="none"/>
        </w:rPr>
      </w:pPr>
      <w:bookmarkStart w:id="41" w:name="_Toc15058878"/>
      <w:r>
        <w:rPr>
          <w:rFonts w:hint="eastAsia" w:ascii="宋体" w:hAnsi="宋体" w:cs="宋体"/>
          <w:color w:val="auto"/>
          <w:szCs w:val="21"/>
          <w:highlight w:val="none"/>
        </w:rPr>
        <w:t>（2）宣布招标人、代理机构主持人等有关人员姓名；</w:t>
      </w:r>
      <w:bookmarkEnd w:id="41"/>
    </w:p>
    <w:p w14:paraId="0F37D037">
      <w:pPr>
        <w:spacing w:line="500" w:lineRule="exact"/>
        <w:ind w:firstLine="420" w:firstLineChars="200"/>
        <w:jc w:val="left"/>
        <w:rPr>
          <w:rFonts w:ascii="宋体" w:hAnsi="宋体" w:cs="宋体"/>
          <w:color w:val="auto"/>
          <w:szCs w:val="21"/>
          <w:highlight w:val="none"/>
        </w:rPr>
      </w:pPr>
      <w:bookmarkStart w:id="42" w:name="_Toc15058879"/>
      <w:r>
        <w:rPr>
          <w:rFonts w:hint="eastAsia" w:ascii="宋体" w:hAnsi="宋体" w:cs="宋体"/>
          <w:color w:val="auto"/>
          <w:szCs w:val="21"/>
          <w:highlight w:val="none"/>
        </w:rPr>
        <w:t>（3）公布递交投标文件的投标人名称等；</w:t>
      </w:r>
      <w:bookmarkEnd w:id="42"/>
      <w:r>
        <w:rPr>
          <w:rFonts w:hint="eastAsia" w:ascii="宋体" w:hAnsi="宋体" w:cs="宋体"/>
          <w:color w:val="auto"/>
          <w:szCs w:val="21"/>
          <w:highlight w:val="none"/>
        </w:rPr>
        <w:t xml:space="preserve"> </w:t>
      </w:r>
    </w:p>
    <w:p w14:paraId="2F0D1753">
      <w:pPr>
        <w:spacing w:line="500" w:lineRule="exact"/>
        <w:ind w:firstLine="420" w:firstLineChars="200"/>
        <w:jc w:val="left"/>
        <w:rPr>
          <w:rFonts w:ascii="宋体" w:hAnsi="宋体" w:cs="宋体"/>
          <w:color w:val="auto"/>
          <w:szCs w:val="21"/>
          <w:highlight w:val="none"/>
        </w:rPr>
      </w:pPr>
      <w:bookmarkStart w:id="43" w:name="_Toc15058880"/>
      <w:r>
        <w:rPr>
          <w:rFonts w:hint="eastAsia" w:ascii="宋体" w:hAnsi="宋体" w:cs="宋体"/>
          <w:color w:val="auto"/>
          <w:szCs w:val="21"/>
          <w:highlight w:val="none"/>
        </w:rPr>
        <w:t>（4）公布投标人投标报价、工期及其他内容，并记录在案；</w:t>
      </w:r>
      <w:bookmarkEnd w:id="43"/>
      <w:bookmarkStart w:id="44" w:name="_Toc15058881"/>
    </w:p>
    <w:p w14:paraId="2C56079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bookmarkEnd w:id="44"/>
      <w:r>
        <w:rPr>
          <w:rFonts w:hint="eastAsia" w:ascii="宋体" w:hAnsi="宋体" w:cs="宋体"/>
          <w:color w:val="auto"/>
          <w:szCs w:val="21"/>
          <w:highlight w:val="none"/>
        </w:rPr>
        <w:t>评标委员会对投标文件进行评审，公布评审结果；</w:t>
      </w:r>
    </w:p>
    <w:p w14:paraId="1943E8E7">
      <w:pPr>
        <w:spacing w:line="500" w:lineRule="exact"/>
        <w:ind w:firstLine="420" w:firstLineChars="200"/>
        <w:jc w:val="left"/>
        <w:rPr>
          <w:rFonts w:ascii="宋体" w:hAnsi="宋体" w:cs="宋体"/>
          <w:color w:val="auto"/>
          <w:szCs w:val="21"/>
          <w:highlight w:val="none"/>
        </w:rPr>
      </w:pPr>
      <w:bookmarkStart w:id="45" w:name="_Toc15058882"/>
      <w:r>
        <w:rPr>
          <w:rFonts w:hint="eastAsia" w:ascii="宋体" w:hAnsi="宋体" w:cs="宋体"/>
          <w:color w:val="auto"/>
          <w:szCs w:val="21"/>
          <w:highlight w:val="none"/>
        </w:rPr>
        <w:t>（6）开标结束。</w:t>
      </w:r>
      <w:bookmarkEnd w:id="45"/>
    </w:p>
    <w:p w14:paraId="6B13826D">
      <w:pPr>
        <w:spacing w:line="500" w:lineRule="exact"/>
        <w:ind w:right="-155" w:rightChars="-74" w:firstLine="420" w:firstLineChars="200"/>
        <w:jc w:val="left"/>
        <w:rPr>
          <w:rFonts w:ascii="宋体" w:hAnsi="宋体" w:cs="宋体"/>
          <w:color w:val="auto"/>
          <w:szCs w:val="21"/>
          <w:highlight w:val="none"/>
        </w:rPr>
      </w:pPr>
      <w:r>
        <w:rPr>
          <w:rFonts w:hint="eastAsia" w:ascii="宋体" w:hAnsi="宋体" w:cs="宋体"/>
          <w:color w:val="auto"/>
          <w:szCs w:val="21"/>
          <w:highlight w:val="none"/>
        </w:rPr>
        <w:t>26.4开标异议</w:t>
      </w:r>
    </w:p>
    <w:p w14:paraId="4565D0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w:t>
      </w:r>
    </w:p>
    <w:p w14:paraId="2CCFA3C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27.评标委员会</w:t>
      </w:r>
    </w:p>
    <w:p w14:paraId="4D92F1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  评标委员会的组成</w:t>
      </w:r>
    </w:p>
    <w:p w14:paraId="53F6221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27.1.1评标由招标人依法组建的评标委员会负责。</w:t>
      </w:r>
    </w:p>
    <w:p w14:paraId="74042AE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27.1.2评标委员会负责人依法推荐或确定。</w:t>
      </w:r>
    </w:p>
    <w:p w14:paraId="61B038D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27.2评标委员会成员名单在中标结果确定前应当保密。</w:t>
      </w:r>
    </w:p>
    <w:p w14:paraId="37FEAED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27.3评标委员会成员有下述情形的，应当主动提出回避：</w:t>
      </w:r>
    </w:p>
    <w:p w14:paraId="5464A42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（1）供应商或供应商主要负责人的近亲属；</w:t>
      </w:r>
    </w:p>
    <w:p w14:paraId="06E0AC6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C0D1E9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（3）与供应商有经济利益关系；</w:t>
      </w:r>
    </w:p>
    <w:p w14:paraId="21D1DC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2F94A8B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（5）与供应商有其他利害关系。</w:t>
      </w:r>
    </w:p>
    <w:p w14:paraId="49B3599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27.4评标委员会应当向招标人提出书面评标报告，并抄送有关行政监督部门。评标报告应当如实记载以下内容：</w:t>
      </w:r>
    </w:p>
    <w:p w14:paraId="16FE5DE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0ED0C9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57DDEF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11B2D6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（4）符合要求的供应商一览表；</w:t>
      </w:r>
    </w:p>
    <w:p w14:paraId="7330666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（5）无效情况说明；</w:t>
      </w:r>
    </w:p>
    <w:p w14:paraId="1238E2B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（6）评标标准、评标方法或者评标因素一览表；</w:t>
      </w:r>
    </w:p>
    <w:p w14:paraId="3C5955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（7）经评审的价格或者评分比较一览表；</w:t>
      </w:r>
    </w:p>
    <w:p w14:paraId="3A257B3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（8）供应商串标、围标等违规行为的确认报告；</w:t>
      </w:r>
    </w:p>
    <w:p w14:paraId="25FB75F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（9）经评审的供应商排序；</w:t>
      </w:r>
    </w:p>
    <w:p w14:paraId="42B91F0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（10）推荐的中标候选人名单；</w:t>
      </w:r>
    </w:p>
    <w:p w14:paraId="5447C61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（11）澄清、说明、补正事项纪要。</w:t>
      </w:r>
    </w:p>
    <w:p w14:paraId="3FC1DA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27.5评标委员会接受招标人授权对供应商资格进行审查。</w:t>
      </w:r>
    </w:p>
    <w:p w14:paraId="439CFD05">
      <w:pPr>
        <w:tabs>
          <w:tab w:val="left" w:pos="720"/>
        </w:tabs>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27.6评标委员会应自觉接受有关监督管理部门的现场监督，评标委员会成员和与评标活动有关的工作人员和监督人员不得向他人透露对投标文件的评审和比较、中标候选人的推荐以及与评标有关的其他情况。投标文件及与评标有关的资料应当保密。</w:t>
      </w:r>
    </w:p>
    <w:p w14:paraId="1B6B897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 评标</w:t>
      </w:r>
    </w:p>
    <w:p w14:paraId="6F4B7B0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28.1评标准备工作</w:t>
      </w:r>
    </w:p>
    <w:p w14:paraId="2D86706E">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28.1.1阅读由招标人或招标代理单位编写的招标项目情况的说明材料；</w:t>
      </w:r>
    </w:p>
    <w:p w14:paraId="649759E9">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28.1.2阅读、研究招标文件和相关评标资料，获取评标所需要的重要信息和数据；</w:t>
      </w:r>
    </w:p>
    <w:p w14:paraId="556D8AB0">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28.1.3熟悉招标文件规定的评标方法及在评标过程中需要考虑的相关因素；</w:t>
      </w:r>
    </w:p>
    <w:p w14:paraId="2005BD28">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28.1.4核对评标工作用表。</w:t>
      </w:r>
    </w:p>
    <w:p w14:paraId="5313E554">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28.2评标办法</w:t>
      </w:r>
    </w:p>
    <w:p w14:paraId="5C954F11">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28.2.1评审小组按照第三章“评标办法”规定的方法、评审因素、标准和程序对投标文件进行评审。第三章“评标办法”没有规定的方法、评审因素和标准，不作为评标依据。</w:t>
      </w:r>
    </w:p>
    <w:p w14:paraId="2BF29B1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28.2.2评标原则：遵循公平、公正、科学和择优的原则。</w:t>
      </w:r>
    </w:p>
    <w:p w14:paraId="40972BF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28.3投标文件的澄清</w:t>
      </w:r>
    </w:p>
    <w:p w14:paraId="3291A61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28.3.1在评审过程中，评审小组认为需要，可要求投标人对投标文件中的有关问题进行澄清或提供补充说明及有关资料，投标人应做出书面答复。</w:t>
      </w:r>
    </w:p>
    <w:p w14:paraId="02818B45">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28.3.2书面答复须经投标人法定代表人或其委托代理人签字或盖章，签字或盖章的书面答复将被视为投标文件的组成部分。</w:t>
      </w:r>
    </w:p>
    <w:p w14:paraId="3D89940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28.4报价合理性的判断</w:t>
      </w:r>
    </w:p>
    <w:p w14:paraId="3FE11379">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14:paraId="54E4EE0C">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28.5评审意见分歧的处理办法</w:t>
      </w:r>
    </w:p>
    <w:p w14:paraId="1F1E9B9B">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（1）评审小组应当对投标人提供的报告、证明材料及详细说明认真研究。对存在意见分歧的，可采用投票方式表决决定（按多数评委意见为准）；</w:t>
      </w:r>
    </w:p>
    <w:p w14:paraId="3C727650">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28.6评标报告的签署</w:t>
      </w:r>
    </w:p>
    <w:p w14:paraId="2BAB1AC6">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28.6.1评审小组应当编制书面评标报告,所有成员应签字确认。对评标结论持有异议的评审小组成员可以书面方式阐述其不同意见和理由。评审小组成员拒绝在评标报告上签字且不陈述其不同意见和理由的，视为同意评标结论。</w:t>
      </w:r>
    </w:p>
    <w:p w14:paraId="21B4231B">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28.7评标过程的保密</w:t>
      </w:r>
    </w:p>
    <w:p w14:paraId="11BEB0C2">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评审小组成员和与评标活动有关的工作人员不得透露对投标文件的评审和比较、中标候选人的推荐情况以及与评标有关的其他情况。 </w:t>
      </w:r>
    </w:p>
    <w:p w14:paraId="063A419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29. 定标</w:t>
      </w:r>
    </w:p>
    <w:p w14:paraId="6A8B29D9">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中标人的确定</w:t>
      </w:r>
    </w:p>
    <w:p w14:paraId="3FC7DCEE">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依据评标委员会推荐的第一中标候选人确定为中标人，排名第一的中标候选人放弃中标、因不可抗力提出不能履约合同，或者招标文件规定应当提交履约保证金而在规定的期限内未能提交的或存在弄虚作假等其他违法行为骗取中标的，或合同履行过程中，被终止协议的，招标人可以确定排名第二的中标候选人为中标人，以此类推。招标人也可依法重新组织招标。</w:t>
      </w:r>
    </w:p>
    <w:p w14:paraId="54E6C2A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29.1.2中标人确定后，招标人应将中标人名单在前附表规定的网站进行网上公示。</w:t>
      </w:r>
    </w:p>
    <w:p w14:paraId="5914B2D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中标通知书</w:t>
      </w:r>
    </w:p>
    <w:p w14:paraId="26342FEB">
      <w:pPr>
        <w:pStyle w:val="16"/>
        <w:spacing w:line="500" w:lineRule="exact"/>
        <w:ind w:firstLine="420" w:firstLineChars="200"/>
        <w:rPr>
          <w:rFonts w:ascii="宋体" w:hAnsi="宋体" w:cs="宋体"/>
          <w:color w:val="auto"/>
          <w:highlight w:val="none"/>
        </w:rPr>
      </w:pPr>
      <w:r>
        <w:rPr>
          <w:rFonts w:hint="eastAsia" w:ascii="宋体" w:hAnsi="宋体" w:cs="宋体"/>
          <w:color w:val="auto"/>
          <w:szCs w:val="21"/>
          <w:highlight w:val="none"/>
        </w:rPr>
        <w:t>29.2.1</w:t>
      </w:r>
      <w:r>
        <w:rPr>
          <w:rFonts w:hint="eastAsia" w:ascii="宋体" w:hAnsi="宋体" w:cs="宋体"/>
          <w:color w:val="auto"/>
          <w:highlight w:val="none"/>
        </w:rPr>
        <w:t>招标人或采购代理机构应在中标人确定之日起2个工作日内，向中标人发出中标通知书。</w:t>
      </w:r>
    </w:p>
    <w:p w14:paraId="5E4A0762">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29.2.2中标通知书须加盖招标人、采购代理机构公章后，方可发出。</w:t>
      </w:r>
    </w:p>
    <w:p w14:paraId="00980AA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30. 开评标异常情况处理</w:t>
      </w:r>
    </w:p>
    <w:p w14:paraId="70138900">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30.1废标（重新招标）</w:t>
      </w:r>
    </w:p>
    <w:p w14:paraId="00A01D04">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有下列情形之一的，招标人将废标（重新招标）：</w:t>
      </w:r>
    </w:p>
    <w:p w14:paraId="51B88A9E">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(1)投标截止时间止，投标人少于三个的； </w:t>
      </w:r>
    </w:p>
    <w:p w14:paraId="6BA92A01">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szCs w:val="21"/>
          <w:highlight w:val="none"/>
          <w:shd w:val="clear" w:color="auto" w:fill="FFFFFF"/>
        </w:rPr>
        <w:t>符合专业条件的供应商或者对招标文件作实质响应的供应商不足三家的</w:t>
      </w:r>
      <w:r>
        <w:rPr>
          <w:rFonts w:hint="eastAsia" w:ascii="宋体" w:hAnsi="宋体" w:cs="宋体"/>
          <w:color w:val="auto"/>
          <w:kern w:val="10"/>
          <w:szCs w:val="21"/>
          <w:highlight w:val="none"/>
        </w:rPr>
        <w:t>；</w:t>
      </w:r>
    </w:p>
    <w:p w14:paraId="773389EB">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(3)出现影响采购公正的违法、违规行为的；</w:t>
      </w:r>
    </w:p>
    <w:p w14:paraId="49244AC8">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(4)投标人的报价均脱离实际且无充分证据的；</w:t>
      </w:r>
    </w:p>
    <w:p w14:paraId="6DA4F43D">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(5)因重大变故，采购任务取消的。</w:t>
      </w:r>
      <w:bookmarkStart w:id="46" w:name="_Toc449028873"/>
    </w:p>
    <w:p w14:paraId="5742E581">
      <w:pPr>
        <w:spacing w:before="93" w:beforeLines="30" w:after="93" w:afterLines="3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（六）合同的授予</w:t>
      </w:r>
      <w:bookmarkEnd w:id="46"/>
    </w:p>
    <w:p w14:paraId="523819E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31.合同授予标准</w:t>
      </w:r>
    </w:p>
    <w:p w14:paraId="63B86D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31.1 本招标项目的合同将授予按本投标须知第29条规定所确定的中标人。 </w:t>
      </w:r>
    </w:p>
    <w:p w14:paraId="25BE618F">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332.合同协议书的签订</w:t>
      </w:r>
    </w:p>
    <w:p w14:paraId="594A287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32.1招标人与中标人将于中标通知书发出之日起30日内，按照招标文件和中标人的投标文件订立书面采购合同。招标人和中标人不得再行订立背离合同实质性内容的其他协议。</w:t>
      </w:r>
    </w:p>
    <w:p w14:paraId="7EC14B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 招标人如不按本投标须知第31条的规定与中标人订立合同，或者招标人、中标人订立背离合同实质性内容的协议，给他人造成损失的，依法承担民事责任，同时依法承担相应法律责任。</w:t>
      </w:r>
    </w:p>
    <w:p w14:paraId="05C17D2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32.3中标人如不按本投标须知第31条的规定与招标人订立合同，依法承担民事责任，同时依法承担相应法律责任。</w:t>
      </w:r>
    </w:p>
    <w:p w14:paraId="6698004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32.4中标人应当按照合同约定履行义务，完成中标项目，不得将中标项目转让（转包）给他人。</w:t>
      </w:r>
    </w:p>
    <w:p w14:paraId="2899ED9E">
      <w:pPr>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33.</w:t>
      </w:r>
      <w:bookmarkStart w:id="47" w:name="_Toc217446068"/>
      <w:r>
        <w:rPr>
          <w:rFonts w:hint="eastAsia" w:ascii="宋体" w:hAnsi="宋体" w:cs="宋体"/>
          <w:b/>
          <w:color w:val="auto"/>
          <w:szCs w:val="21"/>
          <w:highlight w:val="none"/>
        </w:rPr>
        <w:t>履约保证金</w:t>
      </w:r>
      <w:bookmarkEnd w:id="47"/>
      <w:r>
        <w:rPr>
          <w:rFonts w:hint="eastAsia" w:ascii="宋体" w:hAnsi="宋体" w:cs="宋体"/>
          <w:b/>
          <w:color w:val="auto"/>
          <w:szCs w:val="21"/>
          <w:highlight w:val="none"/>
        </w:rPr>
        <w:t>（本项目不采用）</w:t>
      </w:r>
    </w:p>
    <w:p w14:paraId="14AD9A2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33.1在签订合同前，中标人应按投标人须知前附表规定的担保形式、金额和招标文件第五章“合同条款及格式”规定的或者事先经过招标人书面认可的履约担保格式向招标人提交履约担保。</w:t>
      </w:r>
    </w:p>
    <w:p w14:paraId="79F85FD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 中标人不能按本章第33.1款要求提交履约担保的，视为放弃中标，</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1643D659">
      <w:pPr>
        <w:spacing w:before="93" w:beforeLines="30" w:after="93" w:afterLines="30" w:line="500" w:lineRule="exact"/>
        <w:jc w:val="center"/>
        <w:rPr>
          <w:rFonts w:ascii="宋体" w:hAnsi="宋体" w:cs="宋体"/>
          <w:b/>
          <w:color w:val="auto"/>
          <w:sz w:val="28"/>
          <w:szCs w:val="28"/>
          <w:highlight w:val="none"/>
        </w:rPr>
      </w:pPr>
      <w:bookmarkStart w:id="48" w:name="_Toc449028874"/>
      <w:r>
        <w:rPr>
          <w:rFonts w:hint="eastAsia" w:ascii="宋体" w:hAnsi="宋体" w:cs="宋体"/>
          <w:b/>
          <w:color w:val="auto"/>
          <w:sz w:val="28"/>
          <w:szCs w:val="28"/>
          <w:highlight w:val="none"/>
        </w:rPr>
        <w:t>（七）纪律和监督</w:t>
      </w:r>
      <w:bookmarkEnd w:id="48"/>
    </w:p>
    <w:p w14:paraId="4AA650A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34.对招标人的纪律要求 </w:t>
      </w:r>
    </w:p>
    <w:p w14:paraId="23F07AEF">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34.1招标人不得泄漏招标投标活动中应当保密的情况和资料，不得与投标人串通损害国家利益，社会公共利益或者他人合法权益。 </w:t>
      </w:r>
    </w:p>
    <w:p w14:paraId="7C0FEB4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35.对投标人的纪律要求 </w:t>
      </w:r>
    </w:p>
    <w:p w14:paraId="120D39AC">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35.1投标人不得相互串通投标或者与招标人串通投标，不得向招标人或者评标委员会成员行贿谋取中标，不得以他人名义投标或者以其他方式弄虚作假骗取中标；投标人不得以任何方式干扰、影响评标工作。</w:t>
      </w:r>
    </w:p>
    <w:p w14:paraId="20955A1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36.对评标委员会成员的纪律要求 </w:t>
      </w:r>
    </w:p>
    <w:p w14:paraId="378A5E73">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36.1评标委员会成员不得收受他人的财物或者其他好处，不得向他人透漏对投标文件的评审和比较、中标候选人的推荐情况以及评标有关的其他情况。</w:t>
      </w:r>
    </w:p>
    <w:p w14:paraId="0C5D01D8">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36.2在评标活动中，评标委员会成员不得擅离职守，影响评标程序正常进行，不得使用第三章“评标办法”没有规定的评审因素和标准进行评标。 </w:t>
      </w:r>
    </w:p>
    <w:p w14:paraId="3787928F">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37.对与评标活动有关的工作人员的纪律要求 </w:t>
      </w:r>
    </w:p>
    <w:p w14:paraId="72C53806">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37.1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0AB874">
      <w:pPr>
        <w:spacing w:before="93" w:beforeLines="30" w:after="93" w:afterLines="30" w:line="500" w:lineRule="exact"/>
        <w:jc w:val="center"/>
        <w:rPr>
          <w:rFonts w:ascii="宋体" w:hAnsi="宋体" w:cs="宋体"/>
          <w:b/>
          <w:color w:val="auto"/>
          <w:sz w:val="28"/>
          <w:szCs w:val="28"/>
          <w:highlight w:val="none"/>
        </w:rPr>
      </w:pPr>
      <w:bookmarkStart w:id="49" w:name="_Toc449028875"/>
      <w:r>
        <w:rPr>
          <w:rFonts w:hint="eastAsia" w:ascii="宋体" w:hAnsi="宋体" w:cs="宋体"/>
          <w:b/>
          <w:color w:val="auto"/>
          <w:sz w:val="28"/>
          <w:szCs w:val="28"/>
          <w:highlight w:val="none"/>
        </w:rPr>
        <w:t>（八）质疑与投诉</w:t>
      </w:r>
      <w:bookmarkEnd w:id="49"/>
    </w:p>
    <w:p w14:paraId="0E3C291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38. 询问、质疑</w:t>
      </w:r>
    </w:p>
    <w:p w14:paraId="3E673C3F">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szCs w:val="21"/>
          <w:highlight w:val="none"/>
        </w:rPr>
        <w:t>38.1</w:t>
      </w:r>
      <w:r>
        <w:rPr>
          <w:rFonts w:hint="eastAsia" w:ascii="宋体" w:hAnsi="宋体" w:cs="宋体"/>
          <w:color w:val="auto"/>
          <w:kern w:val="10"/>
          <w:szCs w:val="21"/>
          <w:highlight w:val="none"/>
        </w:rPr>
        <w:t>若投标人或者其他利害关系人对中标结果有异议，可在公示期内以书面形式，并在工作时间内（上午8:00-12:00,下午2:30-5:30）向招标人或招标代理机构提出异议。</w:t>
      </w:r>
    </w:p>
    <w:p w14:paraId="05D8125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异议应以书面形式实名提出，书面异议材料应当包括以下内容： </w:t>
      </w:r>
    </w:p>
    <w:p w14:paraId="1DDA5252">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（1）异议人的名称、地址、有效联系方式； </w:t>
      </w:r>
    </w:p>
    <w:p w14:paraId="2E31897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（2）项目名称、项目编号、标段号（如有）； </w:t>
      </w:r>
    </w:p>
    <w:p w14:paraId="6C7DEB58">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（3）被异议人名称； </w:t>
      </w:r>
    </w:p>
    <w:p w14:paraId="46C6BCA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（4）具体的异议事项、基本事实及必要的证明材料； </w:t>
      </w:r>
    </w:p>
    <w:p w14:paraId="5674B445">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（5）明确的请求及主张； </w:t>
      </w:r>
    </w:p>
    <w:p w14:paraId="4C424E7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（6）提起异议的日期。 </w:t>
      </w:r>
    </w:p>
    <w:p w14:paraId="003DFBEC">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（7）异议人为法人的，应当由法定代表人或授权代表签字并加盖公章；为其他组织或个人的，异议材料须由其主要负责人或者异议人本人签字，并附有效身份证明复印件。 </w:t>
      </w:r>
    </w:p>
    <w:p w14:paraId="629D108A">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（8）异议人需要修改、补充异议材料的，应当在招标人或招标代理机构规定的期限内提交修改或补充材料。 </w:t>
      </w:r>
    </w:p>
    <w:p w14:paraId="71C82751">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szCs w:val="21"/>
          <w:highlight w:val="none"/>
        </w:rPr>
        <w:t xml:space="preserve">38.2 </w:t>
      </w:r>
      <w:r>
        <w:rPr>
          <w:rFonts w:hint="eastAsia" w:ascii="宋体" w:hAnsi="宋体" w:cs="宋体"/>
          <w:color w:val="auto"/>
          <w:kern w:val="10"/>
          <w:szCs w:val="21"/>
          <w:highlight w:val="none"/>
        </w:rPr>
        <w:t>有下列情形之一的，不予受理： </w:t>
      </w:r>
    </w:p>
    <w:p w14:paraId="4E5E4242">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（1）提出异议的主体不是所异议项目投标人或者其他利害关系人的；</w:t>
      </w:r>
    </w:p>
    <w:p w14:paraId="0196CA46">
      <w:pPr>
        <w:spacing w:line="500" w:lineRule="exact"/>
        <w:ind w:right="-386" w:rightChars="-184" w:firstLine="840" w:firstLineChars="400"/>
        <w:jc w:val="left"/>
        <w:rPr>
          <w:rFonts w:ascii="宋体" w:hAnsi="宋体" w:cs="宋体"/>
          <w:color w:val="auto"/>
          <w:kern w:val="10"/>
          <w:szCs w:val="21"/>
          <w:highlight w:val="none"/>
        </w:rPr>
      </w:pPr>
      <w:r>
        <w:rPr>
          <w:rFonts w:hint="eastAsia" w:ascii="宋体" w:hAnsi="宋体" w:cs="宋体"/>
          <w:color w:val="auto"/>
          <w:kern w:val="10"/>
          <w:szCs w:val="21"/>
          <w:highlight w:val="none"/>
        </w:rPr>
        <w:t>（2）对于依法必须招标的项目，未在公示期间提出异议的；</w:t>
      </w:r>
    </w:p>
    <w:p w14:paraId="4FD39789">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（3）异议材料不完整的； </w:t>
      </w:r>
    </w:p>
    <w:p w14:paraId="6E7FC8D4">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（4）异议事项含有主观猜测等内容且未提供有效线索、难以查证的； </w:t>
      </w:r>
    </w:p>
    <w:p w14:paraId="4C12BC5B">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xml:space="preserve">   （5）对其他投标人的投标文件详细内容异议，无法提供合法来源渠道的； </w:t>
      </w:r>
    </w:p>
    <w:p w14:paraId="1968AD6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kern w:val="10"/>
          <w:szCs w:val="21"/>
          <w:highlight w:val="none"/>
        </w:rPr>
        <w:t xml:space="preserve">   （6）异议事项已进入投诉处理、行政复议或行政诉讼程序的。</w:t>
      </w:r>
    </w:p>
    <w:p w14:paraId="5E9C17EF">
      <w:pPr>
        <w:spacing w:line="500" w:lineRule="exact"/>
        <w:ind w:right="-386" w:rightChars="-184"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39. 投诉</w:t>
      </w:r>
    </w:p>
    <w:p w14:paraId="38009EB0">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39.1投标人和其他利害关系人认为本次招标活动违反法律、法规和规章规定的，有权向有关行政监督部门投诉。投诉应当有明确的请求和必要的证明材料。</w:t>
      </w:r>
    </w:p>
    <w:p w14:paraId="4BF51A35">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39.2投标人和其他利害关系人对评标结果等事项投诉的，应当在开标期间或中标结果公示期间，先向招标人提出异议。</w:t>
      </w:r>
    </w:p>
    <w:p w14:paraId="51F47206">
      <w:pPr>
        <w:spacing w:before="156" w:beforeLines="50" w:after="156" w:afterLines="50" w:line="600" w:lineRule="exact"/>
        <w:jc w:val="center"/>
        <w:outlineLvl w:val="0"/>
        <w:rPr>
          <w:rFonts w:ascii="宋体"/>
          <w:b/>
          <w:color w:val="auto"/>
          <w:sz w:val="32"/>
          <w:szCs w:val="32"/>
          <w:highlight w:val="none"/>
        </w:rPr>
      </w:pPr>
      <w:bookmarkStart w:id="50" w:name="_Toc58430316"/>
      <w:r>
        <w:rPr>
          <w:rFonts w:hint="eastAsia" w:ascii="宋体"/>
          <w:b/>
          <w:color w:val="auto"/>
          <w:sz w:val="32"/>
          <w:szCs w:val="32"/>
          <w:highlight w:val="none"/>
        </w:rPr>
        <w:br w:type="page"/>
      </w:r>
      <w:r>
        <w:rPr>
          <w:rFonts w:hint="eastAsia" w:ascii="宋体"/>
          <w:b/>
          <w:color w:val="auto"/>
          <w:sz w:val="32"/>
          <w:szCs w:val="32"/>
          <w:highlight w:val="none"/>
        </w:rPr>
        <w:t>第三章 评标办法（综合评分法）</w:t>
      </w:r>
      <w:bookmarkEnd w:id="50"/>
    </w:p>
    <w:p w14:paraId="2EAB2629">
      <w:pPr>
        <w:snapToGrid w:val="0"/>
        <w:spacing w:before="93" w:beforeLines="30" w:after="93" w:afterLines="30" w:line="500" w:lineRule="exact"/>
        <w:jc w:val="center"/>
        <w:outlineLvl w:val="1"/>
        <w:rPr>
          <w:rFonts w:ascii="宋体"/>
          <w:b/>
          <w:color w:val="auto"/>
          <w:sz w:val="32"/>
          <w:szCs w:val="32"/>
          <w:highlight w:val="none"/>
        </w:rPr>
      </w:pPr>
      <w:bookmarkStart w:id="51" w:name="_Toc58430317"/>
      <w:bookmarkStart w:id="52" w:name="_Toc449028877"/>
      <w:bookmarkStart w:id="53" w:name="_Toc362983801"/>
      <w:bookmarkStart w:id="54" w:name="_Toc267320058"/>
      <w:bookmarkStart w:id="55" w:name="_Toc363135205"/>
      <w:r>
        <w:rPr>
          <w:rFonts w:hint="eastAsia" w:ascii="宋体"/>
          <w:b/>
          <w:color w:val="auto"/>
          <w:sz w:val="32"/>
          <w:szCs w:val="32"/>
          <w:highlight w:val="none"/>
        </w:rPr>
        <w:t>一、总则</w:t>
      </w:r>
      <w:bookmarkEnd w:id="51"/>
      <w:bookmarkEnd w:id="52"/>
      <w:bookmarkEnd w:id="53"/>
    </w:p>
    <w:p w14:paraId="40635B2A">
      <w:pPr>
        <w:spacing w:line="500" w:lineRule="exact"/>
        <w:ind w:firstLine="316" w:firstLineChars="150"/>
        <w:jc w:val="left"/>
        <w:rPr>
          <w:rFonts w:ascii="宋体"/>
          <w:b/>
          <w:color w:val="auto"/>
          <w:szCs w:val="21"/>
          <w:highlight w:val="none"/>
        </w:rPr>
      </w:pPr>
      <w:r>
        <w:rPr>
          <w:rFonts w:hint="eastAsia" w:ascii="宋体"/>
          <w:b/>
          <w:color w:val="auto"/>
          <w:szCs w:val="21"/>
          <w:highlight w:val="none"/>
        </w:rPr>
        <w:t xml:space="preserve"> 1. 本次评标采用综合评分法</w:t>
      </w:r>
    </w:p>
    <w:p w14:paraId="2E08F988">
      <w:pPr>
        <w:spacing w:line="500" w:lineRule="exact"/>
        <w:ind w:firstLine="420" w:firstLineChars="200"/>
        <w:jc w:val="left"/>
        <w:rPr>
          <w:rFonts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11D860FD">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1B7C3868">
      <w:pPr>
        <w:spacing w:line="500" w:lineRule="exact"/>
        <w:ind w:firstLine="422" w:firstLineChars="200"/>
        <w:rPr>
          <w:rFonts w:ascii="宋体"/>
          <w:b/>
          <w:color w:val="auto"/>
          <w:szCs w:val="21"/>
          <w:highlight w:val="none"/>
        </w:rPr>
      </w:pPr>
      <w:r>
        <w:rPr>
          <w:rFonts w:hint="eastAsia" w:ascii="宋体"/>
          <w:b/>
          <w:color w:val="auto"/>
          <w:szCs w:val="21"/>
          <w:highlight w:val="none"/>
        </w:rPr>
        <w:t>2．评标程序</w:t>
      </w:r>
    </w:p>
    <w:p w14:paraId="7A491009">
      <w:pPr>
        <w:spacing w:line="500" w:lineRule="exact"/>
        <w:ind w:firstLine="420" w:firstLineChars="200"/>
        <w:rPr>
          <w:rFonts w:ascii="宋体"/>
          <w:color w:val="auto"/>
          <w:szCs w:val="21"/>
          <w:highlight w:val="none"/>
        </w:rPr>
      </w:pPr>
      <w:r>
        <w:rPr>
          <w:rFonts w:hint="eastAsia" w:ascii="宋体"/>
          <w:color w:val="auto"/>
          <w:szCs w:val="21"/>
          <w:highlight w:val="none"/>
        </w:rPr>
        <w:t>2.1投标文件的初审</w:t>
      </w:r>
    </w:p>
    <w:p w14:paraId="18B14CF8">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016CDBA0">
      <w:pPr>
        <w:spacing w:line="500" w:lineRule="exact"/>
        <w:ind w:firstLine="420" w:firstLineChars="200"/>
        <w:jc w:val="left"/>
        <w:rPr>
          <w:rFonts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6D1ADC96">
      <w:pPr>
        <w:spacing w:line="500" w:lineRule="exact"/>
        <w:ind w:firstLine="420" w:firstLineChars="200"/>
        <w:rPr>
          <w:rFonts w:ascii="宋体"/>
          <w:color w:val="auto"/>
          <w:szCs w:val="21"/>
          <w:highlight w:val="none"/>
        </w:rPr>
      </w:pPr>
      <w:r>
        <w:rPr>
          <w:rFonts w:hint="eastAsia" w:ascii="宋体"/>
          <w:color w:val="auto"/>
          <w:szCs w:val="21"/>
          <w:highlight w:val="none"/>
        </w:rPr>
        <w:t>2.2比较与评价</w:t>
      </w:r>
    </w:p>
    <w:p w14:paraId="712190D3">
      <w:pPr>
        <w:spacing w:line="500" w:lineRule="exact"/>
        <w:ind w:firstLine="420" w:firstLineChars="200"/>
        <w:jc w:val="left"/>
        <w:rPr>
          <w:rFonts w:ascii="宋体"/>
          <w:color w:val="auto"/>
          <w:szCs w:val="21"/>
          <w:highlight w:val="none"/>
        </w:rPr>
      </w:pPr>
      <w:r>
        <w:rPr>
          <w:rFonts w:hint="eastAsia" w:ascii="宋体"/>
          <w:color w:val="auto"/>
          <w:szCs w:val="21"/>
          <w:highlight w:val="none"/>
        </w:rPr>
        <w:t>2.2.1按招标文件中规定的评标方法和标准，对资格性检查和符合性检查合格的投标文件进行资信、商务和技术评估，综合比较与评价。</w:t>
      </w:r>
    </w:p>
    <w:p w14:paraId="2CA22361">
      <w:pPr>
        <w:spacing w:line="500" w:lineRule="exact"/>
        <w:ind w:firstLine="420" w:firstLineChars="200"/>
        <w:jc w:val="left"/>
        <w:rPr>
          <w:rFonts w:ascii="宋体"/>
          <w:color w:val="auto"/>
          <w:szCs w:val="21"/>
          <w:highlight w:val="none"/>
        </w:rPr>
      </w:pPr>
      <w:r>
        <w:rPr>
          <w:rFonts w:hint="eastAsia" w:ascii="宋体"/>
          <w:color w:val="auto"/>
          <w:szCs w:val="21"/>
          <w:highlight w:val="none"/>
        </w:rPr>
        <w:t>2.3推荐中标候选人名单</w:t>
      </w:r>
    </w:p>
    <w:p w14:paraId="42E24533">
      <w:pPr>
        <w:spacing w:line="500" w:lineRule="exact"/>
        <w:ind w:firstLine="420" w:firstLineChars="200"/>
        <w:jc w:val="left"/>
        <w:rPr>
          <w:rFonts w:ascii="宋体"/>
          <w:color w:val="auto"/>
          <w:szCs w:val="21"/>
          <w:highlight w:val="none"/>
        </w:rPr>
      </w:pPr>
      <w:r>
        <w:rPr>
          <w:rFonts w:hint="eastAsia" w:ascii="宋体"/>
          <w:color w:val="auto"/>
          <w:szCs w:val="21"/>
          <w:highlight w:val="none"/>
        </w:rPr>
        <w:t>2.3.1中标候选人数量应当根据采购需要确定，但必须按顺序排列中标候选人。</w:t>
      </w:r>
    </w:p>
    <w:p w14:paraId="256B3A5B">
      <w:pPr>
        <w:spacing w:line="500" w:lineRule="exact"/>
        <w:ind w:firstLine="420" w:firstLineChars="200"/>
        <w:jc w:val="left"/>
        <w:rPr>
          <w:rFonts w:ascii="宋体"/>
          <w:color w:val="auto"/>
          <w:szCs w:val="21"/>
          <w:highlight w:val="none"/>
        </w:rPr>
      </w:pPr>
      <w:r>
        <w:rPr>
          <w:rFonts w:hint="eastAsia" w:ascii="宋体"/>
          <w:color w:val="auto"/>
          <w:szCs w:val="21"/>
          <w:highlight w:val="none"/>
        </w:rPr>
        <w:t>2.4在投标文件的审查、澄清、评价和比较以及授予合同过程中，投标人对招标人和评标委员会成员施加影响的任何行为，都将导致取消其中标资格。</w:t>
      </w:r>
    </w:p>
    <w:p w14:paraId="658F3C0A">
      <w:pPr>
        <w:snapToGrid w:val="0"/>
        <w:spacing w:before="93" w:beforeLines="30" w:after="93" w:afterLines="30" w:line="500" w:lineRule="exact"/>
        <w:jc w:val="center"/>
        <w:outlineLvl w:val="1"/>
        <w:rPr>
          <w:rFonts w:ascii="宋体"/>
          <w:b/>
          <w:color w:val="auto"/>
          <w:sz w:val="32"/>
          <w:szCs w:val="32"/>
          <w:highlight w:val="none"/>
        </w:rPr>
      </w:pPr>
      <w:bookmarkStart w:id="56" w:name="_Toc362983802"/>
      <w:bookmarkStart w:id="57" w:name="_Toc449028878"/>
      <w:bookmarkStart w:id="58" w:name="_Toc58430318"/>
      <w:r>
        <w:rPr>
          <w:rFonts w:hint="eastAsia" w:ascii="宋体"/>
          <w:b/>
          <w:color w:val="auto"/>
          <w:sz w:val="32"/>
          <w:szCs w:val="32"/>
          <w:highlight w:val="none"/>
        </w:rPr>
        <w:t>二、投标文件初审</w:t>
      </w:r>
      <w:bookmarkEnd w:id="56"/>
      <w:bookmarkEnd w:id="57"/>
      <w:bookmarkEnd w:id="58"/>
    </w:p>
    <w:p w14:paraId="708225DC">
      <w:pPr>
        <w:spacing w:line="5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3.资格性审查:</w:t>
      </w:r>
    </w:p>
    <w:p w14:paraId="36D8240E">
      <w:pPr>
        <w:spacing w:line="50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6C1F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95" w:type="dxa"/>
            <w:vAlign w:val="center"/>
          </w:tcPr>
          <w:p w14:paraId="781DC43D">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643" w:type="dxa"/>
            <w:gridSpan w:val="2"/>
            <w:vAlign w:val="center"/>
          </w:tcPr>
          <w:p w14:paraId="59BCB4B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vAlign w:val="center"/>
          </w:tcPr>
          <w:p w14:paraId="4E14411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1D0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5" w:type="dxa"/>
            <w:vAlign w:val="center"/>
          </w:tcPr>
          <w:p w14:paraId="0755D2B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5" w:type="dxa"/>
            <w:vAlign w:val="center"/>
          </w:tcPr>
          <w:p w14:paraId="523B6F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368" w:type="dxa"/>
            <w:vAlign w:val="center"/>
          </w:tcPr>
          <w:p w14:paraId="10E4F15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vAlign w:val="center"/>
          </w:tcPr>
          <w:p w14:paraId="35F637E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检验投标文件。</w:t>
            </w:r>
          </w:p>
        </w:tc>
      </w:tr>
      <w:tr w14:paraId="7F5A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95" w:type="dxa"/>
            <w:vMerge w:val="restart"/>
            <w:vAlign w:val="center"/>
          </w:tcPr>
          <w:p w14:paraId="3C1FED3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75" w:type="dxa"/>
            <w:vMerge w:val="restart"/>
            <w:vAlign w:val="center"/>
          </w:tcPr>
          <w:p w14:paraId="50B3D9D8">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vAlign w:val="center"/>
          </w:tcPr>
          <w:p w14:paraId="2ED630F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（2）具有承担本项目相应得服务能力</w:t>
            </w:r>
          </w:p>
        </w:tc>
        <w:tc>
          <w:tcPr>
            <w:tcW w:w="4492" w:type="dxa"/>
            <w:vAlign w:val="center"/>
          </w:tcPr>
          <w:p w14:paraId="6DF43DA8">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评审核验投标文件中的下列证书、证明材料：</w:t>
            </w:r>
          </w:p>
          <w:p w14:paraId="2E37434A">
            <w:pPr>
              <w:spacing w:line="500" w:lineRule="exact"/>
              <w:rPr>
                <w:rFonts w:ascii="宋体" w:hAnsi="宋体" w:cs="宋体"/>
                <w:color w:val="auto"/>
                <w:szCs w:val="21"/>
                <w:highlight w:val="none"/>
              </w:rPr>
            </w:pPr>
            <w:r>
              <w:rPr>
                <w:rFonts w:hint="eastAsia" w:ascii="宋体"/>
                <w:color w:val="auto"/>
                <w:szCs w:val="21"/>
                <w:highlight w:val="none"/>
              </w:rPr>
              <w:t>有效的营业执照原件或复印件加盖单位公章</w:t>
            </w:r>
          </w:p>
        </w:tc>
      </w:tr>
      <w:tr w14:paraId="4204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5" w:type="dxa"/>
            <w:vMerge w:val="continue"/>
            <w:vAlign w:val="center"/>
          </w:tcPr>
          <w:p w14:paraId="783375A4">
            <w:pPr>
              <w:spacing w:line="500" w:lineRule="exact"/>
              <w:jc w:val="center"/>
              <w:rPr>
                <w:rFonts w:ascii="宋体" w:hAnsi="宋体" w:cs="宋体"/>
                <w:color w:val="auto"/>
                <w:szCs w:val="21"/>
                <w:highlight w:val="none"/>
              </w:rPr>
            </w:pPr>
          </w:p>
        </w:tc>
        <w:tc>
          <w:tcPr>
            <w:tcW w:w="1275" w:type="dxa"/>
            <w:vMerge w:val="continue"/>
            <w:vAlign w:val="center"/>
          </w:tcPr>
          <w:p w14:paraId="45DEE0D3">
            <w:pPr>
              <w:spacing w:line="500" w:lineRule="exact"/>
              <w:rPr>
                <w:rFonts w:ascii="宋体" w:hAnsi="宋体" w:cs="宋体"/>
                <w:color w:val="auto"/>
                <w:szCs w:val="21"/>
                <w:highlight w:val="none"/>
              </w:rPr>
            </w:pPr>
          </w:p>
        </w:tc>
        <w:tc>
          <w:tcPr>
            <w:tcW w:w="3368" w:type="dxa"/>
            <w:vAlign w:val="center"/>
          </w:tcPr>
          <w:p w14:paraId="0C26B225">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（3）诚信投标承诺书</w:t>
            </w:r>
          </w:p>
        </w:tc>
        <w:tc>
          <w:tcPr>
            <w:tcW w:w="4492" w:type="dxa"/>
          </w:tcPr>
          <w:p w14:paraId="38295142">
            <w:pPr>
              <w:spacing w:line="500" w:lineRule="exact"/>
              <w:rPr>
                <w:rFonts w:ascii="宋体" w:hAnsi="宋体" w:cs="宋体"/>
                <w:b/>
                <w:color w:val="auto"/>
                <w:szCs w:val="21"/>
                <w:highlight w:val="none"/>
              </w:rPr>
            </w:pPr>
            <w:r>
              <w:rPr>
                <w:rFonts w:hint="eastAsia" w:ascii="宋体" w:hAnsi="宋体" w:cs="宋体"/>
                <w:color w:val="auto"/>
                <w:szCs w:val="21"/>
                <w:highlight w:val="none"/>
              </w:rPr>
              <w:t>格式见附件，检验投标文件</w:t>
            </w:r>
          </w:p>
        </w:tc>
      </w:tr>
      <w:tr w14:paraId="37EC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5" w:type="dxa"/>
            <w:vMerge w:val="continue"/>
            <w:vAlign w:val="center"/>
          </w:tcPr>
          <w:p w14:paraId="68513C66">
            <w:pPr>
              <w:spacing w:line="500" w:lineRule="exact"/>
              <w:jc w:val="center"/>
              <w:rPr>
                <w:rFonts w:ascii="宋体" w:hAnsi="宋体" w:cs="宋体"/>
                <w:color w:val="auto"/>
                <w:szCs w:val="21"/>
                <w:highlight w:val="none"/>
              </w:rPr>
            </w:pPr>
          </w:p>
        </w:tc>
        <w:tc>
          <w:tcPr>
            <w:tcW w:w="1275" w:type="dxa"/>
            <w:vMerge w:val="continue"/>
            <w:vAlign w:val="center"/>
          </w:tcPr>
          <w:p w14:paraId="1993FD2B">
            <w:pPr>
              <w:spacing w:line="500" w:lineRule="exact"/>
              <w:rPr>
                <w:rFonts w:ascii="宋体" w:hAnsi="宋体" w:cs="宋体"/>
                <w:color w:val="auto"/>
                <w:szCs w:val="21"/>
                <w:highlight w:val="none"/>
              </w:rPr>
            </w:pPr>
          </w:p>
        </w:tc>
        <w:tc>
          <w:tcPr>
            <w:tcW w:w="3368" w:type="dxa"/>
            <w:vAlign w:val="center"/>
          </w:tcPr>
          <w:p w14:paraId="7C985CE4">
            <w:pPr>
              <w:spacing w:line="500" w:lineRule="exact"/>
              <w:jc w:val="left"/>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）股权无关联等核查</w:t>
            </w:r>
          </w:p>
        </w:tc>
        <w:tc>
          <w:tcPr>
            <w:tcW w:w="4492" w:type="dxa"/>
          </w:tcPr>
          <w:p w14:paraId="66507EBA">
            <w:pPr>
              <w:spacing w:line="500" w:lineRule="exact"/>
              <w:rPr>
                <w:rFonts w:hint="eastAsia" w:ascii="宋体" w:hAnsi="宋体" w:cs="宋体"/>
                <w:color w:val="auto"/>
                <w:szCs w:val="21"/>
                <w:highlight w:val="none"/>
              </w:rPr>
            </w:pPr>
            <w:r>
              <w:rPr>
                <w:rFonts w:hint="eastAsia" w:ascii="宋体" w:hAnsi="宋体" w:cs="宋体"/>
                <w:b/>
                <w:bCs/>
                <w:color w:val="auto"/>
                <w:szCs w:val="21"/>
                <w:highlight w:val="none"/>
              </w:rPr>
              <w:t>提供承诺函，格式见附件</w:t>
            </w:r>
          </w:p>
        </w:tc>
      </w:tr>
    </w:tbl>
    <w:p w14:paraId="5D13B156">
      <w:pPr>
        <w:spacing w:line="500" w:lineRule="exact"/>
        <w:ind w:firstLine="508" w:firstLineChars="241"/>
        <w:rPr>
          <w:rFonts w:ascii="宋体" w:hAnsi="宋体" w:cs="宋体"/>
          <w:b/>
          <w:color w:val="auto"/>
          <w:szCs w:val="21"/>
          <w:highlight w:val="none"/>
        </w:rPr>
      </w:pPr>
      <w:r>
        <w:rPr>
          <w:rFonts w:hint="eastAsia" w:ascii="宋体" w:hAnsi="宋体" w:cs="宋体"/>
          <w:b/>
          <w:color w:val="auto"/>
          <w:szCs w:val="21"/>
          <w:highlight w:val="none"/>
        </w:rPr>
        <w:t>3.2如评标专家在检验投标文件过程中，如果由于投标人自身原因导致评标专家无法查看并检验投标文件中相关资料的，否决其投标。即使投标人将原件携带至现场的，同样按否决投标处理。</w:t>
      </w:r>
    </w:p>
    <w:p w14:paraId="5A1F02A4">
      <w:pPr>
        <w:spacing w:line="5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4.符合性审查</w:t>
      </w:r>
    </w:p>
    <w:p w14:paraId="760B277C">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0AB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vAlign w:val="center"/>
          </w:tcPr>
          <w:p w14:paraId="45318BAA">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vAlign w:val="center"/>
          </w:tcPr>
          <w:p w14:paraId="26D335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vAlign w:val="center"/>
          </w:tcPr>
          <w:p w14:paraId="7F831A3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6B8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vMerge w:val="restart"/>
            <w:vAlign w:val="center"/>
          </w:tcPr>
          <w:p w14:paraId="02A3E9B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vAlign w:val="center"/>
          </w:tcPr>
          <w:p w14:paraId="0EF8E65C">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1FC62949">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vAlign w:val="center"/>
          </w:tcPr>
          <w:p w14:paraId="0E7DA596">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6555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vAlign w:val="center"/>
          </w:tcPr>
          <w:p w14:paraId="11EED76A">
            <w:pPr>
              <w:spacing w:line="500" w:lineRule="exact"/>
              <w:rPr>
                <w:rFonts w:ascii="宋体" w:hAnsi="宋体" w:cs="宋体"/>
                <w:color w:val="auto"/>
                <w:szCs w:val="21"/>
                <w:highlight w:val="none"/>
              </w:rPr>
            </w:pPr>
          </w:p>
        </w:tc>
        <w:tc>
          <w:tcPr>
            <w:tcW w:w="1204" w:type="dxa"/>
            <w:vMerge w:val="continue"/>
            <w:vAlign w:val="center"/>
          </w:tcPr>
          <w:p w14:paraId="6BE9755D">
            <w:pPr>
              <w:spacing w:line="500" w:lineRule="exact"/>
              <w:rPr>
                <w:rFonts w:ascii="宋体" w:hAnsi="宋体" w:cs="宋体"/>
                <w:color w:val="auto"/>
                <w:szCs w:val="21"/>
                <w:highlight w:val="none"/>
              </w:rPr>
            </w:pPr>
          </w:p>
        </w:tc>
        <w:tc>
          <w:tcPr>
            <w:tcW w:w="2931" w:type="dxa"/>
            <w:vAlign w:val="center"/>
          </w:tcPr>
          <w:p w14:paraId="046792A8">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vAlign w:val="center"/>
          </w:tcPr>
          <w:p w14:paraId="44DFD76D">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E99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vAlign w:val="center"/>
          </w:tcPr>
          <w:p w14:paraId="18B823A7">
            <w:pPr>
              <w:spacing w:line="500" w:lineRule="exact"/>
              <w:rPr>
                <w:rFonts w:ascii="宋体" w:hAnsi="宋体" w:cs="宋体"/>
                <w:color w:val="auto"/>
                <w:szCs w:val="21"/>
                <w:highlight w:val="none"/>
              </w:rPr>
            </w:pPr>
          </w:p>
        </w:tc>
        <w:tc>
          <w:tcPr>
            <w:tcW w:w="1204" w:type="dxa"/>
            <w:vMerge w:val="continue"/>
            <w:vAlign w:val="center"/>
          </w:tcPr>
          <w:p w14:paraId="3E8CABC0">
            <w:pPr>
              <w:spacing w:line="500" w:lineRule="exact"/>
              <w:rPr>
                <w:rFonts w:ascii="宋体" w:hAnsi="宋体" w:cs="宋体"/>
                <w:color w:val="auto"/>
                <w:szCs w:val="21"/>
                <w:highlight w:val="none"/>
              </w:rPr>
            </w:pPr>
          </w:p>
        </w:tc>
        <w:tc>
          <w:tcPr>
            <w:tcW w:w="2931" w:type="dxa"/>
            <w:vAlign w:val="center"/>
          </w:tcPr>
          <w:p w14:paraId="4EA85306">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(3) 投标文件的有效期</w:t>
            </w:r>
          </w:p>
        </w:tc>
        <w:tc>
          <w:tcPr>
            <w:tcW w:w="4173" w:type="dxa"/>
            <w:vAlign w:val="center"/>
          </w:tcPr>
          <w:p w14:paraId="158C1523">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2180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vAlign w:val="center"/>
          </w:tcPr>
          <w:p w14:paraId="66EEB49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vAlign w:val="center"/>
          </w:tcPr>
          <w:p w14:paraId="66E76D8E">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3AA7B346">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）投标文件份数</w:t>
            </w:r>
          </w:p>
        </w:tc>
        <w:tc>
          <w:tcPr>
            <w:tcW w:w="4173" w:type="dxa"/>
            <w:vAlign w:val="center"/>
          </w:tcPr>
          <w:p w14:paraId="53E7E2C9">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完全响应</w:t>
            </w:r>
          </w:p>
        </w:tc>
      </w:tr>
      <w:tr w14:paraId="6323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vAlign w:val="center"/>
          </w:tcPr>
          <w:p w14:paraId="15065509">
            <w:pPr>
              <w:spacing w:line="500" w:lineRule="exact"/>
              <w:rPr>
                <w:rFonts w:ascii="宋体" w:hAnsi="宋体" w:cs="宋体"/>
                <w:color w:val="auto"/>
                <w:szCs w:val="21"/>
                <w:highlight w:val="none"/>
              </w:rPr>
            </w:pPr>
          </w:p>
        </w:tc>
        <w:tc>
          <w:tcPr>
            <w:tcW w:w="1204" w:type="dxa"/>
            <w:vMerge w:val="continue"/>
            <w:vAlign w:val="center"/>
          </w:tcPr>
          <w:p w14:paraId="0CEC7CE5">
            <w:pPr>
              <w:spacing w:line="500" w:lineRule="exact"/>
              <w:rPr>
                <w:rFonts w:ascii="宋体" w:hAnsi="宋体" w:cs="宋体"/>
                <w:color w:val="auto"/>
                <w:szCs w:val="21"/>
                <w:highlight w:val="none"/>
              </w:rPr>
            </w:pPr>
          </w:p>
        </w:tc>
        <w:tc>
          <w:tcPr>
            <w:tcW w:w="2931" w:type="dxa"/>
            <w:vAlign w:val="center"/>
          </w:tcPr>
          <w:p w14:paraId="2F47B910">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）投标文件形式内容</w:t>
            </w:r>
          </w:p>
        </w:tc>
        <w:tc>
          <w:tcPr>
            <w:tcW w:w="4173" w:type="dxa"/>
            <w:vAlign w:val="center"/>
          </w:tcPr>
          <w:p w14:paraId="584FB8AC">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140F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vMerge w:val="restart"/>
            <w:vAlign w:val="center"/>
          </w:tcPr>
          <w:p w14:paraId="09C5FD8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vAlign w:val="center"/>
          </w:tcPr>
          <w:p w14:paraId="06C8228D">
            <w:pPr>
              <w:spacing w:line="5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50E44CB3">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）采购需求响应程度</w:t>
            </w:r>
          </w:p>
        </w:tc>
        <w:tc>
          <w:tcPr>
            <w:tcW w:w="4173" w:type="dxa"/>
            <w:vAlign w:val="center"/>
          </w:tcPr>
          <w:p w14:paraId="0D5C8138">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rPr>
              <w:t>或优于</w:t>
            </w:r>
            <w:r>
              <w:rPr>
                <w:rFonts w:hint="eastAsia" w:ascii="宋体" w:hAnsi="宋体" w:cs="宋体"/>
                <w:color w:val="auto"/>
                <w:szCs w:val="21"/>
                <w:highlight w:val="none"/>
                <w:lang w:val="zh-CN"/>
              </w:rPr>
              <w:t>招标文件要求</w:t>
            </w:r>
          </w:p>
        </w:tc>
      </w:tr>
      <w:tr w14:paraId="7234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vAlign w:val="center"/>
          </w:tcPr>
          <w:p w14:paraId="6C138887">
            <w:pPr>
              <w:spacing w:line="500" w:lineRule="exact"/>
              <w:rPr>
                <w:rFonts w:ascii="宋体" w:hAnsi="宋体" w:cs="宋体"/>
                <w:color w:val="auto"/>
                <w:szCs w:val="21"/>
                <w:highlight w:val="none"/>
              </w:rPr>
            </w:pPr>
          </w:p>
        </w:tc>
        <w:tc>
          <w:tcPr>
            <w:tcW w:w="1204" w:type="dxa"/>
            <w:vMerge w:val="continue"/>
            <w:vAlign w:val="center"/>
          </w:tcPr>
          <w:p w14:paraId="5CAB1389">
            <w:pPr>
              <w:spacing w:line="500" w:lineRule="exact"/>
              <w:rPr>
                <w:rFonts w:ascii="宋体" w:hAnsi="宋体" w:cs="宋体"/>
                <w:color w:val="auto"/>
                <w:szCs w:val="21"/>
                <w:highlight w:val="none"/>
              </w:rPr>
            </w:pPr>
          </w:p>
        </w:tc>
        <w:tc>
          <w:tcPr>
            <w:tcW w:w="2931" w:type="dxa"/>
            <w:vAlign w:val="center"/>
          </w:tcPr>
          <w:p w14:paraId="60470292">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7</w:t>
            </w:r>
            <w:r>
              <w:rPr>
                <w:rFonts w:hint="eastAsia" w:ascii="宋体" w:hAnsi="宋体" w:cs="宋体"/>
                <w:color w:val="auto"/>
                <w:szCs w:val="21"/>
                <w:highlight w:val="none"/>
                <w:lang w:val="zh-CN"/>
              </w:rPr>
              <w:t>）商务条款响应程度（包括供</w:t>
            </w:r>
            <w:r>
              <w:rPr>
                <w:rFonts w:hint="eastAsia" w:ascii="宋体" w:hAnsi="宋体" w:cs="宋体"/>
                <w:color w:val="auto"/>
                <w:szCs w:val="21"/>
                <w:highlight w:val="none"/>
              </w:rPr>
              <w:t>服务</w:t>
            </w:r>
            <w:r>
              <w:rPr>
                <w:rFonts w:hint="eastAsia" w:ascii="宋体" w:hAnsi="宋体" w:cs="宋体"/>
                <w:color w:val="auto"/>
                <w:szCs w:val="21"/>
                <w:highlight w:val="none"/>
                <w:lang w:val="zh-CN"/>
              </w:rPr>
              <w:t>、售后服务、技术培训等）</w:t>
            </w:r>
          </w:p>
        </w:tc>
        <w:tc>
          <w:tcPr>
            <w:tcW w:w="4173" w:type="dxa"/>
            <w:vAlign w:val="center"/>
          </w:tcPr>
          <w:p w14:paraId="7B638663">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rPr>
              <w:t>或优于</w:t>
            </w:r>
            <w:r>
              <w:rPr>
                <w:rFonts w:hint="eastAsia" w:ascii="宋体" w:hAnsi="宋体" w:cs="宋体"/>
                <w:color w:val="auto"/>
                <w:szCs w:val="21"/>
                <w:highlight w:val="none"/>
                <w:lang w:val="zh-CN"/>
              </w:rPr>
              <w:t>招标文件要求</w:t>
            </w:r>
          </w:p>
        </w:tc>
      </w:tr>
    </w:tbl>
    <w:p w14:paraId="68CCEEB9">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4.2资格审查及评分细则中涉及的有关证明材料及相关证书，投标文件中须按招标文件要求提供。</w:t>
      </w:r>
    </w:p>
    <w:p w14:paraId="062B2F8D">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37BF9A52">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557E356B">
      <w:pPr>
        <w:spacing w:line="5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1ED5047">
      <w:pPr>
        <w:snapToGrid w:val="0"/>
        <w:spacing w:before="93" w:beforeLines="30" w:after="93" w:afterLines="30" w:line="500" w:lineRule="exact"/>
        <w:jc w:val="center"/>
        <w:outlineLvl w:val="1"/>
        <w:rPr>
          <w:rFonts w:ascii="宋体"/>
          <w:b/>
          <w:color w:val="auto"/>
          <w:sz w:val="32"/>
          <w:szCs w:val="32"/>
          <w:highlight w:val="none"/>
        </w:rPr>
      </w:pPr>
      <w:bookmarkStart w:id="59" w:name="_Toc362983803"/>
      <w:bookmarkStart w:id="60" w:name="_Toc58430319"/>
      <w:bookmarkStart w:id="61" w:name="_Toc449028879"/>
      <w:r>
        <w:rPr>
          <w:rFonts w:hint="eastAsia" w:ascii="宋体"/>
          <w:b/>
          <w:color w:val="auto"/>
          <w:sz w:val="32"/>
          <w:szCs w:val="32"/>
          <w:highlight w:val="none"/>
        </w:rPr>
        <w:t>三、投标文件的澄清和补正</w:t>
      </w:r>
      <w:bookmarkEnd w:id="59"/>
      <w:bookmarkEnd w:id="60"/>
      <w:bookmarkEnd w:id="61"/>
    </w:p>
    <w:p w14:paraId="73C74B4E">
      <w:pPr>
        <w:spacing w:line="500" w:lineRule="exact"/>
        <w:ind w:firstLine="525" w:firstLineChars="250"/>
        <w:jc w:val="left"/>
        <w:rPr>
          <w:rFonts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A7CBD10">
      <w:pPr>
        <w:spacing w:line="500" w:lineRule="exact"/>
        <w:ind w:firstLine="525" w:firstLineChars="250"/>
        <w:jc w:val="left"/>
        <w:rPr>
          <w:rFonts w:ascii="宋体"/>
          <w:color w:val="auto"/>
          <w:szCs w:val="21"/>
          <w:highlight w:val="none"/>
        </w:rPr>
      </w:pPr>
      <w:r>
        <w:rPr>
          <w:rFonts w:hint="eastAsia" w:ascii="宋体"/>
          <w:color w:val="auto"/>
          <w:szCs w:val="21"/>
          <w:highlight w:val="none"/>
        </w:rPr>
        <w:t>5.2投标人的澄清、说明或者补正应当在现场进行，但不得超出投标文件的范围或者改变投标文件的实质性内容。</w:t>
      </w:r>
    </w:p>
    <w:p w14:paraId="0F8BFB34">
      <w:pPr>
        <w:snapToGrid w:val="0"/>
        <w:spacing w:before="93" w:beforeLines="30" w:after="93" w:afterLines="30" w:line="500" w:lineRule="exact"/>
        <w:jc w:val="center"/>
        <w:outlineLvl w:val="1"/>
        <w:rPr>
          <w:rFonts w:ascii="宋体"/>
          <w:b/>
          <w:color w:val="auto"/>
          <w:sz w:val="32"/>
          <w:szCs w:val="32"/>
          <w:highlight w:val="none"/>
        </w:rPr>
      </w:pPr>
      <w:bookmarkStart w:id="62" w:name="_Toc449028880"/>
      <w:bookmarkStart w:id="63" w:name="_Toc58430320"/>
      <w:r>
        <w:rPr>
          <w:rFonts w:hint="eastAsia" w:ascii="宋体"/>
          <w:b/>
          <w:color w:val="auto"/>
          <w:sz w:val="32"/>
          <w:szCs w:val="32"/>
          <w:highlight w:val="none"/>
        </w:rPr>
        <w:t>四、比较与评价</w:t>
      </w:r>
      <w:bookmarkEnd w:id="62"/>
      <w:bookmarkEnd w:id="63"/>
    </w:p>
    <w:p w14:paraId="02CC5512">
      <w:pPr>
        <w:spacing w:line="5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64" w:name="_Toc362983805"/>
      <w:r>
        <w:rPr>
          <w:rFonts w:hint="eastAsia" w:ascii="宋体" w:hAnsi="宋体" w:cs="宋体"/>
          <w:b/>
          <w:color w:val="auto"/>
          <w:szCs w:val="21"/>
          <w:highlight w:val="none"/>
        </w:rPr>
        <w:t xml:space="preserve"> 详细评审即按招标文件中规定的评标方法和标准，评标委员会将对通过初审的投标文件，进行技术和商务部分评估、综合比较与评价。</w:t>
      </w:r>
    </w:p>
    <w:p w14:paraId="2D6EEC6C">
      <w:pPr>
        <w:pStyle w:val="36"/>
        <w:spacing w:after="0" w:line="500" w:lineRule="exact"/>
        <w:ind w:firstLine="210"/>
        <w:rPr>
          <w:rFonts w:ascii="宋体" w:hAnsi="宋体" w:cs="宋体"/>
          <w:color w:val="auto"/>
          <w:szCs w:val="21"/>
          <w:highlight w:val="none"/>
        </w:rPr>
      </w:pPr>
      <w:r>
        <w:rPr>
          <w:rFonts w:hint="eastAsia" w:ascii="宋体" w:hAnsi="宋体" w:cs="宋体"/>
          <w:color w:val="auto"/>
          <w:szCs w:val="21"/>
          <w:highlight w:val="none"/>
        </w:rPr>
        <w:t>6.1技术标评分细则（80分）</w:t>
      </w:r>
    </w:p>
    <w:tbl>
      <w:tblPr>
        <w:tblStyle w:val="37"/>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21"/>
        <w:gridCol w:w="7463"/>
      </w:tblGrid>
      <w:tr w14:paraId="136D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44AC539D">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21" w:type="dxa"/>
            <w:tcBorders>
              <w:top w:val="single" w:color="auto" w:sz="4" w:space="0"/>
              <w:left w:val="single" w:color="auto" w:sz="4" w:space="0"/>
              <w:bottom w:val="single" w:color="auto" w:sz="4" w:space="0"/>
              <w:right w:val="single" w:color="auto" w:sz="4" w:space="0"/>
            </w:tcBorders>
            <w:vAlign w:val="center"/>
          </w:tcPr>
          <w:p w14:paraId="7064292F">
            <w:pPr>
              <w:jc w:val="center"/>
              <w:rPr>
                <w:rFonts w:ascii="宋体" w:hAnsi="宋体" w:cs="宋体"/>
                <w:b/>
                <w:bCs/>
                <w:color w:val="auto"/>
                <w:szCs w:val="21"/>
                <w:highlight w:val="none"/>
              </w:rPr>
            </w:pPr>
            <w:r>
              <w:rPr>
                <w:rFonts w:hint="eastAsia" w:ascii="宋体" w:hAnsi="宋体" w:cs="宋体"/>
                <w:b/>
                <w:bCs/>
                <w:color w:val="auto"/>
                <w:szCs w:val="21"/>
                <w:highlight w:val="none"/>
              </w:rPr>
              <w:t>评审项目</w:t>
            </w:r>
          </w:p>
        </w:tc>
        <w:tc>
          <w:tcPr>
            <w:tcW w:w="7463" w:type="dxa"/>
            <w:tcBorders>
              <w:top w:val="single" w:color="auto" w:sz="4" w:space="0"/>
              <w:left w:val="single" w:color="auto" w:sz="4" w:space="0"/>
              <w:bottom w:val="single" w:color="auto" w:sz="4" w:space="0"/>
              <w:right w:val="single" w:color="auto" w:sz="4" w:space="0"/>
            </w:tcBorders>
            <w:vAlign w:val="center"/>
          </w:tcPr>
          <w:p w14:paraId="3FEFF8E0">
            <w:pPr>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1B4A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66D20E7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1" w:type="dxa"/>
            <w:tcBorders>
              <w:top w:val="single" w:color="auto" w:sz="4" w:space="0"/>
              <w:left w:val="single" w:color="auto" w:sz="4" w:space="0"/>
              <w:bottom w:val="single" w:color="auto" w:sz="4" w:space="0"/>
              <w:right w:val="single" w:color="auto" w:sz="4" w:space="0"/>
            </w:tcBorders>
            <w:vAlign w:val="center"/>
          </w:tcPr>
          <w:p w14:paraId="6B1103A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人员资质（10分）</w:t>
            </w:r>
          </w:p>
        </w:tc>
        <w:tc>
          <w:tcPr>
            <w:tcW w:w="7463" w:type="dxa"/>
            <w:tcBorders>
              <w:top w:val="single" w:color="auto" w:sz="4" w:space="0"/>
              <w:left w:val="single" w:color="auto" w:sz="4" w:space="0"/>
              <w:bottom w:val="single" w:color="auto" w:sz="4" w:space="0"/>
              <w:right w:val="single" w:color="auto" w:sz="4" w:space="0"/>
            </w:tcBorders>
            <w:vAlign w:val="center"/>
          </w:tcPr>
          <w:p w14:paraId="5C979C60">
            <w:pPr>
              <w:tabs>
                <w:tab w:val="left" w:pos="1080"/>
              </w:tabs>
              <w:spacing w:line="360" w:lineRule="auto"/>
              <w:ind w:right="108" w:firstLine="210"/>
              <w:rPr>
                <w:color w:val="auto"/>
                <w:highlight w:val="none"/>
              </w:rPr>
            </w:pPr>
            <w:r>
              <w:rPr>
                <w:rFonts w:hint="eastAsia"/>
                <w:color w:val="auto"/>
                <w:highlight w:val="none"/>
              </w:rPr>
              <w:t>在项目实施地范围内设有经营场所，需提供经营场所产权证明或租赁协议复印件作为佐证材料投标人，企业对公账户证明材料、无违法犯罪纪律承诺书（格式自拟）、用工合同等，由评标委员会进行综合打分：</w:t>
            </w:r>
          </w:p>
          <w:p w14:paraId="1510A19A">
            <w:pPr>
              <w:tabs>
                <w:tab w:val="left" w:pos="1080"/>
              </w:tabs>
              <w:spacing w:line="360" w:lineRule="auto"/>
              <w:ind w:right="108" w:firstLine="210"/>
              <w:rPr>
                <w:color w:val="auto"/>
                <w:highlight w:val="none"/>
              </w:rPr>
            </w:pPr>
            <w:r>
              <w:rPr>
                <w:rFonts w:hint="eastAsia" w:ascii="宋体" w:hAnsi="宋体" w:cs="宋体"/>
                <w:color w:val="auto"/>
                <w:szCs w:val="21"/>
                <w:highlight w:val="none"/>
              </w:rPr>
              <w:t>优秀的得</w:t>
            </w:r>
            <w:r>
              <w:rPr>
                <w:rFonts w:hint="eastAsia" w:ascii="宋体" w:hAnsi="宋体"/>
                <w:color w:val="auto"/>
                <w:szCs w:val="21"/>
                <w:highlight w:val="none"/>
              </w:rPr>
              <w:t>7＜F≤10</w:t>
            </w:r>
            <w:r>
              <w:rPr>
                <w:rFonts w:hint="eastAsia" w:ascii="宋体" w:hAnsi="宋体" w:cs="宋体"/>
                <w:color w:val="auto"/>
                <w:szCs w:val="21"/>
                <w:highlight w:val="none"/>
              </w:rPr>
              <w:t>分，良好的得</w:t>
            </w:r>
            <w:r>
              <w:rPr>
                <w:rFonts w:ascii="宋体" w:hAnsi="宋体"/>
                <w:color w:val="auto"/>
                <w:szCs w:val="21"/>
                <w:highlight w:val="none"/>
              </w:rPr>
              <w:t>3</w:t>
            </w:r>
            <w:r>
              <w:rPr>
                <w:rFonts w:hint="eastAsia" w:ascii="宋体" w:hAnsi="宋体"/>
                <w:color w:val="auto"/>
                <w:szCs w:val="21"/>
                <w:highlight w:val="none"/>
              </w:rPr>
              <w:t>＜F≤</w:t>
            </w:r>
            <w:r>
              <w:rPr>
                <w:rFonts w:ascii="宋体" w:hAnsi="宋体"/>
                <w:color w:val="auto"/>
                <w:szCs w:val="21"/>
                <w:highlight w:val="none"/>
              </w:rPr>
              <w:t>7</w:t>
            </w:r>
            <w:r>
              <w:rPr>
                <w:rFonts w:hint="eastAsia" w:ascii="宋体" w:hAnsi="宋体" w:cs="宋体"/>
                <w:color w:val="auto"/>
                <w:szCs w:val="21"/>
                <w:highlight w:val="none"/>
              </w:rPr>
              <w:t>分，一般的得</w:t>
            </w:r>
            <w:r>
              <w:rPr>
                <w:rFonts w:ascii="宋体" w:hAnsi="宋体"/>
                <w:color w:val="auto"/>
                <w:szCs w:val="21"/>
                <w:highlight w:val="none"/>
              </w:rPr>
              <w:t>0</w:t>
            </w:r>
            <w:r>
              <w:rPr>
                <w:rFonts w:hint="eastAsia" w:ascii="宋体" w:hAnsi="宋体"/>
                <w:color w:val="auto"/>
                <w:szCs w:val="21"/>
                <w:highlight w:val="none"/>
              </w:rPr>
              <w:t>＜F≤</w:t>
            </w:r>
            <w:r>
              <w:rPr>
                <w:rFonts w:ascii="宋体" w:hAnsi="宋体"/>
                <w:color w:val="auto"/>
                <w:szCs w:val="21"/>
                <w:highlight w:val="none"/>
              </w:rPr>
              <w:t>3</w:t>
            </w:r>
            <w:r>
              <w:rPr>
                <w:rFonts w:hint="eastAsia" w:ascii="宋体" w:hAnsi="宋体" w:cs="宋体"/>
                <w:color w:val="auto"/>
                <w:szCs w:val="21"/>
                <w:highlight w:val="none"/>
              </w:rPr>
              <w:t>分，未提供或不符合实际的不得分。</w:t>
            </w:r>
          </w:p>
        </w:tc>
      </w:tr>
      <w:tr w14:paraId="1AD1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09C8B1E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1" w:type="dxa"/>
            <w:tcBorders>
              <w:top w:val="single" w:color="auto" w:sz="4" w:space="0"/>
              <w:left w:val="single" w:color="auto" w:sz="4" w:space="0"/>
              <w:bottom w:val="single" w:color="auto" w:sz="4" w:space="0"/>
              <w:right w:val="single" w:color="auto" w:sz="4" w:space="0"/>
            </w:tcBorders>
            <w:vAlign w:val="center"/>
          </w:tcPr>
          <w:p w14:paraId="27719DA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服务方案（10分）</w:t>
            </w:r>
          </w:p>
        </w:tc>
        <w:tc>
          <w:tcPr>
            <w:tcW w:w="7463" w:type="dxa"/>
            <w:tcBorders>
              <w:top w:val="single" w:color="auto" w:sz="4" w:space="0"/>
              <w:left w:val="single" w:color="auto" w:sz="4" w:space="0"/>
              <w:bottom w:val="single" w:color="auto" w:sz="4" w:space="0"/>
              <w:right w:val="single" w:color="auto" w:sz="4" w:space="0"/>
            </w:tcBorders>
            <w:vAlign w:val="center"/>
          </w:tcPr>
          <w:p w14:paraId="05283EF9">
            <w:pPr>
              <w:tabs>
                <w:tab w:val="left" w:pos="1080"/>
              </w:tabs>
              <w:spacing w:line="360" w:lineRule="auto"/>
              <w:ind w:right="108" w:firstLine="210"/>
              <w:rPr>
                <w:color w:val="auto"/>
                <w:highlight w:val="none"/>
              </w:rPr>
            </w:pPr>
            <w:r>
              <w:rPr>
                <w:rFonts w:hint="eastAsia"/>
                <w:color w:val="auto"/>
                <w:highlight w:val="none"/>
              </w:rPr>
              <w:t>投标人针对本项目提供服务方案，包括但不限于整体服务思路、服务流程、排班值守、卫生消杀、造型服务、巡回应急保障、投诉处理、现场管理内容等，由评标委员会根据服务方案内容进行综合打分：</w:t>
            </w:r>
          </w:p>
          <w:p w14:paraId="77B2F614">
            <w:pPr>
              <w:tabs>
                <w:tab w:val="left" w:pos="1080"/>
              </w:tabs>
              <w:spacing w:line="360" w:lineRule="auto"/>
              <w:ind w:right="108" w:firstLine="420" w:firstLineChars="200"/>
              <w:rPr>
                <w:color w:val="auto"/>
                <w:highlight w:val="none"/>
              </w:rPr>
            </w:pPr>
            <w:r>
              <w:rPr>
                <w:rFonts w:hint="eastAsia" w:ascii="宋体" w:hAnsi="宋体" w:cs="宋体"/>
                <w:color w:val="auto"/>
                <w:szCs w:val="21"/>
                <w:highlight w:val="none"/>
              </w:rPr>
              <w:t>优秀的得</w:t>
            </w:r>
            <w:r>
              <w:rPr>
                <w:rFonts w:hint="eastAsia" w:ascii="宋体" w:hAnsi="宋体"/>
                <w:color w:val="auto"/>
                <w:szCs w:val="21"/>
                <w:highlight w:val="none"/>
              </w:rPr>
              <w:t>7＜F≤10</w:t>
            </w:r>
            <w:r>
              <w:rPr>
                <w:rFonts w:hint="eastAsia" w:ascii="宋体" w:hAnsi="宋体" w:cs="宋体"/>
                <w:color w:val="auto"/>
                <w:szCs w:val="21"/>
                <w:highlight w:val="none"/>
              </w:rPr>
              <w:t>分，良好的得</w:t>
            </w:r>
            <w:r>
              <w:rPr>
                <w:rFonts w:ascii="宋体" w:hAnsi="宋体"/>
                <w:color w:val="auto"/>
                <w:szCs w:val="21"/>
                <w:highlight w:val="none"/>
              </w:rPr>
              <w:t>3</w:t>
            </w:r>
            <w:r>
              <w:rPr>
                <w:rFonts w:hint="eastAsia" w:ascii="宋体" w:hAnsi="宋体"/>
                <w:color w:val="auto"/>
                <w:szCs w:val="21"/>
                <w:highlight w:val="none"/>
              </w:rPr>
              <w:t>＜F≤</w:t>
            </w:r>
            <w:r>
              <w:rPr>
                <w:rFonts w:ascii="宋体" w:hAnsi="宋体"/>
                <w:color w:val="auto"/>
                <w:szCs w:val="21"/>
                <w:highlight w:val="none"/>
              </w:rPr>
              <w:t>7</w:t>
            </w:r>
            <w:r>
              <w:rPr>
                <w:rFonts w:hint="eastAsia" w:ascii="宋体" w:hAnsi="宋体" w:cs="宋体"/>
                <w:color w:val="auto"/>
                <w:szCs w:val="21"/>
                <w:highlight w:val="none"/>
              </w:rPr>
              <w:t>分，一般的得</w:t>
            </w:r>
            <w:r>
              <w:rPr>
                <w:rFonts w:ascii="宋体" w:hAnsi="宋体"/>
                <w:color w:val="auto"/>
                <w:szCs w:val="21"/>
                <w:highlight w:val="none"/>
              </w:rPr>
              <w:t>0</w:t>
            </w:r>
            <w:r>
              <w:rPr>
                <w:rFonts w:hint="eastAsia" w:ascii="宋体" w:hAnsi="宋体"/>
                <w:color w:val="auto"/>
                <w:szCs w:val="21"/>
                <w:highlight w:val="none"/>
              </w:rPr>
              <w:t>＜F≤</w:t>
            </w:r>
            <w:r>
              <w:rPr>
                <w:rFonts w:ascii="宋体" w:hAnsi="宋体"/>
                <w:color w:val="auto"/>
                <w:szCs w:val="21"/>
                <w:highlight w:val="none"/>
              </w:rPr>
              <w:t>3</w:t>
            </w:r>
            <w:r>
              <w:rPr>
                <w:rFonts w:hint="eastAsia" w:ascii="宋体" w:hAnsi="宋体" w:cs="宋体"/>
                <w:color w:val="auto"/>
                <w:szCs w:val="21"/>
                <w:highlight w:val="none"/>
              </w:rPr>
              <w:t>分，未提供或不符合实际的不得分。</w:t>
            </w:r>
          </w:p>
        </w:tc>
      </w:tr>
      <w:tr w14:paraId="5D36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743A374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1" w:type="dxa"/>
            <w:tcBorders>
              <w:top w:val="single" w:color="auto" w:sz="4" w:space="0"/>
              <w:left w:val="single" w:color="auto" w:sz="4" w:space="0"/>
              <w:bottom w:val="single" w:color="auto" w:sz="4" w:space="0"/>
              <w:right w:val="single" w:color="auto" w:sz="4" w:space="0"/>
            </w:tcBorders>
            <w:vAlign w:val="center"/>
          </w:tcPr>
          <w:p w14:paraId="679200D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增值服务（30分）</w:t>
            </w:r>
          </w:p>
        </w:tc>
        <w:tc>
          <w:tcPr>
            <w:tcW w:w="7463" w:type="dxa"/>
            <w:tcBorders>
              <w:top w:val="single" w:color="auto" w:sz="4" w:space="0"/>
              <w:left w:val="single" w:color="auto" w:sz="4" w:space="0"/>
              <w:bottom w:val="single" w:color="auto" w:sz="4" w:space="0"/>
              <w:right w:val="single" w:color="auto" w:sz="4" w:space="0"/>
            </w:tcBorders>
            <w:vAlign w:val="center"/>
          </w:tcPr>
          <w:p w14:paraId="0252340D">
            <w:pPr>
              <w:tabs>
                <w:tab w:val="left" w:pos="1080"/>
              </w:tabs>
              <w:spacing w:line="360" w:lineRule="auto"/>
              <w:ind w:right="108" w:firstLine="210"/>
              <w:rPr>
                <w:color w:val="auto"/>
                <w:highlight w:val="none"/>
              </w:rPr>
            </w:pPr>
            <w:r>
              <w:rPr>
                <w:rFonts w:hint="eastAsia"/>
                <w:color w:val="auto"/>
                <w:highlight w:val="none"/>
              </w:rPr>
              <w:t>投标人针对本项目提供的增值服务，包括但不限于：</w:t>
            </w:r>
          </w:p>
          <w:p w14:paraId="55FD2FE3">
            <w:pPr>
              <w:widowControl/>
              <w:spacing w:line="360" w:lineRule="auto"/>
              <w:jc w:val="left"/>
              <w:rPr>
                <w:color w:val="auto"/>
                <w:highlight w:val="none"/>
              </w:rPr>
            </w:pPr>
            <w:r>
              <w:rPr>
                <w:rFonts w:hint="eastAsia" w:asciiTheme="minorEastAsia" w:hAnsiTheme="minorEastAsia" w:eastAsiaTheme="minorEastAsia" w:cstheme="minorEastAsia"/>
                <w:color w:val="auto"/>
                <w:kern w:val="0"/>
                <w:szCs w:val="21"/>
                <w:highlight w:val="none"/>
                <w:lang w:bidi="ar"/>
              </w:rPr>
              <w:t>1针对女性工作人员每年提供1次免费头发柔顺或拉直服务（</w:t>
            </w:r>
            <w:r>
              <w:rPr>
                <w:rFonts w:hint="eastAsia" w:asciiTheme="minorEastAsia" w:hAnsiTheme="minorEastAsia" w:eastAsiaTheme="minorEastAsia" w:cstheme="minorEastAsia"/>
                <w:color w:val="auto"/>
                <w:kern w:val="0"/>
                <w:szCs w:val="21"/>
                <w:highlight w:val="none"/>
                <w:lang w:val="en-US" w:eastAsia="zh-CN" w:bidi="ar"/>
              </w:rPr>
              <w:t>2</w:t>
            </w:r>
            <w:r>
              <w:rPr>
                <w:rFonts w:hint="eastAsia" w:asciiTheme="minorEastAsia" w:hAnsiTheme="minorEastAsia" w:eastAsiaTheme="minorEastAsia" w:cstheme="minorEastAsia"/>
                <w:color w:val="auto"/>
                <w:kern w:val="0"/>
                <w:szCs w:val="21"/>
                <w:highlight w:val="none"/>
                <w:lang w:bidi="ar"/>
              </w:rPr>
              <w:t>分）；</w:t>
            </w:r>
          </w:p>
          <w:p w14:paraId="1BCD3FB1">
            <w:pPr>
              <w:widowControl/>
              <w:spacing w:line="360" w:lineRule="auto"/>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2免费提供头皮健康护理、去屑、防脱护理（一次2分，最多不超6分）；</w:t>
            </w:r>
          </w:p>
          <w:p w14:paraId="327E2E38">
            <w:pPr>
              <w:widowControl/>
              <w:spacing w:line="360" w:lineRule="auto"/>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3每年提供1次精细化造型遮盖白发，无彩色染发；（3分）</w:t>
            </w:r>
          </w:p>
          <w:p w14:paraId="4D965409">
            <w:pPr>
              <w:widowControl/>
              <w:spacing w:line="360" w:lineRule="auto"/>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4免费升级高标准消杀、一次性耗材升级，提升卫生保障标准；（5分）</w:t>
            </w:r>
          </w:p>
          <w:p w14:paraId="5BD12E25">
            <w:pPr>
              <w:pStyle w:val="2"/>
              <w:numPr>
                <w:ilvl w:val="0"/>
                <w:numId w:val="0"/>
              </w:numPr>
              <w:ind w:leftChars="0"/>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val="en-US" w:eastAsia="zh-CN" w:bidi="ar"/>
              </w:rPr>
              <w:t>5</w:t>
            </w:r>
            <w:r>
              <w:rPr>
                <w:rFonts w:hint="eastAsia" w:asciiTheme="minorEastAsia" w:hAnsiTheme="minorEastAsia" w:eastAsiaTheme="minorEastAsia" w:cstheme="minorEastAsia"/>
                <w:color w:val="auto"/>
                <w:kern w:val="0"/>
                <w:szCs w:val="21"/>
                <w:highlight w:val="none"/>
                <w:lang w:bidi="ar"/>
              </w:rPr>
              <w:t>免费修眉、刮鬓角、刮胡子、热毛巾敷脸、肩颈热敷；（</w:t>
            </w:r>
            <w:r>
              <w:rPr>
                <w:rFonts w:hint="eastAsia" w:asciiTheme="minorEastAsia" w:hAnsiTheme="minorEastAsia" w:eastAsiaTheme="minorEastAsia" w:cstheme="minorEastAsia"/>
                <w:color w:val="auto"/>
                <w:kern w:val="0"/>
                <w:szCs w:val="21"/>
                <w:highlight w:val="none"/>
                <w:lang w:val="en-US" w:eastAsia="zh-CN" w:bidi="ar"/>
              </w:rPr>
              <w:t>4</w:t>
            </w:r>
            <w:r>
              <w:rPr>
                <w:rFonts w:hint="eastAsia" w:asciiTheme="minorEastAsia" w:hAnsiTheme="minorEastAsia" w:eastAsiaTheme="minorEastAsia" w:cstheme="minorEastAsia"/>
                <w:color w:val="auto"/>
                <w:kern w:val="0"/>
                <w:szCs w:val="21"/>
                <w:highlight w:val="none"/>
                <w:lang w:bidi="ar"/>
              </w:rPr>
              <w:t>分）</w:t>
            </w:r>
          </w:p>
          <w:p w14:paraId="01C04C91">
            <w:pPr>
              <w:numPr>
                <w:ilvl w:val="0"/>
                <w:numId w:val="0"/>
              </w:numPr>
              <w:rPr>
                <w:color w:val="auto"/>
                <w:highlight w:val="none"/>
              </w:rPr>
            </w:pPr>
            <w:r>
              <w:rPr>
                <w:rFonts w:hint="eastAsia"/>
                <w:color w:val="auto"/>
                <w:highlight w:val="none"/>
                <w:lang w:val="en-US" w:eastAsia="zh-CN"/>
              </w:rPr>
              <w:t>6</w:t>
            </w:r>
            <w:r>
              <w:rPr>
                <w:rFonts w:hint="eastAsia"/>
                <w:color w:val="auto"/>
                <w:highlight w:val="none"/>
              </w:rPr>
              <w:t>每增加一项2.5分，最多4项。</w:t>
            </w:r>
          </w:p>
          <w:p w14:paraId="0B8FD27D">
            <w:pPr>
              <w:tabs>
                <w:tab w:val="left" w:pos="1080"/>
              </w:tabs>
              <w:spacing w:line="360" w:lineRule="auto"/>
              <w:ind w:right="108" w:firstLine="210"/>
              <w:rPr>
                <w:rFonts w:hint="eastAsia" w:eastAsia="宋体"/>
                <w:color w:val="auto"/>
                <w:highlight w:val="none"/>
                <w:lang w:eastAsia="zh-CN"/>
              </w:rPr>
            </w:pPr>
            <w:r>
              <w:rPr>
                <w:rFonts w:hint="eastAsia"/>
                <w:color w:val="auto"/>
                <w:highlight w:val="none"/>
              </w:rPr>
              <w:t>由评标委员会根据</w:t>
            </w:r>
            <w:r>
              <w:rPr>
                <w:rFonts w:hint="eastAsia"/>
                <w:color w:val="auto"/>
                <w:highlight w:val="none"/>
                <w:lang w:val="en-US" w:eastAsia="zh-CN"/>
              </w:rPr>
              <w:t>以上</w:t>
            </w:r>
            <w:r>
              <w:rPr>
                <w:rFonts w:hint="eastAsia" w:ascii="宋体" w:hAnsi="宋体" w:cs="宋体"/>
                <w:color w:val="auto"/>
                <w:szCs w:val="21"/>
                <w:highlight w:val="none"/>
              </w:rPr>
              <w:t>增值服务</w:t>
            </w:r>
            <w:r>
              <w:rPr>
                <w:rFonts w:hint="eastAsia"/>
                <w:color w:val="auto"/>
                <w:highlight w:val="none"/>
              </w:rPr>
              <w:t>内容进行综合</w:t>
            </w:r>
            <w:r>
              <w:rPr>
                <w:rFonts w:hint="eastAsia"/>
                <w:color w:val="auto"/>
                <w:highlight w:val="none"/>
                <w:lang w:val="en-US" w:eastAsia="zh-CN"/>
              </w:rPr>
              <w:t>评分。</w:t>
            </w:r>
          </w:p>
        </w:tc>
      </w:tr>
      <w:tr w14:paraId="2FD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14:paraId="6F83C63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1221" w:type="dxa"/>
            <w:tcBorders>
              <w:top w:val="single" w:color="auto" w:sz="4" w:space="0"/>
              <w:left w:val="single" w:color="auto" w:sz="4" w:space="0"/>
              <w:bottom w:val="single" w:color="auto" w:sz="4" w:space="0"/>
              <w:right w:val="single" w:color="auto" w:sz="4" w:space="0"/>
            </w:tcBorders>
            <w:vAlign w:val="center"/>
          </w:tcPr>
          <w:p w14:paraId="122992ED">
            <w:pPr>
              <w:adjustRightInd w:val="0"/>
              <w:snapToGrid w:val="0"/>
              <w:jc w:val="center"/>
              <w:rPr>
                <w:rFonts w:ascii="宋体" w:hAnsi="宋体" w:cs="宋体"/>
                <w:color w:val="auto"/>
                <w:szCs w:val="21"/>
                <w:highlight w:val="none"/>
                <w:lang w:val="en"/>
              </w:rPr>
            </w:pPr>
            <w:r>
              <w:rPr>
                <w:rFonts w:hint="eastAsia" w:ascii="宋体" w:hAnsi="宋体" w:cs="宋体"/>
                <w:color w:val="auto"/>
                <w:szCs w:val="21"/>
                <w:highlight w:val="none"/>
                <w:lang w:val="en"/>
              </w:rPr>
              <w:t>现场方案论述</w:t>
            </w:r>
          </w:p>
          <w:p w14:paraId="4B7B060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
              </w:rPr>
              <w:t>（</w:t>
            </w:r>
            <w:r>
              <w:rPr>
                <w:rFonts w:hint="eastAsia" w:ascii="宋体" w:hAnsi="宋体" w:cs="宋体"/>
                <w:color w:val="auto"/>
                <w:szCs w:val="21"/>
                <w:highlight w:val="none"/>
              </w:rPr>
              <w:t>30分</w:t>
            </w:r>
            <w:r>
              <w:rPr>
                <w:rFonts w:hint="eastAsia" w:ascii="宋体" w:hAnsi="宋体" w:cs="宋体"/>
                <w:color w:val="auto"/>
                <w:szCs w:val="21"/>
                <w:highlight w:val="none"/>
                <w:lang w:val="en"/>
              </w:rPr>
              <w:t>）</w:t>
            </w:r>
          </w:p>
        </w:tc>
        <w:tc>
          <w:tcPr>
            <w:tcW w:w="7463" w:type="dxa"/>
            <w:tcBorders>
              <w:top w:val="single" w:color="auto" w:sz="4" w:space="0"/>
              <w:left w:val="single" w:color="auto" w:sz="4" w:space="0"/>
              <w:bottom w:val="single" w:color="auto" w:sz="4" w:space="0"/>
              <w:right w:val="single" w:color="auto" w:sz="4" w:space="0"/>
            </w:tcBorders>
            <w:vAlign w:val="center"/>
          </w:tcPr>
          <w:p w14:paraId="389F3096">
            <w:pPr>
              <w:adjustRightInd w:val="0"/>
              <w:snapToGrid w:val="0"/>
              <w:spacing w:line="460" w:lineRule="exact"/>
              <w:jc w:val="left"/>
              <w:rPr>
                <w:b/>
                <w:bCs/>
                <w:color w:val="auto"/>
                <w:highlight w:val="none"/>
              </w:rPr>
            </w:pPr>
            <w:r>
              <w:rPr>
                <w:rFonts w:hint="eastAsia" w:ascii="宋体" w:hAnsi="宋体"/>
                <w:b/>
                <w:bCs/>
                <w:color w:val="auto"/>
                <w:szCs w:val="21"/>
                <w:highlight w:val="none"/>
              </w:rPr>
              <w:t>民警自主投票评分细则：</w:t>
            </w:r>
          </w:p>
          <w:p w14:paraId="6FF00793">
            <w:pPr>
              <w:adjustRightInd w:val="0"/>
              <w:snapToGrid w:val="0"/>
              <w:spacing w:line="460" w:lineRule="exact"/>
              <w:jc w:val="left"/>
              <w:rPr>
                <w:color w:val="auto"/>
                <w:highlight w:val="none"/>
              </w:rPr>
            </w:pPr>
            <w:r>
              <w:rPr>
                <w:rFonts w:hint="eastAsia"/>
                <w:color w:val="auto"/>
                <w:highlight w:val="none"/>
              </w:rPr>
              <w:t>1.通过资格审核及符合性审查的有效投标人，须在开标现场进行方案汇报，汇报主要内容为针对本项目的理发服务方案、惠警服务方案等内容，每人限定5分钟。此项分值由招标人各部门人员派出代表对所有参与投标的合格企业进行现场投票。</w:t>
            </w:r>
          </w:p>
          <w:p w14:paraId="387E4D7B">
            <w:pPr>
              <w:tabs>
                <w:tab w:val="left" w:pos="1080"/>
              </w:tabs>
              <w:spacing w:line="360" w:lineRule="auto"/>
              <w:ind w:right="108" w:firstLine="210"/>
              <w:rPr>
                <w:rFonts w:ascii="宋体" w:hAnsi="宋体" w:cs="宋体"/>
                <w:color w:val="auto"/>
                <w:szCs w:val="21"/>
                <w:highlight w:val="none"/>
              </w:rPr>
            </w:pPr>
            <w:r>
              <w:rPr>
                <w:rFonts w:hint="eastAsia"/>
                <w:color w:val="auto"/>
                <w:highlight w:val="none"/>
              </w:rPr>
              <w:t>2、具体得分计算方式为（所得票数/总票数）*30分</w:t>
            </w:r>
          </w:p>
        </w:tc>
      </w:tr>
    </w:tbl>
    <w:p w14:paraId="6B57D3B6">
      <w:pPr>
        <w:pStyle w:val="36"/>
        <w:spacing w:after="0" w:line="50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注：取所有评委分值的算术平均值作为投标的技术分值。</w:t>
      </w:r>
    </w:p>
    <w:p w14:paraId="6B23CE7B">
      <w:pPr>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6.2商务标评审细则（20分）</w:t>
      </w:r>
    </w:p>
    <w:tbl>
      <w:tblPr>
        <w:tblStyle w:val="3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046"/>
        <w:gridCol w:w="1785"/>
        <w:gridCol w:w="6178"/>
      </w:tblGrid>
      <w:tr w14:paraId="00CD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27" w:type="dxa"/>
            <w:gridSpan w:val="2"/>
            <w:vAlign w:val="center"/>
          </w:tcPr>
          <w:p w14:paraId="77FEFE07">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785" w:type="dxa"/>
            <w:vAlign w:val="center"/>
          </w:tcPr>
          <w:p w14:paraId="648F2C92">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6178" w:type="dxa"/>
            <w:vAlign w:val="center"/>
          </w:tcPr>
          <w:p w14:paraId="020B2751">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4DC2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vAlign w:val="center"/>
          </w:tcPr>
          <w:p w14:paraId="3A9ED529">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.2.1</w:t>
            </w:r>
          </w:p>
        </w:tc>
        <w:tc>
          <w:tcPr>
            <w:tcW w:w="1046" w:type="dxa"/>
            <w:vMerge w:val="restart"/>
            <w:vAlign w:val="center"/>
          </w:tcPr>
          <w:p w14:paraId="2928E9C5">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785" w:type="dxa"/>
            <w:vAlign w:val="center"/>
          </w:tcPr>
          <w:p w14:paraId="080F5AC1">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投标函签字盖章</w:t>
            </w:r>
          </w:p>
        </w:tc>
        <w:tc>
          <w:tcPr>
            <w:tcW w:w="6178" w:type="dxa"/>
            <w:vAlign w:val="center"/>
          </w:tcPr>
          <w:p w14:paraId="14D2F6E5">
            <w:pPr>
              <w:adjustRightInd w:val="0"/>
              <w:snapToGrid w:val="0"/>
              <w:spacing w:line="4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4C9A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vAlign w:val="center"/>
          </w:tcPr>
          <w:p w14:paraId="4A1DE6E2">
            <w:pPr>
              <w:widowControl/>
              <w:adjustRightInd w:val="0"/>
              <w:snapToGrid w:val="0"/>
              <w:spacing w:line="460" w:lineRule="exact"/>
              <w:jc w:val="left"/>
              <w:rPr>
                <w:rFonts w:ascii="宋体" w:hAnsi="宋体"/>
                <w:color w:val="auto"/>
                <w:szCs w:val="21"/>
                <w:highlight w:val="none"/>
              </w:rPr>
            </w:pPr>
          </w:p>
        </w:tc>
        <w:tc>
          <w:tcPr>
            <w:tcW w:w="1046" w:type="dxa"/>
            <w:vMerge w:val="continue"/>
            <w:vAlign w:val="center"/>
          </w:tcPr>
          <w:p w14:paraId="0F7878E7">
            <w:pPr>
              <w:widowControl/>
              <w:adjustRightInd w:val="0"/>
              <w:snapToGrid w:val="0"/>
              <w:spacing w:line="460" w:lineRule="exact"/>
              <w:jc w:val="center"/>
              <w:rPr>
                <w:rFonts w:ascii="宋体" w:hAnsi="宋体"/>
                <w:color w:val="auto"/>
                <w:szCs w:val="21"/>
                <w:highlight w:val="none"/>
              </w:rPr>
            </w:pPr>
          </w:p>
        </w:tc>
        <w:tc>
          <w:tcPr>
            <w:tcW w:w="1785" w:type="dxa"/>
            <w:vAlign w:val="center"/>
          </w:tcPr>
          <w:p w14:paraId="639EF16C">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投标文件格式</w:t>
            </w:r>
          </w:p>
        </w:tc>
        <w:tc>
          <w:tcPr>
            <w:tcW w:w="6178" w:type="dxa"/>
            <w:vAlign w:val="center"/>
          </w:tcPr>
          <w:p w14:paraId="42B2A95C">
            <w:pPr>
              <w:adjustRightInd w:val="0"/>
              <w:snapToGrid w:val="0"/>
              <w:spacing w:line="460" w:lineRule="exact"/>
              <w:jc w:val="left"/>
              <w:rPr>
                <w:rFonts w:ascii="宋体" w:hAnsi="宋体"/>
                <w:color w:val="auto"/>
                <w:szCs w:val="21"/>
                <w:highlight w:val="none"/>
              </w:rPr>
            </w:pPr>
            <w:r>
              <w:rPr>
                <w:rFonts w:hint="eastAsia" w:ascii="宋体" w:hAnsi="宋体"/>
                <w:color w:val="auto"/>
                <w:szCs w:val="21"/>
                <w:highlight w:val="none"/>
              </w:rPr>
              <w:t>符合第七章“投标文件格式”的要求。</w:t>
            </w:r>
          </w:p>
        </w:tc>
      </w:tr>
      <w:tr w14:paraId="58B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vAlign w:val="center"/>
          </w:tcPr>
          <w:p w14:paraId="44490C96">
            <w:pPr>
              <w:widowControl/>
              <w:adjustRightInd w:val="0"/>
              <w:snapToGrid w:val="0"/>
              <w:spacing w:line="460" w:lineRule="exact"/>
              <w:jc w:val="left"/>
              <w:rPr>
                <w:rFonts w:ascii="宋体" w:hAnsi="宋体"/>
                <w:color w:val="auto"/>
                <w:szCs w:val="21"/>
                <w:highlight w:val="none"/>
              </w:rPr>
            </w:pPr>
          </w:p>
        </w:tc>
        <w:tc>
          <w:tcPr>
            <w:tcW w:w="1046" w:type="dxa"/>
            <w:vMerge w:val="continue"/>
            <w:vAlign w:val="center"/>
          </w:tcPr>
          <w:p w14:paraId="254A0E54">
            <w:pPr>
              <w:widowControl/>
              <w:adjustRightInd w:val="0"/>
              <w:snapToGrid w:val="0"/>
              <w:spacing w:line="460" w:lineRule="exact"/>
              <w:jc w:val="center"/>
              <w:rPr>
                <w:rFonts w:ascii="宋体" w:hAnsi="宋体"/>
                <w:color w:val="auto"/>
                <w:szCs w:val="21"/>
                <w:highlight w:val="none"/>
              </w:rPr>
            </w:pPr>
          </w:p>
        </w:tc>
        <w:tc>
          <w:tcPr>
            <w:tcW w:w="1785" w:type="dxa"/>
            <w:vAlign w:val="center"/>
          </w:tcPr>
          <w:p w14:paraId="69D505DC">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商务标签字盖章</w:t>
            </w:r>
          </w:p>
        </w:tc>
        <w:tc>
          <w:tcPr>
            <w:tcW w:w="6178" w:type="dxa"/>
            <w:vAlign w:val="center"/>
          </w:tcPr>
          <w:p w14:paraId="1E3A4E6C">
            <w:pPr>
              <w:adjustRightInd w:val="0"/>
              <w:snapToGrid w:val="0"/>
              <w:spacing w:line="4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3C8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vAlign w:val="center"/>
          </w:tcPr>
          <w:p w14:paraId="2E49DAE7">
            <w:pPr>
              <w:widowControl/>
              <w:adjustRightInd w:val="0"/>
              <w:snapToGrid w:val="0"/>
              <w:spacing w:line="460" w:lineRule="exact"/>
              <w:jc w:val="left"/>
              <w:rPr>
                <w:rFonts w:ascii="宋体" w:hAnsi="宋体"/>
                <w:color w:val="auto"/>
                <w:szCs w:val="21"/>
                <w:highlight w:val="none"/>
              </w:rPr>
            </w:pPr>
          </w:p>
        </w:tc>
        <w:tc>
          <w:tcPr>
            <w:tcW w:w="1046" w:type="dxa"/>
            <w:vMerge w:val="continue"/>
            <w:vAlign w:val="center"/>
          </w:tcPr>
          <w:p w14:paraId="24667CA5">
            <w:pPr>
              <w:widowControl/>
              <w:adjustRightInd w:val="0"/>
              <w:snapToGrid w:val="0"/>
              <w:spacing w:line="460" w:lineRule="exact"/>
              <w:jc w:val="center"/>
              <w:rPr>
                <w:rFonts w:ascii="宋体" w:hAnsi="宋体"/>
                <w:color w:val="auto"/>
                <w:szCs w:val="21"/>
                <w:highlight w:val="none"/>
              </w:rPr>
            </w:pPr>
          </w:p>
        </w:tc>
        <w:tc>
          <w:tcPr>
            <w:tcW w:w="1785" w:type="dxa"/>
            <w:vAlign w:val="center"/>
          </w:tcPr>
          <w:p w14:paraId="54574229">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报价唯一</w:t>
            </w:r>
          </w:p>
        </w:tc>
        <w:tc>
          <w:tcPr>
            <w:tcW w:w="6178" w:type="dxa"/>
            <w:vAlign w:val="center"/>
          </w:tcPr>
          <w:p w14:paraId="6DC1F6F7">
            <w:pPr>
              <w:adjustRightInd w:val="0"/>
              <w:snapToGrid w:val="0"/>
              <w:spacing w:line="4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6A9B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vAlign w:val="center"/>
          </w:tcPr>
          <w:p w14:paraId="69C0A292">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.2.2</w:t>
            </w:r>
          </w:p>
        </w:tc>
        <w:tc>
          <w:tcPr>
            <w:tcW w:w="1046" w:type="dxa"/>
            <w:vMerge w:val="restart"/>
            <w:vAlign w:val="center"/>
          </w:tcPr>
          <w:p w14:paraId="3C718F5C">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785" w:type="dxa"/>
            <w:vAlign w:val="center"/>
          </w:tcPr>
          <w:p w14:paraId="19B0D526">
            <w:pPr>
              <w:adjustRightInd w:val="0"/>
              <w:snapToGrid w:val="0"/>
              <w:spacing w:line="460" w:lineRule="exact"/>
              <w:jc w:val="left"/>
              <w:rPr>
                <w:rFonts w:ascii="宋体" w:hAnsi="宋体"/>
                <w:color w:val="auto"/>
                <w:szCs w:val="21"/>
                <w:highlight w:val="none"/>
              </w:rPr>
            </w:pPr>
            <w:r>
              <w:rPr>
                <w:rFonts w:hint="eastAsia" w:ascii="宋体" w:hAnsi="宋体"/>
                <w:color w:val="auto"/>
                <w:szCs w:val="21"/>
                <w:highlight w:val="none"/>
              </w:rPr>
              <w:t>供货期（服务期）</w:t>
            </w:r>
          </w:p>
        </w:tc>
        <w:tc>
          <w:tcPr>
            <w:tcW w:w="6178" w:type="dxa"/>
            <w:vAlign w:val="center"/>
          </w:tcPr>
          <w:p w14:paraId="225B6C4F">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197E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1" w:type="dxa"/>
            <w:vMerge w:val="continue"/>
            <w:vAlign w:val="center"/>
          </w:tcPr>
          <w:p w14:paraId="13EBEE94">
            <w:pPr>
              <w:widowControl/>
              <w:adjustRightInd w:val="0"/>
              <w:snapToGrid w:val="0"/>
              <w:spacing w:line="460" w:lineRule="exact"/>
              <w:jc w:val="left"/>
              <w:rPr>
                <w:rFonts w:ascii="宋体" w:hAnsi="宋体"/>
                <w:color w:val="auto"/>
                <w:szCs w:val="21"/>
                <w:highlight w:val="none"/>
              </w:rPr>
            </w:pPr>
          </w:p>
        </w:tc>
        <w:tc>
          <w:tcPr>
            <w:tcW w:w="1046" w:type="dxa"/>
            <w:vMerge w:val="continue"/>
            <w:vAlign w:val="center"/>
          </w:tcPr>
          <w:p w14:paraId="689DA1F9">
            <w:pPr>
              <w:widowControl/>
              <w:adjustRightInd w:val="0"/>
              <w:snapToGrid w:val="0"/>
              <w:spacing w:line="460" w:lineRule="exact"/>
              <w:jc w:val="center"/>
              <w:rPr>
                <w:rFonts w:ascii="宋体" w:hAnsi="宋体"/>
                <w:color w:val="auto"/>
                <w:szCs w:val="21"/>
                <w:highlight w:val="none"/>
              </w:rPr>
            </w:pPr>
          </w:p>
        </w:tc>
        <w:tc>
          <w:tcPr>
            <w:tcW w:w="1785" w:type="dxa"/>
            <w:vAlign w:val="center"/>
          </w:tcPr>
          <w:p w14:paraId="7D13B154">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投标有效期</w:t>
            </w:r>
          </w:p>
        </w:tc>
        <w:tc>
          <w:tcPr>
            <w:tcW w:w="6178" w:type="dxa"/>
            <w:vAlign w:val="center"/>
          </w:tcPr>
          <w:p w14:paraId="627A893D">
            <w:pPr>
              <w:adjustRightInd w:val="0"/>
              <w:snapToGrid w:val="0"/>
              <w:spacing w:line="4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6971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Align w:val="center"/>
          </w:tcPr>
          <w:p w14:paraId="4DF2BD5B">
            <w:pPr>
              <w:adjustRightInd w:val="0"/>
              <w:snapToGrid w:val="0"/>
              <w:spacing w:line="460" w:lineRule="exact"/>
              <w:jc w:val="center"/>
              <w:rPr>
                <w:rFonts w:ascii="宋体" w:hAnsi="宋体"/>
                <w:color w:val="auto"/>
                <w:szCs w:val="21"/>
                <w:highlight w:val="none"/>
              </w:rPr>
            </w:pPr>
            <w:r>
              <w:rPr>
                <w:rFonts w:hint="eastAsia" w:ascii="宋体" w:hAnsi="宋体"/>
                <w:color w:val="auto"/>
                <w:szCs w:val="21"/>
                <w:highlight w:val="none"/>
              </w:rPr>
              <w:t>3.1</w:t>
            </w:r>
          </w:p>
        </w:tc>
        <w:tc>
          <w:tcPr>
            <w:tcW w:w="1046" w:type="dxa"/>
            <w:vAlign w:val="center"/>
          </w:tcPr>
          <w:p w14:paraId="0B7B81D5">
            <w:pPr>
              <w:adjustRightInd w:val="0"/>
              <w:snapToGrid w:val="0"/>
              <w:spacing w:line="460" w:lineRule="exact"/>
              <w:jc w:val="center"/>
              <w:rPr>
                <w:rFonts w:ascii="宋体" w:hAnsi="宋体"/>
                <w:b/>
                <w:bCs/>
                <w:color w:val="auto"/>
                <w:szCs w:val="21"/>
                <w:highlight w:val="none"/>
              </w:rPr>
            </w:pPr>
            <w:r>
              <w:rPr>
                <w:rFonts w:ascii="宋体" w:hAnsi="宋体"/>
                <w:b/>
                <w:bCs/>
                <w:color w:val="auto"/>
                <w:szCs w:val="21"/>
                <w:highlight w:val="none"/>
              </w:rPr>
              <w:t>商务</w:t>
            </w:r>
          </w:p>
          <w:p w14:paraId="2B04ED4C">
            <w:pPr>
              <w:adjustRightInd w:val="0"/>
              <w:snapToGrid w:val="0"/>
              <w:spacing w:line="460" w:lineRule="exact"/>
              <w:jc w:val="center"/>
              <w:rPr>
                <w:rFonts w:ascii="宋体" w:hAnsi="宋体"/>
                <w:b/>
                <w:bCs/>
                <w:color w:val="auto"/>
                <w:szCs w:val="21"/>
                <w:highlight w:val="none"/>
              </w:rPr>
            </w:pPr>
            <w:r>
              <w:rPr>
                <w:rFonts w:ascii="宋体" w:hAnsi="宋体"/>
                <w:b/>
                <w:bCs/>
                <w:color w:val="auto"/>
                <w:szCs w:val="21"/>
                <w:highlight w:val="none"/>
              </w:rPr>
              <w:t>评分</w:t>
            </w:r>
          </w:p>
          <w:p w14:paraId="78250B0E">
            <w:pPr>
              <w:adjustRightInd w:val="0"/>
              <w:snapToGrid w:val="0"/>
              <w:spacing w:line="460" w:lineRule="exact"/>
              <w:jc w:val="center"/>
              <w:rPr>
                <w:rFonts w:ascii="宋体" w:hAnsi="宋体"/>
                <w:color w:val="auto"/>
                <w:szCs w:val="21"/>
                <w:highlight w:val="none"/>
              </w:rPr>
            </w:pPr>
            <w:r>
              <w:rPr>
                <w:rFonts w:ascii="宋体" w:hAnsi="宋体"/>
                <w:b/>
                <w:bCs/>
                <w:color w:val="auto"/>
                <w:szCs w:val="21"/>
                <w:highlight w:val="none"/>
              </w:rPr>
              <w:t>（</w:t>
            </w:r>
            <w:r>
              <w:rPr>
                <w:rFonts w:hint="eastAsia" w:ascii="宋体" w:hAnsi="宋体"/>
                <w:b/>
                <w:bCs/>
                <w:color w:val="auto"/>
                <w:szCs w:val="21"/>
                <w:highlight w:val="none"/>
              </w:rPr>
              <w:t>20分</w:t>
            </w:r>
            <w:r>
              <w:rPr>
                <w:rFonts w:ascii="宋体" w:hAnsi="宋体"/>
                <w:b/>
                <w:bCs/>
                <w:color w:val="auto"/>
                <w:szCs w:val="21"/>
                <w:highlight w:val="none"/>
              </w:rPr>
              <w:t>）</w:t>
            </w:r>
          </w:p>
        </w:tc>
        <w:tc>
          <w:tcPr>
            <w:tcW w:w="7963" w:type="dxa"/>
            <w:gridSpan w:val="2"/>
            <w:vAlign w:val="center"/>
          </w:tcPr>
          <w:p w14:paraId="48DECBDA">
            <w:pPr>
              <w:adjustRightInd w:val="0"/>
              <w:snapToGrid w:val="0"/>
              <w:spacing w:line="460" w:lineRule="exact"/>
              <w:jc w:val="left"/>
              <w:rPr>
                <w:rFonts w:ascii="宋体" w:hAnsi="宋体"/>
                <w:b/>
                <w:bCs/>
                <w:color w:val="auto"/>
                <w:szCs w:val="21"/>
                <w:highlight w:val="none"/>
              </w:rPr>
            </w:pPr>
            <w:r>
              <w:rPr>
                <w:rFonts w:hint="eastAsia" w:ascii="宋体" w:hAnsi="宋体"/>
                <w:b/>
                <w:bCs/>
                <w:color w:val="auto"/>
                <w:szCs w:val="21"/>
                <w:highlight w:val="none"/>
              </w:rPr>
              <w:t>价格分统一采用低价优先法，即满足招标文件要求且投标价格最低的投标报价为评标基准价，其价格分为满分20分。其他投标人的价格分统一按照下列公式计算：</w:t>
            </w:r>
          </w:p>
          <w:p w14:paraId="20859164">
            <w:pPr>
              <w:adjustRightInd w:val="0"/>
              <w:snapToGrid w:val="0"/>
              <w:spacing w:line="460" w:lineRule="exact"/>
              <w:jc w:val="left"/>
              <w:rPr>
                <w:rFonts w:ascii="宋体" w:hAnsi="宋体"/>
                <w:b/>
                <w:bCs/>
                <w:color w:val="auto"/>
                <w:szCs w:val="21"/>
                <w:highlight w:val="none"/>
              </w:rPr>
            </w:pPr>
            <w:r>
              <w:rPr>
                <w:rFonts w:hint="eastAsia" w:ascii="宋体" w:hAnsi="宋体"/>
                <w:b/>
                <w:bCs/>
                <w:color w:val="auto"/>
                <w:szCs w:val="21"/>
                <w:highlight w:val="none"/>
              </w:rPr>
              <w:t>投标报价得分＝（评标基准价/投标报价）×</w:t>
            </w:r>
            <w:r>
              <w:rPr>
                <w:rFonts w:ascii="宋体" w:hAnsi="宋体"/>
                <w:b/>
                <w:bCs/>
                <w:color w:val="auto"/>
                <w:szCs w:val="21"/>
                <w:highlight w:val="none"/>
                <w:lang w:val="en"/>
              </w:rPr>
              <w:t>20</w:t>
            </w:r>
            <w:r>
              <w:rPr>
                <w:rFonts w:hint="eastAsia" w:ascii="宋体" w:hAnsi="宋体"/>
                <w:b/>
                <w:bCs/>
                <w:color w:val="auto"/>
                <w:szCs w:val="21"/>
                <w:highlight w:val="none"/>
              </w:rPr>
              <w:t>％×100</w:t>
            </w:r>
          </w:p>
          <w:p w14:paraId="652CE459">
            <w:pPr>
              <w:adjustRightInd w:val="0"/>
              <w:snapToGrid w:val="0"/>
              <w:spacing w:line="460" w:lineRule="exact"/>
              <w:jc w:val="left"/>
              <w:rPr>
                <w:rFonts w:ascii="宋体" w:hAnsi="宋体"/>
                <w:b/>
                <w:bCs/>
                <w:color w:val="auto"/>
                <w:szCs w:val="21"/>
                <w:highlight w:val="none"/>
              </w:rPr>
            </w:pPr>
            <w:r>
              <w:rPr>
                <w:rFonts w:hint="eastAsia" w:ascii="宋体" w:hAnsi="宋体"/>
                <w:b/>
                <w:bCs/>
                <w:color w:val="auto"/>
                <w:szCs w:val="21"/>
                <w:highlight w:val="none"/>
              </w:rPr>
              <w:t>注：在计算报价得分时，取两位小数，小数点后第三位四舍五入；</w:t>
            </w:r>
          </w:p>
        </w:tc>
      </w:tr>
    </w:tbl>
    <w:p w14:paraId="45690FA5">
      <w:pPr>
        <w:spacing w:line="500" w:lineRule="exact"/>
        <w:jc w:val="left"/>
        <w:rPr>
          <w:rFonts w:ascii="宋体" w:cs="宋体"/>
          <w:b/>
          <w:color w:val="auto"/>
          <w:szCs w:val="21"/>
          <w:highlight w:val="none"/>
        </w:rPr>
      </w:pPr>
    </w:p>
    <w:p w14:paraId="6DFF46E8">
      <w:pPr>
        <w:spacing w:line="500" w:lineRule="exact"/>
        <w:jc w:val="left"/>
        <w:rPr>
          <w:color w:val="auto"/>
          <w:highlight w:val="none"/>
        </w:rPr>
      </w:pPr>
      <w:r>
        <w:rPr>
          <w:rFonts w:hint="eastAsia" w:ascii="宋体" w:cs="宋体"/>
          <w:b/>
          <w:color w:val="auto"/>
          <w:szCs w:val="21"/>
          <w:highlight w:val="none"/>
        </w:rPr>
        <w:t>特别说明：</w:t>
      </w:r>
    </w:p>
    <w:p w14:paraId="302A79C4">
      <w:pPr>
        <w:spacing w:line="500" w:lineRule="exact"/>
        <w:ind w:left="-420" w:leftChars="-200" w:firstLine="420" w:firstLineChars="200"/>
        <w:jc w:val="left"/>
        <w:rPr>
          <w:bCs/>
          <w:color w:val="auto"/>
          <w:szCs w:val="21"/>
          <w:highlight w:val="none"/>
        </w:rPr>
      </w:pPr>
      <w:r>
        <w:rPr>
          <w:rFonts w:hint="eastAsia"/>
          <w:bCs/>
          <w:color w:val="auto"/>
          <w:szCs w:val="21"/>
          <w:highlight w:val="none"/>
        </w:rPr>
        <w:t>1.评标专家检验投标文件的上述材料，如果由于投标人自身原因导致评标专家无法查看并检验投标文件中以上相关资料的，后果由投标人自行承担。</w:t>
      </w:r>
    </w:p>
    <w:p w14:paraId="2E9624F2">
      <w:pPr>
        <w:spacing w:line="500" w:lineRule="exact"/>
        <w:ind w:left="-420" w:leftChars="-200" w:firstLine="420" w:firstLineChars="200"/>
        <w:jc w:val="left"/>
        <w:rPr>
          <w:bCs/>
          <w:color w:val="auto"/>
          <w:szCs w:val="21"/>
          <w:highlight w:val="none"/>
        </w:rPr>
      </w:pPr>
      <w:r>
        <w:rPr>
          <w:rFonts w:hint="eastAsia"/>
          <w:bCs/>
          <w:color w:val="auto"/>
          <w:szCs w:val="21"/>
          <w:highlight w:val="none"/>
        </w:rPr>
        <w:t>2.以上分值均保留二位小数，小数点后第三位四舍五入。</w:t>
      </w:r>
      <w:bookmarkStart w:id="65" w:name="_Toc449028881"/>
    </w:p>
    <w:p w14:paraId="4DE65A2E">
      <w:pPr>
        <w:spacing w:line="500" w:lineRule="exact"/>
        <w:ind w:left="-420" w:leftChars="-200" w:firstLine="420" w:firstLineChars="200"/>
        <w:jc w:val="left"/>
        <w:rPr>
          <w:bCs/>
          <w:color w:val="auto"/>
          <w:szCs w:val="21"/>
          <w:highlight w:val="none"/>
        </w:rPr>
      </w:pPr>
      <w:r>
        <w:rPr>
          <w:rFonts w:hint="eastAsia"/>
          <w:bCs/>
          <w:color w:val="auto"/>
          <w:szCs w:val="21"/>
          <w:highlight w:val="none"/>
        </w:rPr>
        <w:t>3.各投标人须保证所提供的供评审核验的相关证明材料真实有效，不得弄虚作假，否则予以一票否决，且该单位不得参与招标人关于本项目的再次招标活动</w:t>
      </w:r>
    </w:p>
    <w:p w14:paraId="6204FB8B">
      <w:pPr>
        <w:snapToGrid w:val="0"/>
        <w:spacing w:before="93" w:beforeLines="30" w:after="93" w:afterLines="30" w:line="500" w:lineRule="exact"/>
        <w:jc w:val="center"/>
        <w:outlineLvl w:val="1"/>
        <w:rPr>
          <w:rFonts w:ascii="宋体"/>
          <w:b/>
          <w:color w:val="auto"/>
          <w:sz w:val="32"/>
          <w:szCs w:val="32"/>
          <w:highlight w:val="none"/>
        </w:rPr>
      </w:pPr>
      <w:bookmarkStart w:id="66" w:name="_Toc58430321"/>
      <w:r>
        <w:rPr>
          <w:rFonts w:hint="eastAsia" w:ascii="宋体"/>
          <w:b/>
          <w:color w:val="auto"/>
          <w:sz w:val="32"/>
          <w:szCs w:val="32"/>
          <w:highlight w:val="none"/>
        </w:rPr>
        <w:t>五、推荐中标候选人</w:t>
      </w:r>
      <w:bookmarkEnd w:id="64"/>
      <w:bookmarkEnd w:id="65"/>
      <w:bookmarkEnd w:id="66"/>
    </w:p>
    <w:bookmarkEnd w:id="54"/>
    <w:p w14:paraId="339A835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7.评标委员会按总得分之和，从高到低按顺序，根据第二章投标人须知及前附表的规定数量推荐中标候选人。</w:t>
      </w:r>
    </w:p>
    <w:p w14:paraId="5EAC8BE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7.1如总得分相等，以投标报价低的优先；投标报价仍相等，由招标人或评标委员会主任委员随机抽取确定排名。</w:t>
      </w:r>
    </w:p>
    <w:p w14:paraId="7D344AD7">
      <w:pPr>
        <w:snapToGrid w:val="0"/>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8. </w:t>
      </w:r>
      <w:bookmarkStart w:id="67" w:name="_Hlk61815781"/>
      <w:r>
        <w:rPr>
          <w:rFonts w:hint="eastAsia" w:ascii="宋体" w:hAnsi="宋体" w:cs="宋体"/>
          <w:b/>
          <w:color w:val="auto"/>
          <w:szCs w:val="21"/>
          <w:highlight w:val="none"/>
        </w:rPr>
        <w:t>无效投标条款</w:t>
      </w:r>
    </w:p>
    <w:p w14:paraId="4C8CB8B3">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218DFF8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 未在开标截止时间前递交有效投标文件的，投标将被拒绝。</w:t>
      </w:r>
    </w:p>
    <w:p w14:paraId="3BF2081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43A8AD3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3007ECF3">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9925709">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 评标专家无法查看并检验投标文件中相关资料的；</w:t>
      </w:r>
    </w:p>
    <w:p w14:paraId="215140C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(4)被暂停营业的；</w:t>
      </w:r>
    </w:p>
    <w:p w14:paraId="3DAED813">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(5)被暂停或取消投标资格的；</w:t>
      </w:r>
    </w:p>
    <w:p w14:paraId="3F8758D7">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(6)投标人单位负责人为同一人或者存在直接控股、管理关系的不同单位的；</w:t>
      </w:r>
    </w:p>
    <w:p w14:paraId="5B04291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(7)投标人基本资格条件和特定资格条件中有一项及以上不符合要求的；</w:t>
      </w:r>
    </w:p>
    <w:p w14:paraId="7CE5C96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(8)其它情形，经评标委员会委提出按无效投标处理的；</w:t>
      </w:r>
    </w:p>
    <w:p w14:paraId="75F5822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1D095D5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5849626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08655805">
      <w:pPr>
        <w:snapToGrid w:val="0"/>
        <w:spacing w:line="500" w:lineRule="exact"/>
        <w:jc w:val="left"/>
        <w:rPr>
          <w:rFonts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193E9A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7542877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28F774D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(5)投标报价超出规定的投标限价或公布的采购预算的（本项目不采用）；</w:t>
      </w:r>
    </w:p>
    <w:p w14:paraId="2A8380B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0081C1A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182FB5EB">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56732AC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268FADAE">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1DFBA19">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3C58894">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95E676E">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23A11BD7">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(4)报价明显低于其他投标人，且不能证明报价合理性的投标无效（本项目不采用）；</w:t>
      </w:r>
    </w:p>
    <w:p w14:paraId="6E28713C">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5FDD3DB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(6)其它情形，经评标委员会委提出按无效投标处理的；</w:t>
      </w:r>
    </w:p>
    <w:p w14:paraId="632241A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(7)招标文件规定的其它无效投标情形。</w:t>
      </w:r>
    </w:p>
    <w:bookmarkEnd w:id="67"/>
    <w:p w14:paraId="302795B3">
      <w:pPr>
        <w:spacing w:before="156" w:beforeLines="50" w:after="156" w:afterLines="50" w:line="600" w:lineRule="exact"/>
        <w:jc w:val="center"/>
        <w:outlineLvl w:val="0"/>
        <w:rPr>
          <w:rFonts w:ascii="宋体"/>
          <w:b/>
          <w:color w:val="auto"/>
          <w:sz w:val="32"/>
          <w:szCs w:val="32"/>
          <w:highlight w:val="none"/>
        </w:rPr>
      </w:pPr>
      <w:bookmarkStart w:id="68" w:name="_Toc58430328"/>
      <w:r>
        <w:rPr>
          <w:rFonts w:hint="eastAsia" w:ascii="宋体"/>
          <w:b/>
          <w:color w:val="auto"/>
          <w:sz w:val="32"/>
          <w:szCs w:val="32"/>
          <w:highlight w:val="none"/>
        </w:rPr>
        <w:br w:type="page"/>
      </w:r>
      <w:r>
        <w:rPr>
          <w:rFonts w:hint="eastAsia" w:ascii="宋体"/>
          <w:b/>
          <w:color w:val="auto"/>
          <w:sz w:val="32"/>
          <w:szCs w:val="32"/>
          <w:highlight w:val="none"/>
        </w:rPr>
        <w:t>第四章  采购需求</w:t>
      </w:r>
    </w:p>
    <w:bookmarkEnd w:id="55"/>
    <w:bookmarkEnd w:id="68"/>
    <w:p w14:paraId="6AC51405">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bookmarkStart w:id="69" w:name="_Toc58430329"/>
      <w:bookmarkStart w:id="70" w:name="_Toc449028945"/>
      <w:r>
        <w:rPr>
          <w:rFonts w:hint="eastAsia" w:asciiTheme="minorEastAsia" w:hAnsiTheme="minorEastAsia" w:eastAsiaTheme="minorEastAsia" w:cstheme="minorEastAsia"/>
          <w:b/>
          <w:bCs/>
          <w:color w:val="auto"/>
          <w:sz w:val="22"/>
          <w:szCs w:val="22"/>
          <w:highlight w:val="none"/>
        </w:rPr>
        <w:t>一、项目概况</w:t>
      </w:r>
    </w:p>
    <w:p w14:paraId="1E52ADC5">
      <w:pPr>
        <w:widowControl/>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为全面提升公安机关警务保障能力和水平，持续夯实全市公安机关固本强基工程，全面做好暖警爱警，助推公安机关战斗力的提升，根据“五有保障、五优保障”相关工作要求，</w:t>
      </w:r>
      <w:r>
        <w:rPr>
          <w:rFonts w:hint="eastAsia" w:asciiTheme="minorEastAsia" w:hAnsiTheme="minorEastAsia" w:eastAsiaTheme="minorEastAsia" w:cstheme="minorEastAsia"/>
          <w:b/>
          <w:bCs/>
          <w:color w:val="auto"/>
          <w:kern w:val="0"/>
          <w:szCs w:val="21"/>
          <w:highlight w:val="none"/>
          <w:lang w:bidi="ar"/>
        </w:rPr>
        <w:t>拟为全局民辅警合计约为1227人，每人18次/年，单次不高于20元购买理发服务，现</w:t>
      </w:r>
      <w:r>
        <w:rPr>
          <w:rFonts w:hint="eastAsia" w:asciiTheme="minorEastAsia" w:hAnsiTheme="minorEastAsia" w:eastAsiaTheme="minorEastAsia" w:cstheme="minorEastAsia"/>
          <w:color w:val="auto"/>
          <w:kern w:val="0"/>
          <w:szCs w:val="21"/>
          <w:highlight w:val="none"/>
          <w:lang w:bidi="ar"/>
        </w:rPr>
        <w:t>为民辅警开展理发服务，做好后勤保障。</w:t>
      </w:r>
    </w:p>
    <w:p w14:paraId="1519B4DC">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二、服务地点及方式</w:t>
      </w:r>
    </w:p>
    <w:p w14:paraId="5617245D">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固定服务点：采购人指定市局大楼院内理发室。中标供应商须固定派驻2名专职理发师，在采购人指定服务点位全日坐班，开展常态化理发服务。</w:t>
      </w:r>
    </w:p>
    <w:p w14:paraId="06B047EB">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巡回服务：根据采购人需求，</w:t>
      </w:r>
      <w:r>
        <w:rPr>
          <w:rFonts w:hint="eastAsia" w:ascii="宋体" w:hAnsi="宋体" w:cs="宋体"/>
          <w:color w:val="auto"/>
          <w:kern w:val="0"/>
          <w:szCs w:val="21"/>
          <w:highlight w:val="none"/>
          <w:lang w:bidi="ar"/>
        </w:rPr>
        <w:t>定期为局直独立营房单位开展上门巡回理发服务</w:t>
      </w:r>
      <w:r>
        <w:rPr>
          <w:rFonts w:hint="eastAsia" w:asciiTheme="minorEastAsia" w:hAnsiTheme="minorEastAsia" w:eastAsiaTheme="minorEastAsia" w:cstheme="minorEastAsia"/>
          <w:color w:val="auto"/>
          <w:kern w:val="0"/>
          <w:szCs w:val="21"/>
          <w:highlight w:val="none"/>
          <w:lang w:bidi="ar"/>
        </w:rPr>
        <w:t>。</w:t>
      </w:r>
    </w:p>
    <w:p w14:paraId="00A7E0E8">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应急保障：</w:t>
      </w:r>
      <w:r>
        <w:rPr>
          <w:rFonts w:hint="eastAsia" w:ascii="宋体" w:hAnsi="宋体" w:cs="宋体"/>
          <w:color w:val="auto"/>
          <w:kern w:val="0"/>
          <w:szCs w:val="21"/>
          <w:highlight w:val="none"/>
          <w:lang w:bidi="ar"/>
        </w:rPr>
        <w:t>（高等级勤务及法定节假日加班工作期间，动态调整理发服务时段）</w:t>
      </w:r>
    </w:p>
    <w:p w14:paraId="6AED2D79">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三、服务内容（基础服务范围）</w:t>
      </w:r>
    </w:p>
    <w:p w14:paraId="671F106C">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服务商须免费提供以下标准化警容理发服务，不得额外收费：</w:t>
      </w:r>
    </w:p>
    <w:p w14:paraId="237E198F">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标准警容男士洗、剪、吹、修边、后颈碎发清理、轮廓精修定型；</w:t>
      </w:r>
    </w:p>
    <w:p w14:paraId="78052563">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基础头皮清洁、清爽洗护服务；</w:t>
      </w:r>
    </w:p>
    <w:p w14:paraId="22B15CCA">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正常工作日时间，流水式理发；</w:t>
      </w:r>
    </w:p>
    <w:p w14:paraId="2B22CE1E">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服务区域日常卫生清洁、工具消杀、场地整理。</w:t>
      </w:r>
    </w:p>
    <w:p w14:paraId="4D5FC001">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四、发型标准（严格执行警容风纪要求）</w:t>
      </w:r>
    </w:p>
    <w:p w14:paraId="6D8023F7">
      <w:pPr>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bidi="ar"/>
        </w:rPr>
        <w:t>1. 男士发型：</w:t>
      </w:r>
      <w:r>
        <w:rPr>
          <w:rFonts w:hint="eastAsia" w:asciiTheme="minorEastAsia" w:hAnsiTheme="minorEastAsia" w:eastAsiaTheme="minorEastAsia" w:cstheme="minorEastAsia"/>
          <w:color w:val="auto"/>
          <w:kern w:val="0"/>
          <w:szCs w:val="21"/>
          <w:highlight w:val="none"/>
          <w:lang w:eastAsia="zh-CN" w:bidi="ar"/>
        </w:rPr>
        <w:t>整体整洁、利落、庄重、不怪异、不夸张、符合公安职业形象。</w:t>
      </w:r>
    </w:p>
    <w:p w14:paraId="1EE71FA0">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女士发型：刘海不遮眼、整洁大方，</w:t>
      </w:r>
      <w:r>
        <w:rPr>
          <w:rFonts w:hint="eastAsia" w:asciiTheme="minorEastAsia" w:hAnsiTheme="minorEastAsia" w:eastAsiaTheme="minorEastAsia" w:cstheme="minorEastAsia"/>
          <w:color w:val="auto"/>
          <w:kern w:val="0"/>
          <w:szCs w:val="21"/>
          <w:highlight w:val="none"/>
          <w:lang w:eastAsia="zh-CN" w:bidi="ar"/>
        </w:rPr>
        <w:t>禁止彩染</w:t>
      </w:r>
      <w:r>
        <w:rPr>
          <w:rFonts w:hint="eastAsia" w:asciiTheme="minorEastAsia" w:hAnsiTheme="minorEastAsia" w:eastAsiaTheme="minorEastAsia" w:cstheme="minorEastAsia"/>
          <w:color w:val="auto"/>
          <w:kern w:val="0"/>
          <w:szCs w:val="21"/>
          <w:highlight w:val="none"/>
          <w:lang w:bidi="ar"/>
        </w:rPr>
        <w:t>、烫卷造型，</w:t>
      </w:r>
      <w:r>
        <w:rPr>
          <w:rFonts w:hint="eastAsia" w:asciiTheme="minorEastAsia" w:hAnsiTheme="minorEastAsia" w:eastAsiaTheme="minorEastAsia" w:cstheme="minorEastAsia"/>
          <w:color w:val="auto"/>
          <w:kern w:val="0"/>
          <w:szCs w:val="21"/>
          <w:highlight w:val="none"/>
          <w:lang w:eastAsia="zh-CN" w:bidi="ar"/>
        </w:rPr>
        <w:t>符合公安职业形象</w:t>
      </w:r>
      <w:r>
        <w:rPr>
          <w:rFonts w:hint="eastAsia" w:asciiTheme="minorEastAsia" w:hAnsiTheme="minorEastAsia" w:eastAsiaTheme="minorEastAsia" w:cstheme="minorEastAsia"/>
          <w:color w:val="auto"/>
          <w:kern w:val="0"/>
          <w:szCs w:val="21"/>
          <w:highlight w:val="none"/>
          <w:lang w:bidi="ar"/>
        </w:rPr>
        <w:t>。</w:t>
      </w:r>
    </w:p>
    <w:p w14:paraId="06EF1034">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全程杜绝一切不符合公安机关警容风纪规定的发型设计，所有造型以庄重、整洁、干练、统一为标准。</w:t>
      </w:r>
    </w:p>
    <w:p w14:paraId="44AC3BAB">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五、服务时间要求</w:t>
      </w:r>
    </w:p>
    <w:p w14:paraId="158F2713">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常规服务时间：周一至周五工作日 08:00—12:00、14:30—18:30，全程在岗服务。</w:t>
      </w:r>
    </w:p>
    <w:p w14:paraId="283CAB9F">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延时服务：根据民辅警执勤轮班特点，提供午休延时、下班延时服务。</w:t>
      </w:r>
    </w:p>
    <w:p w14:paraId="289D3C9D">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应急服务：节假日、周末、夜间突发勤务、重大安保任务，无条件配合。</w:t>
      </w:r>
    </w:p>
    <w:p w14:paraId="442EF2FE">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服务期间不得擅自离岗、脱岗、提前收工。（如突发情况需向主管部门报备）</w:t>
      </w:r>
    </w:p>
    <w:p w14:paraId="7A82911C">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六、服务人员要求</w:t>
      </w:r>
    </w:p>
    <w:p w14:paraId="7F357450">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服务商须配备2名及以上</w:t>
      </w:r>
      <w:r>
        <w:rPr>
          <w:rFonts w:hint="eastAsia" w:asciiTheme="minorEastAsia" w:hAnsiTheme="minorEastAsia" w:eastAsiaTheme="minorEastAsia" w:cstheme="minorEastAsia"/>
          <w:color w:val="auto"/>
          <w:kern w:val="0"/>
          <w:szCs w:val="21"/>
          <w:highlight w:val="none"/>
          <w:lang w:eastAsia="zh-CN" w:bidi="ar"/>
        </w:rPr>
        <w:t>专业</w:t>
      </w:r>
      <w:r>
        <w:rPr>
          <w:rFonts w:hint="eastAsia" w:asciiTheme="minorEastAsia" w:hAnsiTheme="minorEastAsia" w:eastAsiaTheme="minorEastAsia" w:cstheme="minorEastAsia"/>
          <w:color w:val="auto"/>
          <w:kern w:val="0"/>
          <w:szCs w:val="21"/>
          <w:highlight w:val="none"/>
          <w:lang w:bidi="ar"/>
        </w:rPr>
        <w:t>理发师，人员稳定，不得随意更换、兼职顶岗。</w:t>
      </w:r>
    </w:p>
    <w:p w14:paraId="66E4EAA3">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所有上岗人员必须持健康证。</w:t>
      </w:r>
    </w:p>
    <w:p w14:paraId="707EEFCE">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所有人员无违法犯罪记录、无失信记录，无烫染怪异发型，形象端正。</w:t>
      </w:r>
    </w:p>
    <w:p w14:paraId="2F7A13B6">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上岗统一工装、整洁规范，服从公安机关门禁管理、保密管理、。</w:t>
      </w:r>
    </w:p>
    <w:p w14:paraId="570868EF">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5. 全员签订保密承诺书、安全责任承诺书，严禁拍照、录像、外传单位内部信息。</w:t>
      </w:r>
    </w:p>
    <w:p w14:paraId="5697D86E">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6. 人员更换须提前7个工作日报备采购人，经审核同意后方可更换。</w:t>
      </w:r>
    </w:p>
    <w:p w14:paraId="26601846">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七、卫生消毒与安全管理要求</w:t>
      </w:r>
    </w:p>
    <w:p w14:paraId="35BDF3C7">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严格执行一客一消毒、一客一整理制度，剪刀、推子、梳子等工具每服务一人必须消毒。</w:t>
      </w:r>
    </w:p>
    <w:p w14:paraId="754F17F8">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毛巾、围布采用一次性用品或高温消毒，杜绝交叉感染。</w:t>
      </w:r>
    </w:p>
    <w:p w14:paraId="11B58D41">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每日开展全屋消杀、地面清洁、台面整理，保持室内无异味、无杂物。</w:t>
      </w:r>
    </w:p>
    <w:p w14:paraId="14B4EB47">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建立完整台账：消毒台账、服务登记台账，随时备查。</w:t>
      </w:r>
    </w:p>
    <w:p w14:paraId="4E737848">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5. 严禁使用三无、刺激性、劣质洗护及洗发产品，所用耗材需为市面流通的品牌且合规合格。</w:t>
      </w:r>
    </w:p>
    <w:p w14:paraId="262D7A40">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（如发现硬件设施损坏及安全隐患及时向警保部门反映）</w:t>
      </w:r>
    </w:p>
    <w:p w14:paraId="715F490A">
      <w:pPr>
        <w:pStyle w:val="7"/>
        <w:keepNext w:val="0"/>
        <w:keepLines w:val="0"/>
        <w:widowControl/>
        <w:numPr>
          <w:ilvl w:val="1"/>
          <w:numId w:val="0"/>
        </w:numPr>
        <w:ind w:firstLine="442" w:firstLineChars="200"/>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八、设备、耗材及场地要求</w:t>
      </w:r>
    </w:p>
    <w:p w14:paraId="5D31B719">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采购人提供：服务场地、水电、理发服务设施。</w:t>
      </w:r>
    </w:p>
    <w:p w14:paraId="24091A0C">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服务商全额自备：（提供免费理发系统，并配合主管部门进行理发人员信息录入，对实际理发人进行系统内扣次，并以系统内扣次数据作为报账依据，全程不产生实际金额，只计次）所有理发工具、推剪、洗护用品、毛巾、消毒设备、一次性耗材、清洁用品等。</w:t>
      </w:r>
    </w:p>
    <w:p w14:paraId="541BDE54">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服务商负责设备日常保养、维修、定期换新，保障设备完好可用。</w:t>
      </w:r>
    </w:p>
    <w:p w14:paraId="2841FFEE">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项目服务期内，所有耗材、设备更新、人员工资、消杀物资费用均由乙方承担，采购人无额外费用。</w:t>
      </w:r>
    </w:p>
    <w:p w14:paraId="159D5CE2">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九、服务纪律与保密要求</w:t>
      </w:r>
    </w:p>
    <w:p w14:paraId="104F74A4">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严格遵守公安保密规定，禁止拍摄办公区域、人员影像，禁止对外传播单位内部工作场景、人员信息。</w:t>
      </w:r>
    </w:p>
    <w:p w14:paraId="1E37DBB2">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服务人员不得打探、询问、议论单位警务工作，严守工作纪律。</w:t>
      </w:r>
    </w:p>
    <w:p w14:paraId="638FA5CB">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不得推诿服务、态度敷衍、与工作人员发生争执，文明规范服务。</w:t>
      </w:r>
    </w:p>
    <w:p w14:paraId="45DC6179">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严禁转包、分包本项目，一经发现，采购人有权直接终止合同。</w:t>
      </w:r>
    </w:p>
    <w:p w14:paraId="4C3D7D16">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十、考核与验收标准</w:t>
      </w:r>
    </w:p>
    <w:p w14:paraId="7CD58163">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 采购人实行日常检查、试用期三个月满意度测评，合格后签署合同。</w:t>
      </w:r>
    </w:p>
    <w:p w14:paraId="4D13A548">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 考核内容包含：服务态度、发型标准、卫生消杀、在岗纪律、应急保障、人员满意度。</w:t>
      </w:r>
    </w:p>
    <w:p w14:paraId="64C45A23">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 试用期三个月满意度不合格，采购人有权终止合同，不予续约。直接顺延第二中标人接替。</w:t>
      </w:r>
    </w:p>
    <w:p w14:paraId="258B1552">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 服务满意度、卫生达标率、在岗出勤率作为年度续约核心依据。</w:t>
      </w:r>
    </w:p>
    <w:p w14:paraId="1DF3DC02">
      <w:pPr>
        <w:pStyle w:val="7"/>
        <w:keepNext w:val="0"/>
        <w:keepLines w:val="0"/>
        <w:widowControl/>
        <w:numPr>
          <w:ilvl w:val="1"/>
          <w:numId w:val="0"/>
        </w:numPr>
        <w:ind w:left="431"/>
        <w:jc w:val="left"/>
        <w:rPr>
          <w:rFonts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十一、结算方式</w:t>
      </w:r>
    </w:p>
    <w:p w14:paraId="11581971">
      <w:pPr>
        <w:widowControl/>
        <w:spacing w:line="360" w:lineRule="auto"/>
        <w:ind w:firstLine="420" w:firstLineChars="20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按照双方确认的实际服务量（实际计次人数）按月核对、按月结算，服务商需按要求提供合规足额发票。</w:t>
      </w:r>
    </w:p>
    <w:p w14:paraId="61FF1D6D">
      <w:pPr>
        <w:spacing w:line="500" w:lineRule="exact"/>
        <w:ind w:firstLine="643" w:firstLineChars="200"/>
        <w:jc w:val="left"/>
        <w:rPr>
          <w:rFonts w:ascii="宋体"/>
          <w:b/>
          <w:color w:val="auto"/>
          <w:sz w:val="32"/>
          <w:szCs w:val="32"/>
          <w:highlight w:val="none"/>
        </w:rPr>
      </w:pPr>
      <w:r>
        <w:rPr>
          <w:rFonts w:hint="eastAsia" w:ascii="宋体"/>
          <w:b/>
          <w:color w:val="auto"/>
          <w:sz w:val="32"/>
          <w:szCs w:val="32"/>
          <w:highlight w:val="none"/>
        </w:rPr>
        <w:br w:type="page"/>
      </w:r>
    </w:p>
    <w:p w14:paraId="2404271B">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t>第五章 合同格式（参考）</w:t>
      </w:r>
    </w:p>
    <w:p w14:paraId="32E75D87">
      <w:pPr>
        <w:spacing w:line="360" w:lineRule="auto"/>
        <w:ind w:left="360"/>
        <w:jc w:val="center"/>
        <w:rPr>
          <w:rFonts w:ascii="宋体"/>
          <w:b/>
          <w:color w:val="auto"/>
          <w:szCs w:val="21"/>
          <w:highlight w:val="none"/>
        </w:rPr>
      </w:pPr>
      <w:bookmarkStart w:id="71" w:name="_Toc23785_WPSOffice_Level2"/>
      <w:r>
        <w:rPr>
          <w:rFonts w:hint="eastAsia" w:ascii="宋体"/>
          <w:b/>
          <w:color w:val="auto"/>
          <w:szCs w:val="21"/>
          <w:highlight w:val="none"/>
        </w:rPr>
        <w:t>本合同模板仅供参考，具体内容以实际签订合同为准</w:t>
      </w:r>
      <w:bookmarkEnd w:id="71"/>
    </w:p>
    <w:p w14:paraId="48D5F30A">
      <w:pPr>
        <w:spacing w:line="480" w:lineRule="exact"/>
        <w:jc w:val="center"/>
        <w:rPr>
          <w:rFonts w:ascii="宋体" w:hAnsi="宋体" w:cs="宋体"/>
          <w:b/>
          <w:bCs/>
          <w:color w:val="auto"/>
          <w:spacing w:val="4"/>
          <w:sz w:val="32"/>
          <w:szCs w:val="32"/>
          <w:highlight w:val="none"/>
        </w:rPr>
      </w:pPr>
    </w:p>
    <w:p w14:paraId="08057F92">
      <w:pPr>
        <w:spacing w:line="480" w:lineRule="auto"/>
        <w:jc w:val="center"/>
        <w:outlineLvl w:val="1"/>
        <w:rPr>
          <w:rFonts w:ascii="宋体" w:hAnsi="宋体"/>
          <w:b/>
          <w:color w:val="auto"/>
          <w:sz w:val="28"/>
          <w:szCs w:val="28"/>
          <w:highlight w:val="none"/>
        </w:rPr>
      </w:pPr>
    </w:p>
    <w:p w14:paraId="735316E6">
      <w:pPr>
        <w:spacing w:line="480" w:lineRule="auto"/>
        <w:jc w:val="center"/>
        <w:outlineLvl w:val="1"/>
        <w:rPr>
          <w:rFonts w:ascii="宋体" w:hAnsi="宋体"/>
          <w:b/>
          <w:color w:val="auto"/>
          <w:sz w:val="28"/>
          <w:szCs w:val="28"/>
          <w:highlight w:val="none"/>
        </w:rPr>
      </w:pPr>
      <w:r>
        <w:rPr>
          <w:rFonts w:ascii="宋体" w:hAnsi="宋体"/>
          <w:b/>
          <w:color w:val="auto"/>
          <w:sz w:val="28"/>
          <w:szCs w:val="28"/>
          <w:highlight w:val="none"/>
        </w:rPr>
        <w:t>政府采购合同</w:t>
      </w:r>
      <w:r>
        <w:rPr>
          <w:rFonts w:hint="eastAsia" w:ascii="宋体" w:hAnsi="宋体"/>
          <w:b/>
          <w:color w:val="auto"/>
          <w:sz w:val="28"/>
          <w:szCs w:val="28"/>
          <w:highlight w:val="none"/>
        </w:rPr>
        <w:t>参考范本</w:t>
      </w:r>
    </w:p>
    <w:p w14:paraId="43DE2022">
      <w:pPr>
        <w:spacing w:line="480" w:lineRule="auto"/>
        <w:jc w:val="center"/>
        <w:outlineLvl w:val="1"/>
        <w:rPr>
          <w:rFonts w:ascii="宋体" w:hAnsi="宋体"/>
          <w:b/>
          <w:color w:val="auto"/>
          <w:sz w:val="28"/>
          <w:szCs w:val="28"/>
          <w:highlight w:val="none"/>
        </w:rPr>
      </w:pPr>
      <w:bookmarkStart w:id="72" w:name="_Toc8560"/>
      <w:r>
        <w:rPr>
          <w:rFonts w:hint="eastAsia" w:ascii="宋体" w:hAnsi="宋体"/>
          <w:b/>
          <w:color w:val="auto"/>
          <w:sz w:val="28"/>
          <w:szCs w:val="28"/>
          <w:highlight w:val="none"/>
        </w:rPr>
        <w:t>（服务类）</w:t>
      </w:r>
      <w:bookmarkEnd w:id="72"/>
    </w:p>
    <w:p w14:paraId="1D0D4884">
      <w:pPr>
        <w:spacing w:line="480" w:lineRule="auto"/>
        <w:jc w:val="center"/>
        <w:rPr>
          <w:rFonts w:ascii="宋体" w:hAnsi="宋体"/>
          <w:b/>
          <w:color w:val="auto"/>
          <w:sz w:val="24"/>
          <w:highlight w:val="none"/>
        </w:rPr>
      </w:pPr>
    </w:p>
    <w:p w14:paraId="079C4EE5">
      <w:pPr>
        <w:spacing w:line="480" w:lineRule="auto"/>
        <w:jc w:val="center"/>
        <w:rPr>
          <w:rFonts w:ascii="宋体" w:hAnsi="宋体"/>
          <w:b/>
          <w:color w:val="auto"/>
          <w:sz w:val="24"/>
          <w:highlight w:val="none"/>
        </w:rPr>
      </w:pPr>
    </w:p>
    <w:p w14:paraId="37CAFDD7">
      <w:pPr>
        <w:spacing w:line="480" w:lineRule="auto"/>
        <w:jc w:val="center"/>
        <w:rPr>
          <w:rFonts w:ascii="宋体" w:hAnsi="宋体"/>
          <w:b/>
          <w:color w:val="auto"/>
          <w:sz w:val="24"/>
          <w:highlight w:val="none"/>
        </w:rPr>
      </w:pPr>
    </w:p>
    <w:p w14:paraId="3F278FDD">
      <w:pPr>
        <w:spacing w:line="360" w:lineRule="auto"/>
        <w:jc w:val="center"/>
        <w:outlineLvl w:val="1"/>
        <w:rPr>
          <w:rFonts w:ascii="宋体" w:hAnsi="宋体"/>
          <w:b/>
          <w:color w:val="auto"/>
          <w:sz w:val="24"/>
          <w:highlight w:val="none"/>
        </w:rPr>
      </w:pPr>
      <w:bookmarkStart w:id="73" w:name="_Toc2449"/>
      <w:r>
        <w:rPr>
          <w:rFonts w:hint="eastAsia" w:ascii="宋体" w:hAnsi="宋体"/>
          <w:b/>
          <w:color w:val="auto"/>
          <w:sz w:val="24"/>
          <w:highlight w:val="none"/>
        </w:rPr>
        <w:t>第一部分 合同书</w:t>
      </w:r>
      <w:bookmarkEnd w:id="73"/>
    </w:p>
    <w:p w14:paraId="4ADE16C1">
      <w:pPr>
        <w:spacing w:line="480" w:lineRule="auto"/>
        <w:jc w:val="center"/>
        <w:rPr>
          <w:rFonts w:ascii="宋体" w:hAnsi="宋体"/>
          <w:b/>
          <w:color w:val="auto"/>
          <w:sz w:val="24"/>
          <w:highlight w:val="none"/>
        </w:rPr>
      </w:pPr>
    </w:p>
    <w:p w14:paraId="5FD02272">
      <w:pPr>
        <w:spacing w:line="480" w:lineRule="auto"/>
        <w:jc w:val="center"/>
        <w:rPr>
          <w:rFonts w:ascii="宋体" w:hAnsi="宋体"/>
          <w:b/>
          <w:color w:val="auto"/>
          <w:sz w:val="24"/>
          <w:highlight w:val="none"/>
        </w:rPr>
      </w:pPr>
    </w:p>
    <w:p w14:paraId="0713837F">
      <w:pPr>
        <w:pStyle w:val="17"/>
        <w:rPr>
          <w:color w:val="auto"/>
          <w:highlight w:val="none"/>
        </w:rPr>
      </w:pPr>
    </w:p>
    <w:p w14:paraId="383E83D0">
      <w:pPr>
        <w:pStyle w:val="17"/>
        <w:rPr>
          <w:color w:val="auto"/>
          <w:highlight w:val="none"/>
        </w:rPr>
      </w:pPr>
    </w:p>
    <w:p w14:paraId="20A3B7E7">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0C824AF">
      <w:pPr>
        <w:spacing w:before="120" w:line="480" w:lineRule="auto"/>
        <w:ind w:left="960"/>
        <w:rPr>
          <w:rFonts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p>
    <w:p w14:paraId="30AE7C43">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甲方（采购人）：</w:t>
      </w:r>
      <w:r>
        <w:rPr>
          <w:rFonts w:hint="eastAsia" w:ascii="宋体" w:hAnsi="宋体"/>
          <w:color w:val="auto"/>
          <w:sz w:val="24"/>
          <w:highlight w:val="none"/>
          <w:u w:val="single"/>
        </w:rPr>
        <w:t xml:space="preserve">                       </w:t>
      </w:r>
    </w:p>
    <w:p w14:paraId="5CE325D3">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39E770A5">
      <w:pPr>
        <w:spacing w:before="120" w:line="480" w:lineRule="auto"/>
        <w:ind w:firstLine="960" w:firstLineChars="400"/>
        <w:rPr>
          <w:rFonts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71CB827A">
      <w:pPr>
        <w:spacing w:before="120" w:line="480" w:lineRule="auto"/>
        <w:ind w:firstLine="960" w:firstLineChars="400"/>
        <w:rPr>
          <w:rFonts w:ascii="宋体" w:hAnsi="宋体"/>
          <w:color w:val="auto"/>
          <w:sz w:val="24"/>
          <w:highlight w:val="non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C510B2C">
      <w:pPr>
        <w:widowControl/>
        <w:jc w:val="left"/>
        <w:rPr>
          <w:rFonts w:ascii="宋体" w:hAnsi="宋体"/>
          <w:color w:val="auto"/>
          <w:sz w:val="24"/>
          <w:highlight w:val="none"/>
        </w:rPr>
      </w:pPr>
      <w:r>
        <w:rPr>
          <w:rFonts w:ascii="宋体" w:hAnsi="宋体"/>
          <w:color w:val="auto"/>
          <w:sz w:val="24"/>
          <w:highlight w:val="none"/>
        </w:rPr>
        <w:br w:type="page"/>
      </w:r>
    </w:p>
    <w:p w14:paraId="4935AC18">
      <w:pPr>
        <w:spacing w:line="360" w:lineRule="auto"/>
        <w:ind w:firstLine="435"/>
        <w:rPr>
          <w:rFonts w:ascii="宋体" w:hAnsi="宋体"/>
          <w:color w:val="auto"/>
          <w:sz w:val="24"/>
          <w:highlight w:val="none"/>
        </w:rPr>
      </w:pPr>
      <w:r>
        <w:rPr>
          <w:rFonts w:hint="eastAsia" w:ascii="宋体" w:hAnsi="宋体"/>
          <w:color w:val="auto"/>
          <w:sz w:val="24"/>
          <w:highlight w:val="none"/>
          <w:u w:val="single"/>
        </w:rPr>
        <w:t xml:space="preserve">  滁州市公安局</w:t>
      </w:r>
      <w:r>
        <w:rPr>
          <w:rFonts w:hint="eastAsia" w:ascii="宋体" w:hAnsi="宋体" w:cs="宋体"/>
          <w:color w:val="auto"/>
          <w:sz w:val="24"/>
          <w:highlight w:val="none"/>
        </w:rPr>
        <w:t>（</w:t>
      </w:r>
      <w:r>
        <w:rPr>
          <w:rFonts w:hint="eastAsia" w:ascii="宋体" w:hAnsi="宋体" w:cs="宋体"/>
          <w:color w:val="auto"/>
          <w:sz w:val="24"/>
          <w:highlight w:val="none"/>
          <w:lang w:val="zh-CN"/>
        </w:rPr>
        <w:t>以下简称：甲方</w:t>
      </w:r>
      <w:r>
        <w:rPr>
          <w:rFonts w:hint="eastAsia" w:ascii="宋体" w:hAnsi="宋体" w:cs="宋体"/>
          <w:color w:val="auto"/>
          <w:sz w:val="24"/>
          <w:highlight w:val="none"/>
        </w:rPr>
        <w:t>）通过</w:t>
      </w:r>
      <w:r>
        <w:rPr>
          <w:rFonts w:hint="eastAsia" w:ascii="宋体" w:hAnsi="宋体" w:cs="宋体"/>
          <w:color w:val="auto"/>
          <w:sz w:val="24"/>
          <w:highlight w:val="none"/>
          <w:u w:val="single"/>
        </w:rPr>
        <w:t>滁州市城投工程咨询管理有限公司</w:t>
      </w:r>
      <w:r>
        <w:rPr>
          <w:rFonts w:hint="eastAsia" w:ascii="宋体" w:hAnsi="宋体"/>
          <w:color w:val="auto"/>
          <w:sz w:val="24"/>
          <w:highlight w:val="none"/>
        </w:rPr>
        <w:t>组织的</w:t>
      </w:r>
      <w:r>
        <w:rPr>
          <w:rFonts w:hint="eastAsia" w:ascii="宋体" w:hAnsi="宋体"/>
          <w:color w:val="auto"/>
          <w:sz w:val="24"/>
          <w:highlight w:val="none"/>
          <w:u w:val="single"/>
        </w:rPr>
        <w:t>公开招标</w:t>
      </w:r>
      <w:r>
        <w:rPr>
          <w:rFonts w:hint="eastAsia" w:ascii="宋体" w:hAnsi="宋体"/>
          <w:color w:val="auto"/>
          <w:sz w:val="24"/>
          <w:highlight w:val="none"/>
        </w:rPr>
        <w:t>方式采购活动，经</w:t>
      </w:r>
      <w:r>
        <w:rPr>
          <w:rFonts w:hint="eastAsia" w:ascii="宋体" w:hAnsi="宋体"/>
          <w:color w:val="auto"/>
          <w:sz w:val="24"/>
          <w:highlight w:val="none"/>
          <w:u w:val="single"/>
        </w:rPr>
        <w:t>评标委员会</w:t>
      </w:r>
      <w:r>
        <w:rPr>
          <w:rFonts w:hint="eastAsia" w:ascii="宋体" w:hAnsi="宋体"/>
          <w:color w:val="auto"/>
          <w:sz w:val="24"/>
          <w:highlight w:val="none"/>
        </w:rPr>
        <w:t>评定，</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zh-CN"/>
        </w:rPr>
        <w:t>以下简称：乙方</w:t>
      </w:r>
      <w:r>
        <w:rPr>
          <w:rFonts w:hint="eastAsia" w:ascii="宋体" w:hAnsi="宋体"/>
          <w:color w:val="auto"/>
          <w:sz w:val="24"/>
          <w:highlight w:val="none"/>
        </w:rPr>
        <w:t>）为本项目中标人，现按照采购文件确定的事项签订本合同。</w:t>
      </w:r>
    </w:p>
    <w:p w14:paraId="35DEC046">
      <w:pPr>
        <w:spacing w:line="360" w:lineRule="auto"/>
        <w:ind w:firstLine="435"/>
        <w:rPr>
          <w:rFonts w:ascii="宋体" w:hAnsi="宋体"/>
          <w:color w:val="auto"/>
          <w:sz w:val="24"/>
          <w:highlight w:val="none"/>
          <w:lang w:val="zh-CN"/>
        </w:rPr>
      </w:pPr>
      <w:r>
        <w:rPr>
          <w:rFonts w:hint="eastAsia" w:ascii="宋体" w:hAnsi="宋体"/>
          <w:color w:val="auto"/>
          <w:sz w:val="24"/>
          <w:highlight w:val="none"/>
        </w:rPr>
        <w:t>根据《中华人民共和国民法典》、《中华人民共和国招标投标法》《中华人民共和国招标投标法实施条例》等相关法律法规之规定，按照平等、自愿、公平和诚实信用的原则，经甲方和乙方协商一致，约定以下合同条款，以兹共同遵守、全面履行。</w:t>
      </w:r>
    </w:p>
    <w:p w14:paraId="61C34553">
      <w:pPr>
        <w:spacing w:line="360" w:lineRule="auto"/>
        <w:ind w:firstLine="437"/>
        <w:outlineLvl w:val="2"/>
        <w:rPr>
          <w:rFonts w:ascii="宋体" w:hAnsi="宋体"/>
          <w:b/>
          <w:bCs/>
          <w:color w:val="auto"/>
          <w:sz w:val="24"/>
          <w:highlight w:val="none"/>
          <w:lang w:val="zh-CN"/>
        </w:rPr>
      </w:pPr>
      <w:bookmarkStart w:id="74" w:name="_Toc2232"/>
      <w:bookmarkStart w:id="75" w:name="_Toc3029"/>
      <w:bookmarkStart w:id="76" w:name="_Toc24059"/>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74"/>
      <w:bookmarkEnd w:id="75"/>
      <w:bookmarkEnd w:id="76"/>
    </w:p>
    <w:p w14:paraId="11685097">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BE63B11">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6F429FF1">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1.1.2中标通知书；</w:t>
      </w:r>
    </w:p>
    <w:p w14:paraId="15FF7ABF">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1.1.3投标文件（含澄清或者说明文件）；</w:t>
      </w:r>
    </w:p>
    <w:p w14:paraId="149D030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1.1.4招标文件（含澄清或者修改文件）；</w:t>
      </w:r>
    </w:p>
    <w:p w14:paraId="42F3EAFD">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1.1.5其他相关采购文件。</w:t>
      </w:r>
    </w:p>
    <w:p w14:paraId="6381CE33">
      <w:pPr>
        <w:spacing w:line="360" w:lineRule="auto"/>
        <w:ind w:firstLine="437"/>
        <w:outlineLvl w:val="2"/>
        <w:rPr>
          <w:rFonts w:ascii="宋体" w:hAnsi="宋体"/>
          <w:b/>
          <w:bCs/>
          <w:color w:val="auto"/>
          <w:sz w:val="24"/>
          <w:highlight w:val="none"/>
          <w:lang w:val="zh-CN"/>
        </w:rPr>
      </w:pPr>
      <w:bookmarkStart w:id="77" w:name="_Toc22185"/>
      <w:bookmarkStart w:id="78" w:name="_Toc18585"/>
      <w:bookmarkStart w:id="79" w:name="_Toc6311"/>
      <w:bookmarkStart w:id="80" w:name="_Toc6773"/>
      <w:bookmarkStart w:id="81" w:name="_Toc2918"/>
      <w:r>
        <w:rPr>
          <w:rFonts w:hint="eastAsia" w:ascii="宋体" w:hAnsi="宋体"/>
          <w:b/>
          <w:bCs/>
          <w:color w:val="auto"/>
          <w:sz w:val="24"/>
          <w:highlight w:val="none"/>
          <w:lang w:val="zh-CN"/>
        </w:rPr>
        <w:t xml:space="preserve">1.2 </w:t>
      </w:r>
      <w:bookmarkEnd w:id="77"/>
      <w:bookmarkEnd w:id="78"/>
      <w:bookmarkEnd w:id="79"/>
      <w:bookmarkEnd w:id="80"/>
      <w:bookmarkEnd w:id="81"/>
      <w:r>
        <w:rPr>
          <w:rFonts w:hint="eastAsia" w:ascii="宋体" w:hAnsi="宋体"/>
          <w:b/>
          <w:bCs/>
          <w:color w:val="auto"/>
          <w:sz w:val="24"/>
          <w:highlight w:val="none"/>
          <w:lang w:val="zh-CN"/>
        </w:rPr>
        <w:t>服务</w:t>
      </w:r>
    </w:p>
    <w:p w14:paraId="279260FE">
      <w:pPr>
        <w:spacing w:line="360" w:lineRule="auto"/>
        <w:ind w:firstLine="435"/>
        <w:rPr>
          <w:rFonts w:ascii="宋体" w:hAnsi="宋体"/>
          <w:color w:val="auto"/>
          <w:sz w:val="24"/>
          <w:highlight w:val="none"/>
          <w:u w:val="single"/>
        </w:rPr>
      </w:pPr>
      <w:r>
        <w:rPr>
          <w:rFonts w:hint="eastAsia" w:ascii="宋体" w:hAnsi="宋体"/>
          <w:color w:val="auto"/>
          <w:sz w:val="24"/>
          <w:highlight w:val="none"/>
        </w:rPr>
        <w:t>1.2.1服务</w:t>
      </w:r>
      <w:r>
        <w:rPr>
          <w:rFonts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011C4B5">
      <w:pPr>
        <w:spacing w:line="360" w:lineRule="auto"/>
        <w:ind w:firstLine="435"/>
        <w:rPr>
          <w:rFonts w:ascii="宋体" w:hAnsi="宋体"/>
          <w:color w:val="auto"/>
          <w:sz w:val="24"/>
          <w:highlight w:val="none"/>
          <w:u w:val="single"/>
        </w:rPr>
      </w:pPr>
      <w:r>
        <w:rPr>
          <w:rFonts w:hint="eastAsia" w:ascii="宋体" w:hAnsi="宋体"/>
          <w:color w:val="auto"/>
          <w:sz w:val="24"/>
          <w:highlight w:val="none"/>
        </w:rPr>
        <w:t>1.2.2服务内容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A6F730C">
      <w:pPr>
        <w:spacing w:line="360" w:lineRule="auto"/>
        <w:ind w:firstLine="435"/>
        <w:rPr>
          <w:rFonts w:ascii="宋体" w:hAnsi="宋体"/>
          <w:color w:val="auto"/>
          <w:sz w:val="24"/>
          <w:highlight w:val="none"/>
        </w:rPr>
      </w:pPr>
      <w:r>
        <w:rPr>
          <w:rFonts w:hint="eastAsia" w:ascii="宋体" w:hAnsi="宋体"/>
          <w:color w:val="auto"/>
          <w:sz w:val="24"/>
          <w:highlight w:val="none"/>
        </w:rPr>
        <w:t>1.2.3服务质量：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5CB8CB5">
      <w:pPr>
        <w:spacing w:line="360" w:lineRule="auto"/>
        <w:ind w:firstLine="437"/>
        <w:outlineLvl w:val="2"/>
        <w:rPr>
          <w:rFonts w:ascii="宋体" w:hAnsi="宋体"/>
          <w:b/>
          <w:bCs/>
          <w:color w:val="auto"/>
          <w:sz w:val="24"/>
          <w:highlight w:val="none"/>
          <w:lang w:val="en"/>
        </w:rPr>
      </w:pPr>
      <w:bookmarkStart w:id="82" w:name="_Toc21631"/>
      <w:bookmarkStart w:id="83" w:name="_Toc23292"/>
      <w:bookmarkStart w:id="84" w:name="_Toc21551"/>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82"/>
      <w:bookmarkEnd w:id="83"/>
      <w:bookmarkEnd w:id="84"/>
      <w:r>
        <w:rPr>
          <w:rFonts w:ascii="宋体" w:hAnsi="宋体"/>
          <w:b/>
          <w:bCs/>
          <w:color w:val="auto"/>
          <w:sz w:val="24"/>
          <w:highlight w:val="none"/>
          <w:lang w:val="en"/>
        </w:rPr>
        <w:t>(</w:t>
      </w:r>
      <w:r>
        <w:rPr>
          <w:rFonts w:hint="eastAsia" w:ascii="宋体" w:hAnsi="宋体"/>
          <w:b/>
          <w:bCs/>
          <w:color w:val="auto"/>
          <w:sz w:val="24"/>
          <w:highlight w:val="none"/>
          <w:lang w:val="en"/>
        </w:rPr>
        <w:t>年度总费用不得超出</w:t>
      </w:r>
      <w:r>
        <w:rPr>
          <w:rFonts w:hint="eastAsia" w:ascii="宋体" w:hAnsi="宋体"/>
          <w:b/>
          <w:bCs/>
          <w:color w:val="auto"/>
          <w:sz w:val="24"/>
          <w:highlight w:val="none"/>
        </w:rPr>
        <w:t>45万元</w:t>
      </w:r>
      <w:r>
        <w:rPr>
          <w:rFonts w:ascii="宋体" w:hAnsi="宋体"/>
          <w:b/>
          <w:bCs/>
          <w:color w:val="auto"/>
          <w:sz w:val="24"/>
          <w:highlight w:val="none"/>
          <w:lang w:val="en"/>
        </w:rPr>
        <w:t>)</w:t>
      </w:r>
    </w:p>
    <w:p w14:paraId="3E6D4F46">
      <w:pPr>
        <w:spacing w:line="360" w:lineRule="auto"/>
        <w:ind w:firstLine="435"/>
        <w:rPr>
          <w:rFonts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1410E156">
      <w:pPr>
        <w:spacing w:line="360" w:lineRule="auto"/>
        <w:ind w:firstLine="435"/>
        <w:rPr>
          <w:rFonts w:ascii="宋体" w:hAnsi="宋体"/>
          <w:color w:val="auto"/>
          <w:sz w:val="24"/>
          <w:highlight w:val="none"/>
          <w:u w:val="single"/>
        </w:rPr>
      </w:pPr>
      <w:r>
        <w:rPr>
          <w:rFonts w:ascii="宋体" w:hAnsi="宋体"/>
          <w:color w:val="auto"/>
          <w:sz w:val="24"/>
          <w:highlight w:val="none"/>
        </w:rPr>
        <w:t>分项价格：</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86B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9A3BEC7">
            <w:pPr>
              <w:jc w:val="center"/>
              <w:rPr>
                <w:rFonts w:ascii="宋体" w:hAnsi="宋体"/>
                <w:color w:val="auto"/>
                <w:sz w:val="24"/>
                <w:highlight w:val="none"/>
                <w:lang w:val="zh-CN"/>
              </w:rPr>
            </w:pPr>
            <w:r>
              <w:rPr>
                <w:rFonts w:ascii="宋体" w:hAnsi="宋体"/>
                <w:color w:val="auto"/>
                <w:sz w:val="24"/>
                <w:highlight w:val="none"/>
                <w:lang w:val="zh-CN"/>
              </w:rPr>
              <w:t>序号</w:t>
            </w:r>
          </w:p>
        </w:tc>
        <w:tc>
          <w:tcPr>
            <w:tcW w:w="4316" w:type="dxa"/>
            <w:vAlign w:val="center"/>
          </w:tcPr>
          <w:p w14:paraId="5629212E">
            <w:pPr>
              <w:ind w:firstLine="200"/>
              <w:jc w:val="center"/>
              <w:rPr>
                <w:rFonts w:ascii="宋体" w:hAnsi="宋体"/>
                <w:color w:val="auto"/>
                <w:sz w:val="24"/>
                <w:highlight w:val="none"/>
              </w:rPr>
            </w:pPr>
            <w:r>
              <w:rPr>
                <w:rFonts w:hint="eastAsia" w:ascii="宋体" w:hAnsi="宋体"/>
                <w:color w:val="auto"/>
                <w:sz w:val="24"/>
                <w:highlight w:val="none"/>
              </w:rPr>
              <w:t>分项名称</w:t>
            </w:r>
          </w:p>
        </w:tc>
        <w:tc>
          <w:tcPr>
            <w:tcW w:w="3237" w:type="dxa"/>
            <w:gridSpan w:val="2"/>
            <w:vAlign w:val="center"/>
          </w:tcPr>
          <w:p w14:paraId="18F6A9E9">
            <w:pPr>
              <w:jc w:val="center"/>
              <w:rPr>
                <w:rFonts w:ascii="宋体" w:hAnsi="宋体"/>
                <w:color w:val="auto"/>
                <w:sz w:val="24"/>
                <w:highlight w:val="none"/>
              </w:rPr>
            </w:pPr>
            <w:r>
              <w:rPr>
                <w:rFonts w:ascii="宋体" w:hAnsi="宋体"/>
                <w:color w:val="auto"/>
                <w:sz w:val="24"/>
                <w:highlight w:val="none"/>
              </w:rPr>
              <w:t>分项价格</w:t>
            </w:r>
          </w:p>
        </w:tc>
      </w:tr>
      <w:tr w14:paraId="7CA3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E0F3C92">
            <w:pPr>
              <w:jc w:val="center"/>
              <w:rPr>
                <w:rFonts w:ascii="宋体" w:hAnsi="宋体"/>
                <w:color w:val="auto"/>
                <w:sz w:val="24"/>
                <w:highlight w:val="none"/>
                <w:lang w:val="zh-CN"/>
              </w:rPr>
            </w:pPr>
            <w:r>
              <w:rPr>
                <w:rFonts w:hint="eastAsia" w:ascii="宋体" w:hAnsi="宋体"/>
                <w:color w:val="auto"/>
                <w:sz w:val="24"/>
                <w:highlight w:val="none"/>
                <w:lang w:val="zh-CN"/>
              </w:rPr>
              <w:t>1</w:t>
            </w:r>
          </w:p>
        </w:tc>
        <w:tc>
          <w:tcPr>
            <w:tcW w:w="4316" w:type="dxa"/>
            <w:vAlign w:val="center"/>
          </w:tcPr>
          <w:p w14:paraId="2C0071DA">
            <w:pPr>
              <w:ind w:firstLine="200"/>
              <w:jc w:val="center"/>
              <w:rPr>
                <w:rFonts w:ascii="宋体" w:hAnsi="宋体"/>
                <w:color w:val="auto"/>
                <w:sz w:val="24"/>
                <w:highlight w:val="none"/>
              </w:rPr>
            </w:pPr>
          </w:p>
        </w:tc>
        <w:tc>
          <w:tcPr>
            <w:tcW w:w="3237" w:type="dxa"/>
            <w:gridSpan w:val="2"/>
            <w:vAlign w:val="center"/>
          </w:tcPr>
          <w:p w14:paraId="5B4FDA02">
            <w:pPr>
              <w:ind w:firstLine="200"/>
              <w:jc w:val="center"/>
              <w:rPr>
                <w:rFonts w:ascii="宋体" w:hAnsi="宋体"/>
                <w:color w:val="auto"/>
                <w:sz w:val="24"/>
                <w:highlight w:val="none"/>
              </w:rPr>
            </w:pPr>
          </w:p>
        </w:tc>
      </w:tr>
      <w:tr w14:paraId="281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BF18463">
            <w:pPr>
              <w:jc w:val="center"/>
              <w:rPr>
                <w:rFonts w:ascii="宋体" w:hAnsi="宋体"/>
                <w:color w:val="auto"/>
                <w:sz w:val="24"/>
                <w:highlight w:val="none"/>
                <w:lang w:val="zh-CN"/>
              </w:rPr>
            </w:pPr>
            <w:r>
              <w:rPr>
                <w:rFonts w:hint="eastAsia" w:ascii="宋体" w:hAnsi="宋体"/>
                <w:color w:val="auto"/>
                <w:sz w:val="24"/>
                <w:highlight w:val="none"/>
                <w:lang w:val="zh-CN"/>
              </w:rPr>
              <w:t>2</w:t>
            </w:r>
          </w:p>
        </w:tc>
        <w:tc>
          <w:tcPr>
            <w:tcW w:w="4316" w:type="dxa"/>
            <w:vAlign w:val="center"/>
          </w:tcPr>
          <w:p w14:paraId="42CF9907">
            <w:pPr>
              <w:ind w:firstLine="200"/>
              <w:jc w:val="center"/>
              <w:rPr>
                <w:rFonts w:ascii="宋体" w:hAnsi="宋体"/>
                <w:color w:val="auto"/>
                <w:sz w:val="24"/>
                <w:highlight w:val="none"/>
              </w:rPr>
            </w:pPr>
          </w:p>
        </w:tc>
        <w:tc>
          <w:tcPr>
            <w:tcW w:w="3237" w:type="dxa"/>
            <w:gridSpan w:val="2"/>
            <w:vAlign w:val="center"/>
          </w:tcPr>
          <w:p w14:paraId="1FCC5A36">
            <w:pPr>
              <w:ind w:firstLine="200"/>
              <w:jc w:val="center"/>
              <w:rPr>
                <w:rFonts w:ascii="宋体" w:hAnsi="宋体"/>
                <w:color w:val="auto"/>
                <w:sz w:val="24"/>
                <w:highlight w:val="none"/>
              </w:rPr>
            </w:pPr>
          </w:p>
        </w:tc>
      </w:tr>
      <w:tr w14:paraId="224A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708C0A6">
            <w:pPr>
              <w:jc w:val="center"/>
              <w:rPr>
                <w:rFonts w:ascii="宋体" w:hAnsi="宋体"/>
                <w:color w:val="auto"/>
                <w:sz w:val="24"/>
                <w:highlight w:val="none"/>
                <w:lang w:val="zh-CN"/>
              </w:rPr>
            </w:pPr>
            <w:r>
              <w:rPr>
                <w:rFonts w:ascii="宋体" w:hAnsi="宋体"/>
                <w:color w:val="auto"/>
                <w:sz w:val="24"/>
                <w:highlight w:val="none"/>
                <w:lang w:val="zh-CN"/>
              </w:rPr>
              <w:t>3</w:t>
            </w:r>
          </w:p>
        </w:tc>
        <w:tc>
          <w:tcPr>
            <w:tcW w:w="4316" w:type="dxa"/>
            <w:vAlign w:val="center"/>
          </w:tcPr>
          <w:p w14:paraId="772B38BD">
            <w:pPr>
              <w:ind w:firstLine="200"/>
              <w:jc w:val="center"/>
              <w:rPr>
                <w:rFonts w:ascii="宋体" w:hAnsi="宋体"/>
                <w:color w:val="auto"/>
                <w:sz w:val="24"/>
                <w:highlight w:val="none"/>
              </w:rPr>
            </w:pPr>
          </w:p>
        </w:tc>
        <w:tc>
          <w:tcPr>
            <w:tcW w:w="3237" w:type="dxa"/>
            <w:gridSpan w:val="2"/>
            <w:vAlign w:val="center"/>
          </w:tcPr>
          <w:p w14:paraId="47498590">
            <w:pPr>
              <w:ind w:firstLine="200"/>
              <w:jc w:val="center"/>
              <w:rPr>
                <w:rFonts w:ascii="宋体" w:hAnsi="宋体"/>
                <w:color w:val="auto"/>
                <w:sz w:val="24"/>
                <w:highlight w:val="none"/>
              </w:rPr>
            </w:pPr>
          </w:p>
        </w:tc>
      </w:tr>
      <w:tr w14:paraId="2162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26F7FA9">
            <w:pPr>
              <w:jc w:val="center"/>
              <w:rPr>
                <w:rFonts w:ascii="宋体" w:hAnsi="宋体"/>
                <w:color w:val="auto"/>
                <w:sz w:val="24"/>
                <w:highlight w:val="none"/>
                <w:lang w:val="zh-CN"/>
              </w:rPr>
            </w:pPr>
            <w:r>
              <w:rPr>
                <w:rFonts w:hint="eastAsia" w:ascii="宋体" w:hAnsi="宋体"/>
                <w:color w:val="auto"/>
                <w:sz w:val="24"/>
                <w:highlight w:val="none"/>
                <w:lang w:val="zh-CN"/>
              </w:rPr>
              <w:t>……</w:t>
            </w:r>
          </w:p>
        </w:tc>
        <w:tc>
          <w:tcPr>
            <w:tcW w:w="4316" w:type="dxa"/>
            <w:vAlign w:val="center"/>
          </w:tcPr>
          <w:p w14:paraId="4B4D85DE">
            <w:pPr>
              <w:ind w:firstLine="200"/>
              <w:jc w:val="center"/>
              <w:rPr>
                <w:rFonts w:ascii="宋体" w:hAnsi="宋体"/>
                <w:color w:val="auto"/>
                <w:sz w:val="24"/>
                <w:highlight w:val="none"/>
              </w:rPr>
            </w:pPr>
          </w:p>
        </w:tc>
        <w:tc>
          <w:tcPr>
            <w:tcW w:w="3237" w:type="dxa"/>
            <w:gridSpan w:val="2"/>
            <w:vAlign w:val="center"/>
          </w:tcPr>
          <w:p w14:paraId="364AEA5C">
            <w:pPr>
              <w:ind w:firstLine="200"/>
              <w:jc w:val="center"/>
              <w:rPr>
                <w:rFonts w:ascii="宋体" w:hAnsi="宋体"/>
                <w:color w:val="auto"/>
                <w:sz w:val="24"/>
                <w:highlight w:val="none"/>
              </w:rPr>
            </w:pPr>
          </w:p>
        </w:tc>
      </w:tr>
      <w:tr w14:paraId="1EBC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10E4EF4">
            <w:pPr>
              <w:ind w:firstLine="200"/>
              <w:jc w:val="center"/>
              <w:rPr>
                <w:rFonts w:ascii="宋体" w:hAnsi="宋体"/>
                <w:color w:val="auto"/>
                <w:sz w:val="24"/>
                <w:highlight w:val="none"/>
              </w:rPr>
            </w:pPr>
            <w:r>
              <w:rPr>
                <w:rFonts w:hint="eastAsia" w:ascii="宋体" w:hAnsi="宋体"/>
                <w:color w:val="auto"/>
                <w:sz w:val="24"/>
                <w:highlight w:val="none"/>
              </w:rPr>
              <w:t>总价</w:t>
            </w:r>
          </w:p>
        </w:tc>
        <w:tc>
          <w:tcPr>
            <w:tcW w:w="3237" w:type="dxa"/>
            <w:gridSpan w:val="2"/>
            <w:vAlign w:val="center"/>
          </w:tcPr>
          <w:p w14:paraId="202731C9">
            <w:pPr>
              <w:ind w:firstLine="200"/>
              <w:jc w:val="center"/>
              <w:rPr>
                <w:rFonts w:ascii="宋体" w:hAnsi="宋体"/>
                <w:color w:val="auto"/>
                <w:sz w:val="24"/>
                <w:highlight w:val="none"/>
              </w:rPr>
            </w:pPr>
          </w:p>
        </w:tc>
      </w:tr>
    </w:tbl>
    <w:p w14:paraId="036A55CD">
      <w:pPr>
        <w:spacing w:line="360" w:lineRule="auto"/>
        <w:ind w:firstLine="437"/>
        <w:outlineLvl w:val="2"/>
        <w:rPr>
          <w:rFonts w:ascii="宋体" w:hAnsi="宋体"/>
          <w:b/>
          <w:bCs/>
          <w:color w:val="auto"/>
          <w:sz w:val="24"/>
          <w:highlight w:val="none"/>
          <w:lang w:val="zh-CN"/>
        </w:rPr>
      </w:pPr>
      <w:bookmarkStart w:id="85" w:name="_Toc1814"/>
      <w:bookmarkStart w:id="86" w:name="_Toc22618"/>
      <w:bookmarkStart w:id="87" w:name="_Toc10340"/>
      <w:r>
        <w:rPr>
          <w:rFonts w:hint="eastAsia" w:ascii="宋体" w:hAnsi="宋体"/>
          <w:b/>
          <w:bCs/>
          <w:color w:val="auto"/>
          <w:sz w:val="24"/>
          <w:highlight w:val="none"/>
          <w:lang w:val="zh-CN"/>
        </w:rPr>
        <w:t>1.</w:t>
      </w:r>
      <w:r>
        <w:rPr>
          <w:rFonts w:ascii="宋体" w:hAnsi="宋体"/>
          <w:b/>
          <w:bCs/>
          <w:color w:val="auto"/>
          <w:sz w:val="24"/>
          <w:highlight w:val="none"/>
          <w:lang w:val="zh-CN"/>
        </w:rPr>
        <w:t>4 付款方式和发票开具方式</w:t>
      </w:r>
      <w:bookmarkEnd w:id="85"/>
      <w:bookmarkEnd w:id="86"/>
      <w:bookmarkEnd w:id="87"/>
    </w:p>
    <w:p w14:paraId="48950164">
      <w:pPr>
        <w:spacing w:line="360" w:lineRule="auto"/>
        <w:ind w:firstLine="435"/>
        <w:rPr>
          <w:rFonts w:ascii="宋体" w:hAnsi="宋体"/>
          <w:color w:val="auto"/>
          <w:sz w:val="24"/>
          <w:highlight w:val="none"/>
        </w:rPr>
      </w:pPr>
      <w:r>
        <w:rPr>
          <w:rFonts w:hint="eastAsia" w:ascii="宋体" w:hAnsi="宋体"/>
          <w:color w:val="auto"/>
          <w:sz w:val="24"/>
          <w:highlight w:val="none"/>
        </w:rPr>
        <w:t>1.4.1</w:t>
      </w:r>
      <w:r>
        <w:rPr>
          <w:rFonts w:ascii="宋体" w:hAnsi="宋体"/>
          <w:color w:val="auto"/>
          <w:sz w:val="24"/>
          <w:highlight w:val="none"/>
        </w:rPr>
        <w:t>付款方式：</w:t>
      </w:r>
      <w:r>
        <w:rPr>
          <w:rFonts w:hint="eastAsia" w:ascii="宋体" w:hAnsi="宋体"/>
          <w:color w:val="auto"/>
          <w:sz w:val="24"/>
          <w:highlight w:val="none"/>
          <w:u w:val="single"/>
        </w:rPr>
        <w:t xml:space="preserve">        按月支付                                        </w:t>
      </w:r>
      <w:r>
        <w:rPr>
          <w:rFonts w:hint="eastAsia" w:ascii="宋体" w:hAnsi="宋体"/>
          <w:color w:val="auto"/>
          <w:sz w:val="24"/>
          <w:highlight w:val="none"/>
        </w:rPr>
        <w:t>；</w:t>
      </w:r>
    </w:p>
    <w:p w14:paraId="6E809365">
      <w:pPr>
        <w:spacing w:line="360" w:lineRule="auto"/>
        <w:ind w:firstLine="435"/>
        <w:jc w:val="left"/>
        <w:rPr>
          <w:rFonts w:ascii="宋体" w:hAnsi="宋体"/>
          <w:color w:val="auto"/>
          <w:sz w:val="24"/>
          <w:highlight w:val="none"/>
        </w:rPr>
      </w:pPr>
      <w:r>
        <w:rPr>
          <w:rFonts w:hint="eastAsia" w:ascii="宋体" w:hAnsi="宋体"/>
          <w:color w:val="auto"/>
          <w:sz w:val="24"/>
          <w:highlight w:val="none"/>
        </w:rPr>
        <w:t>1.4.2发票开具方式：</w:t>
      </w:r>
      <w:r>
        <w:rPr>
          <w:rFonts w:hint="eastAsia" w:ascii="宋体" w:hAnsi="宋体"/>
          <w:color w:val="auto"/>
          <w:sz w:val="24"/>
          <w:highlight w:val="none"/>
          <w:u w:val="single"/>
        </w:rPr>
        <w:t xml:space="preserve">   乙方开具发票 （依据理发系统计次人数*单次理发费用 </w:t>
      </w:r>
      <w:r>
        <w:rPr>
          <w:rFonts w:hint="eastAsia" w:ascii="宋体" w:hAnsi="宋体"/>
          <w:color w:val="auto"/>
          <w:sz w:val="24"/>
          <w:highlight w:val="none"/>
        </w:rPr>
        <w:t>。</w:t>
      </w:r>
    </w:p>
    <w:p w14:paraId="563B973F">
      <w:pPr>
        <w:spacing w:line="360" w:lineRule="auto"/>
        <w:ind w:firstLine="437"/>
        <w:outlineLvl w:val="2"/>
        <w:rPr>
          <w:rFonts w:ascii="宋体" w:hAnsi="宋体"/>
          <w:b/>
          <w:bCs/>
          <w:color w:val="auto"/>
          <w:sz w:val="24"/>
          <w:highlight w:val="none"/>
          <w:lang w:val="zh-CN"/>
        </w:rPr>
      </w:pPr>
      <w:bookmarkStart w:id="88" w:name="_Toc2846"/>
      <w:bookmarkStart w:id="89" w:name="_Toc19304"/>
      <w:bookmarkStart w:id="90" w:name="_Toc32071"/>
      <w:r>
        <w:rPr>
          <w:rFonts w:hint="eastAsia" w:ascii="宋体" w:hAnsi="宋体"/>
          <w:b/>
          <w:bCs/>
          <w:color w:val="auto"/>
          <w:sz w:val="24"/>
          <w:highlight w:val="none"/>
          <w:lang w:val="zh-CN"/>
        </w:rPr>
        <w:t>1.</w:t>
      </w:r>
      <w:r>
        <w:rPr>
          <w:rFonts w:ascii="宋体" w:hAnsi="宋体"/>
          <w:b/>
          <w:bCs/>
          <w:color w:val="auto"/>
          <w:sz w:val="24"/>
          <w:highlight w:val="none"/>
          <w:lang w:val="zh-CN"/>
        </w:rPr>
        <w:t xml:space="preserve">5 </w:t>
      </w:r>
      <w:r>
        <w:rPr>
          <w:rFonts w:hint="eastAsia" w:ascii="宋体" w:hAnsi="宋体"/>
          <w:b/>
          <w:bCs/>
          <w:color w:val="auto"/>
          <w:sz w:val="24"/>
          <w:highlight w:val="none"/>
          <w:lang w:val="zh-CN"/>
        </w:rPr>
        <w:t>服务</w:t>
      </w:r>
      <w:r>
        <w:rPr>
          <w:rFonts w:ascii="宋体" w:hAnsi="宋体"/>
          <w:b/>
          <w:bCs/>
          <w:color w:val="auto"/>
          <w:sz w:val="24"/>
          <w:highlight w:val="none"/>
          <w:lang w:val="zh-CN"/>
        </w:rPr>
        <w:t>期限</w:t>
      </w:r>
      <w:r>
        <w:rPr>
          <w:rFonts w:hint="eastAsia" w:ascii="宋体" w:hAnsi="宋体"/>
          <w:b/>
          <w:bCs/>
          <w:color w:val="auto"/>
          <w:sz w:val="24"/>
          <w:highlight w:val="none"/>
          <w:lang w:val="zh-CN"/>
        </w:rPr>
        <w:t>、地点和方式</w:t>
      </w:r>
      <w:bookmarkEnd w:id="88"/>
      <w:bookmarkEnd w:id="89"/>
      <w:bookmarkEnd w:id="90"/>
    </w:p>
    <w:p w14:paraId="4680BEEF">
      <w:pPr>
        <w:spacing w:line="360" w:lineRule="auto"/>
        <w:ind w:firstLine="435"/>
        <w:jc w:val="left"/>
        <w:rPr>
          <w:rFonts w:ascii="宋体" w:hAnsi="宋体"/>
          <w:color w:val="auto"/>
          <w:sz w:val="24"/>
          <w:highlight w:val="none"/>
          <w:u w:val="single"/>
        </w:rPr>
      </w:pPr>
      <w:r>
        <w:rPr>
          <w:rFonts w:hint="eastAsia" w:ascii="宋体" w:hAnsi="宋体"/>
          <w:color w:val="auto"/>
          <w:sz w:val="24"/>
          <w:highlight w:val="none"/>
        </w:rPr>
        <w:t>1.5.1服务期限</w:t>
      </w:r>
      <w:r>
        <w:rPr>
          <w:rFonts w:ascii="宋体" w:hAnsi="宋体"/>
          <w:color w:val="auto"/>
          <w:sz w:val="24"/>
          <w:highlight w:val="none"/>
        </w:rPr>
        <w:t>：</w:t>
      </w:r>
      <w:r>
        <w:rPr>
          <w:rFonts w:hint="eastAsia" w:ascii="宋体" w:hAnsi="宋体"/>
          <w:color w:val="auto"/>
          <w:sz w:val="24"/>
          <w:highlight w:val="none"/>
          <w:u w:val="single"/>
        </w:rPr>
        <w:t xml:space="preserve">    中标后试用期三个月</w:t>
      </w:r>
      <w:r>
        <w:rPr>
          <w:rFonts w:ascii="宋体" w:hAnsi="宋体"/>
          <w:color w:val="auto"/>
          <w:sz w:val="24"/>
          <w:highlight w:val="none"/>
          <w:u w:val="single"/>
          <w:lang w:val="en"/>
        </w:rPr>
        <w:t>,</w:t>
      </w:r>
      <w:r>
        <w:rPr>
          <w:rFonts w:hint="eastAsia" w:ascii="宋体" w:hAnsi="宋体"/>
          <w:color w:val="auto"/>
          <w:sz w:val="24"/>
          <w:highlight w:val="none"/>
          <w:u w:val="single"/>
          <w:lang w:val="en"/>
        </w:rPr>
        <w:t>经满意度测评合格后签订合同，合同一年一签</w:t>
      </w:r>
      <w:r>
        <w:rPr>
          <w:rFonts w:hint="eastAsia" w:ascii="宋体" w:hAnsi="宋体"/>
          <w:color w:val="auto"/>
          <w:sz w:val="24"/>
          <w:highlight w:val="none"/>
        </w:rPr>
        <w:t>；</w:t>
      </w:r>
    </w:p>
    <w:p w14:paraId="78C95190">
      <w:pPr>
        <w:spacing w:line="360" w:lineRule="auto"/>
        <w:ind w:firstLine="435"/>
        <w:rPr>
          <w:rFonts w:ascii="宋体" w:hAnsi="宋体"/>
          <w:color w:val="auto"/>
          <w:sz w:val="24"/>
          <w:highlight w:val="none"/>
        </w:rPr>
      </w:pPr>
      <w:r>
        <w:rPr>
          <w:rFonts w:hint="eastAsia" w:ascii="宋体" w:hAnsi="宋体"/>
          <w:color w:val="auto"/>
          <w:sz w:val="24"/>
          <w:highlight w:val="none"/>
        </w:rPr>
        <w:t>1.5.2服务地点</w:t>
      </w:r>
      <w:r>
        <w:rPr>
          <w:rFonts w:ascii="宋体" w:hAnsi="宋体"/>
          <w:color w:val="auto"/>
          <w:sz w:val="24"/>
          <w:highlight w:val="none"/>
        </w:rPr>
        <w:t>：</w:t>
      </w:r>
      <w:r>
        <w:rPr>
          <w:rFonts w:hint="eastAsia" w:ascii="宋体" w:hAnsi="宋体"/>
          <w:color w:val="auto"/>
          <w:sz w:val="24"/>
          <w:highlight w:val="none"/>
          <w:u w:val="single"/>
        </w:rPr>
        <w:t xml:space="preserve">                         市公安局大楼                       </w:t>
      </w:r>
      <w:r>
        <w:rPr>
          <w:rFonts w:hint="eastAsia" w:ascii="宋体" w:hAnsi="宋体"/>
          <w:color w:val="auto"/>
          <w:sz w:val="24"/>
          <w:highlight w:val="none"/>
        </w:rPr>
        <w:t>；</w:t>
      </w:r>
    </w:p>
    <w:p w14:paraId="73B94B55">
      <w:pPr>
        <w:spacing w:line="360" w:lineRule="auto"/>
        <w:ind w:firstLine="435"/>
        <w:rPr>
          <w:rFonts w:ascii="宋体" w:hAnsi="宋体"/>
          <w:color w:val="auto"/>
          <w:sz w:val="24"/>
          <w:highlight w:val="none"/>
        </w:rPr>
      </w:pPr>
      <w:r>
        <w:rPr>
          <w:rFonts w:hint="eastAsia" w:ascii="宋体" w:hAnsi="宋体"/>
          <w:color w:val="auto"/>
          <w:sz w:val="24"/>
          <w:highlight w:val="none"/>
        </w:rPr>
        <w:t>1.5.3服务方式：</w:t>
      </w:r>
      <w:r>
        <w:rPr>
          <w:rFonts w:hint="eastAsia" w:ascii="宋体" w:hAnsi="宋体"/>
          <w:color w:val="auto"/>
          <w:sz w:val="24"/>
          <w:highlight w:val="none"/>
          <w:u w:val="single"/>
        </w:rPr>
        <w:t xml:space="preserve">                  理发师固定驻点理发                           </w:t>
      </w:r>
      <w:r>
        <w:rPr>
          <w:rFonts w:hint="eastAsia" w:ascii="宋体" w:hAnsi="宋体"/>
          <w:color w:val="auto"/>
          <w:sz w:val="24"/>
          <w:highlight w:val="none"/>
        </w:rPr>
        <w:t>。</w:t>
      </w:r>
    </w:p>
    <w:p w14:paraId="49B18A2E">
      <w:pPr>
        <w:spacing w:line="360" w:lineRule="auto"/>
        <w:ind w:firstLine="437"/>
        <w:outlineLvl w:val="2"/>
        <w:rPr>
          <w:rFonts w:ascii="宋体" w:hAnsi="宋体"/>
          <w:b/>
          <w:bCs/>
          <w:color w:val="auto"/>
          <w:sz w:val="24"/>
          <w:highlight w:val="none"/>
          <w:lang w:val="zh-CN"/>
        </w:rPr>
      </w:pPr>
      <w:bookmarkStart w:id="91" w:name="_Toc21423"/>
      <w:bookmarkStart w:id="92" w:name="_Toc19554"/>
      <w:bookmarkStart w:id="93" w:name="_Toc27250"/>
      <w:r>
        <w:rPr>
          <w:rFonts w:hint="eastAsia" w:ascii="宋体" w:hAnsi="宋体"/>
          <w:b/>
          <w:bCs/>
          <w:color w:val="auto"/>
          <w:sz w:val="24"/>
          <w:highlight w:val="none"/>
          <w:lang w:val="zh-CN"/>
        </w:rPr>
        <w:t>1.6 违约责任</w:t>
      </w:r>
      <w:bookmarkEnd w:id="91"/>
      <w:bookmarkEnd w:id="92"/>
      <w:bookmarkEnd w:id="93"/>
    </w:p>
    <w:p w14:paraId="109C1366">
      <w:pPr>
        <w:spacing w:line="500" w:lineRule="exact"/>
        <w:ind w:firstLine="435"/>
        <w:rPr>
          <w:rFonts w:ascii="宋体" w:hAnsi="宋体" w:cs="宋体"/>
          <w:color w:val="auto"/>
          <w:sz w:val="24"/>
          <w:highlight w:val="none"/>
        </w:rPr>
      </w:pPr>
      <w:r>
        <w:rPr>
          <w:rFonts w:hint="eastAsia" w:ascii="宋体" w:hAnsi="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5</w:t>
      </w:r>
      <w:r>
        <w:rPr>
          <w:rFonts w:hint="eastAsia" w:ascii="宋体" w:hAnsi="宋体" w:cs="宋体"/>
          <w:color w:val="auto"/>
          <w:sz w:val="24"/>
          <w:highlight w:val="none"/>
        </w:rPr>
        <w:t>%；迟延履行的违约金计算数额达到前述最高限额之日起，甲方有权在要求乙方支付违约金的同时，书面通知乙方解除本合同；</w:t>
      </w:r>
    </w:p>
    <w:p w14:paraId="23AF7D42">
      <w:pPr>
        <w:spacing w:line="360" w:lineRule="auto"/>
        <w:ind w:firstLine="435"/>
        <w:rPr>
          <w:rFonts w:ascii="宋体" w:hAnsi="宋体"/>
          <w:color w:val="auto"/>
          <w:sz w:val="24"/>
          <w:highlight w:val="none"/>
        </w:rPr>
      </w:pPr>
      <w:r>
        <w:rPr>
          <w:rFonts w:hint="eastAsia" w:ascii="宋体" w:hAnsi="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5</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5E3D2440">
      <w:pPr>
        <w:spacing w:line="360" w:lineRule="auto"/>
        <w:ind w:firstLine="435"/>
        <w:rPr>
          <w:rFonts w:ascii="宋体" w:hAnsi="宋体"/>
          <w:color w:val="auto"/>
          <w:sz w:val="24"/>
          <w:highlight w:val="none"/>
        </w:rPr>
      </w:pPr>
      <w:r>
        <w:rPr>
          <w:rFonts w:hint="eastAsia" w:ascii="宋体" w:hAnsi="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DFCE61">
      <w:pPr>
        <w:spacing w:line="360" w:lineRule="auto"/>
        <w:ind w:firstLine="435"/>
        <w:rPr>
          <w:rFonts w:ascii="宋体" w:hAnsi="宋体"/>
          <w:color w:val="auto"/>
          <w:sz w:val="24"/>
          <w:highlight w:val="none"/>
        </w:rPr>
      </w:pPr>
      <w:r>
        <w:rPr>
          <w:rFonts w:hint="eastAsia" w:ascii="宋体" w:hAnsi="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FA8ECD">
      <w:pPr>
        <w:spacing w:line="360" w:lineRule="auto"/>
        <w:ind w:firstLine="435"/>
        <w:rPr>
          <w:rFonts w:ascii="宋体" w:hAnsi="宋体"/>
          <w:color w:val="auto"/>
          <w:sz w:val="24"/>
          <w:highlight w:val="none"/>
        </w:rPr>
      </w:pPr>
      <w:r>
        <w:rPr>
          <w:rFonts w:hint="eastAsia" w:ascii="宋体" w:hAnsi="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94422C">
      <w:pPr>
        <w:spacing w:line="360" w:lineRule="auto"/>
        <w:ind w:firstLine="435"/>
        <w:rPr>
          <w:rFonts w:ascii="宋体" w:hAnsi="宋体"/>
          <w:color w:val="auto"/>
          <w:sz w:val="24"/>
          <w:highlight w:val="none"/>
        </w:rPr>
      </w:pPr>
      <w:r>
        <w:rPr>
          <w:rFonts w:hint="eastAsia" w:ascii="宋体" w:hAnsi="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F586BDB">
      <w:pPr>
        <w:spacing w:line="360" w:lineRule="auto"/>
        <w:ind w:firstLine="435"/>
        <w:rPr>
          <w:rFonts w:ascii="宋体" w:hAnsi="宋体"/>
          <w:color w:val="auto"/>
          <w:sz w:val="24"/>
          <w:highlight w:val="none"/>
        </w:rPr>
      </w:pPr>
      <w:r>
        <w:rPr>
          <w:rFonts w:ascii="宋体" w:hAnsi="宋体"/>
          <w:color w:val="auto"/>
          <w:sz w:val="24"/>
          <w:highlight w:val="none"/>
        </w:rPr>
        <w:t>1.6.7因甲方未按合同约定支付价款、未按合同约定受领标的物、擅自解除合同</w:t>
      </w:r>
      <w:r>
        <w:rPr>
          <w:rFonts w:hint="eastAsia" w:ascii="宋体" w:hAnsi="宋体"/>
          <w:color w:val="auto"/>
          <w:sz w:val="24"/>
          <w:highlight w:val="none"/>
        </w:rPr>
        <w:t>、逾期退还履约保证金</w:t>
      </w:r>
      <w:r>
        <w:rPr>
          <w:rFonts w:ascii="宋体" w:hAnsi="宋体"/>
          <w:color w:val="auto"/>
          <w:sz w:val="24"/>
          <w:highlight w:val="none"/>
        </w:rPr>
        <w:t>导致乙方遭受的直接损失，乙方可向甲方申请赔偿，赔偿金额由双方协商一致；</w:t>
      </w:r>
      <w:r>
        <w:rPr>
          <w:rFonts w:hint="eastAsia" w:ascii="宋体" w:hAnsi="宋体"/>
          <w:color w:val="auto"/>
          <w:sz w:val="24"/>
          <w:highlight w:val="none"/>
        </w:rPr>
        <w:t>针对因政策变化等原因不能签订合同或解除合同时，造成乙方合法利益受损的情形，可以给予乙方合理补偿，补偿金额不得超过乙方的直接损失。</w:t>
      </w:r>
    </w:p>
    <w:p w14:paraId="5EC5473B">
      <w:pPr>
        <w:spacing w:line="360" w:lineRule="auto"/>
        <w:ind w:firstLine="437"/>
        <w:outlineLvl w:val="2"/>
        <w:rPr>
          <w:rFonts w:ascii="宋体" w:hAnsi="宋体"/>
          <w:b/>
          <w:bCs/>
          <w:color w:val="auto"/>
          <w:sz w:val="24"/>
          <w:highlight w:val="none"/>
          <w:lang w:val="zh-CN"/>
        </w:rPr>
      </w:pPr>
      <w:bookmarkStart w:id="94" w:name="_Toc15583"/>
      <w:bookmarkStart w:id="95" w:name="_Toc16021"/>
      <w:bookmarkStart w:id="96" w:name="_Toc28375"/>
      <w:r>
        <w:rPr>
          <w:rFonts w:hint="eastAsia" w:ascii="宋体" w:hAnsi="宋体"/>
          <w:b/>
          <w:bCs/>
          <w:color w:val="auto"/>
          <w:sz w:val="24"/>
          <w:highlight w:val="none"/>
          <w:lang w:val="zh-CN"/>
        </w:rPr>
        <w:t>1.7</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94"/>
      <w:bookmarkEnd w:id="95"/>
      <w:bookmarkEnd w:id="96"/>
    </w:p>
    <w:p w14:paraId="46FB3484">
      <w:pPr>
        <w:spacing w:line="360" w:lineRule="auto"/>
        <w:ind w:firstLine="435"/>
        <w:rPr>
          <w:rFonts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7AB9CAFE">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73EE7728">
      <w:pPr>
        <w:spacing w:line="360" w:lineRule="auto"/>
        <w:ind w:firstLine="435"/>
        <w:rPr>
          <w:rFonts w:ascii="宋体" w:hAnsi="宋体"/>
          <w:color w:val="auto"/>
          <w:sz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37614571">
      <w:pPr>
        <w:spacing w:line="360" w:lineRule="auto"/>
        <w:ind w:firstLine="437"/>
        <w:outlineLvl w:val="2"/>
        <w:rPr>
          <w:rFonts w:ascii="宋体" w:hAnsi="宋体"/>
          <w:b/>
          <w:bCs/>
          <w:color w:val="auto"/>
          <w:sz w:val="24"/>
          <w:highlight w:val="none"/>
          <w:lang w:val="zh-CN"/>
        </w:rPr>
      </w:pPr>
      <w:bookmarkStart w:id="97" w:name="_Toc11173"/>
      <w:bookmarkStart w:id="98" w:name="_Toc15322"/>
      <w:bookmarkStart w:id="99" w:name="_Toc7245"/>
      <w:r>
        <w:rPr>
          <w:rFonts w:hint="eastAsia" w:ascii="宋体" w:hAnsi="宋体"/>
          <w:b/>
          <w:bCs/>
          <w:color w:val="auto"/>
          <w:sz w:val="24"/>
          <w:highlight w:val="none"/>
          <w:lang w:val="zh-CN"/>
        </w:rPr>
        <w:t>1.8</w:t>
      </w:r>
      <w:r>
        <w:rPr>
          <w:rFonts w:ascii="宋体" w:hAnsi="宋体"/>
          <w:b/>
          <w:bCs/>
          <w:color w:val="auto"/>
          <w:sz w:val="24"/>
          <w:highlight w:val="none"/>
          <w:lang w:val="zh-CN"/>
        </w:rPr>
        <w:t xml:space="preserve"> 合同生效</w:t>
      </w:r>
      <w:bookmarkEnd w:id="97"/>
      <w:bookmarkEnd w:id="98"/>
      <w:bookmarkEnd w:id="99"/>
    </w:p>
    <w:p w14:paraId="022A375A">
      <w:pPr>
        <w:spacing w:line="360" w:lineRule="auto"/>
        <w:ind w:firstLine="435"/>
        <w:rPr>
          <w:rFonts w:ascii="宋体" w:hAnsi="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p>
    <w:p w14:paraId="05283377">
      <w:pPr>
        <w:autoSpaceDE w:val="0"/>
        <w:autoSpaceDN w:val="0"/>
        <w:adjustRightInd w:val="0"/>
        <w:spacing w:line="560" w:lineRule="exact"/>
        <w:rPr>
          <w:rFonts w:ascii="宋体" w:hAnsi="宋体"/>
          <w:color w:val="auto"/>
          <w:sz w:val="24"/>
          <w:highlight w:val="none"/>
          <w:lang w:val="zh-CN"/>
        </w:rPr>
      </w:pPr>
    </w:p>
    <w:p w14:paraId="16D3BFBA">
      <w:pPr>
        <w:autoSpaceDE w:val="0"/>
        <w:autoSpaceDN w:val="0"/>
        <w:adjustRightInd w:val="0"/>
        <w:spacing w:line="560" w:lineRule="exact"/>
        <w:rPr>
          <w:rFonts w:ascii="宋体" w:hAnsi="宋体"/>
          <w:color w:val="auto"/>
          <w:sz w:val="24"/>
          <w:highlight w:val="none"/>
          <w:lang w:val="zh-CN"/>
        </w:rPr>
      </w:pPr>
    </w:p>
    <w:p w14:paraId="1B99F3C2">
      <w:pPr>
        <w:autoSpaceDE w:val="0"/>
        <w:autoSpaceDN w:val="0"/>
        <w:adjustRightInd w:val="0"/>
        <w:spacing w:line="560" w:lineRule="exact"/>
        <w:rPr>
          <w:rFonts w:ascii="宋体" w:hAnsi="宋体"/>
          <w:color w:val="auto"/>
          <w:sz w:val="24"/>
          <w:highlight w:val="none"/>
          <w:lang w:val="zh-CN"/>
        </w:rPr>
      </w:pPr>
    </w:p>
    <w:p w14:paraId="0E942B22">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3CCC1DE5">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4FCCFB46">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388C99AF">
      <w:pPr>
        <w:widowControl/>
        <w:spacing w:line="560" w:lineRule="exact"/>
        <w:jc w:val="left"/>
        <w:rPr>
          <w:rFonts w:ascii="宋体" w:hAnsi="宋体"/>
          <w:bCs/>
          <w:color w:val="auto"/>
          <w:sz w:val="24"/>
          <w:highlight w:val="none"/>
        </w:rPr>
      </w:pPr>
      <w:bookmarkStart w:id="100"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38445C6F">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bookmarkStart w:id="101" w:name="_Hlk110099149"/>
      <w:r>
        <w:rPr>
          <w:rFonts w:hint="eastAsia" w:ascii="宋体" w:hAnsi="宋体"/>
          <w:color w:val="auto"/>
          <w:sz w:val="24"/>
          <w:highlight w:val="none"/>
        </w:rPr>
        <w:t>乙方账户信息</w:t>
      </w:r>
    </w:p>
    <w:p w14:paraId="7C5E50B6">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户名：</w:t>
      </w:r>
      <w:r>
        <w:rPr>
          <w:rFonts w:hint="eastAsia" w:ascii="宋体" w:hAnsi="宋体"/>
          <w:color w:val="auto"/>
          <w:sz w:val="24"/>
          <w:highlight w:val="none"/>
          <w:u w:val="single"/>
        </w:rPr>
        <w:t xml:space="preserve">            </w:t>
      </w:r>
    </w:p>
    <w:p w14:paraId="1237630B">
      <w:pPr>
        <w:spacing w:line="560" w:lineRule="exact"/>
        <w:rPr>
          <w:rFonts w:ascii="宋体" w:hAnsi="宋体"/>
          <w:color w:val="auto"/>
          <w:sz w:val="24"/>
          <w:highlight w:val="none"/>
        </w:rPr>
      </w:pP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p>
    <w:p w14:paraId="1C01223A">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开户银行：</w:t>
      </w:r>
      <w:r>
        <w:rPr>
          <w:rFonts w:hint="eastAsia" w:ascii="宋体" w:hAnsi="宋体"/>
          <w:color w:val="auto"/>
          <w:sz w:val="24"/>
          <w:highlight w:val="none"/>
          <w:u w:val="single"/>
        </w:rPr>
        <w:t xml:space="preserve">        </w:t>
      </w:r>
    </w:p>
    <w:bookmarkEnd w:id="101"/>
    <w:p w14:paraId="625B513C">
      <w:pPr>
        <w:widowControl/>
        <w:jc w:val="left"/>
        <w:rPr>
          <w:rFonts w:ascii="宋体" w:hAnsi="宋体"/>
          <w:b/>
          <w:color w:val="auto"/>
          <w:sz w:val="24"/>
          <w:highlight w:val="none"/>
        </w:rPr>
      </w:pPr>
      <w:r>
        <w:rPr>
          <w:rFonts w:ascii="宋体" w:hAnsi="宋体"/>
          <w:b/>
          <w:color w:val="auto"/>
          <w:sz w:val="24"/>
          <w:highlight w:val="none"/>
        </w:rPr>
        <w:br w:type="page"/>
      </w:r>
    </w:p>
    <w:p w14:paraId="4488F1DE">
      <w:pPr>
        <w:spacing w:line="360" w:lineRule="auto"/>
        <w:jc w:val="center"/>
        <w:outlineLvl w:val="1"/>
        <w:rPr>
          <w:rFonts w:ascii="宋体" w:hAnsi="宋体"/>
          <w:b/>
          <w:color w:val="auto"/>
          <w:sz w:val="24"/>
          <w:highlight w:val="none"/>
        </w:rPr>
      </w:pPr>
      <w:bookmarkStart w:id="102" w:name="_Toc415"/>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100"/>
      <w:bookmarkEnd w:id="102"/>
    </w:p>
    <w:p w14:paraId="06284705">
      <w:pPr>
        <w:spacing w:line="360" w:lineRule="auto"/>
        <w:ind w:firstLine="437"/>
        <w:outlineLvl w:val="2"/>
        <w:rPr>
          <w:rFonts w:ascii="宋体" w:hAnsi="宋体"/>
          <w:b/>
          <w:bCs/>
          <w:color w:val="auto"/>
          <w:sz w:val="24"/>
          <w:highlight w:val="none"/>
          <w:lang w:val="zh-CN"/>
        </w:rPr>
      </w:pPr>
      <w:bookmarkStart w:id="103" w:name="_Toc28763"/>
      <w:bookmarkStart w:id="104" w:name="_Toc19614"/>
      <w:bookmarkStart w:id="105" w:name="_Ref467379094"/>
      <w:bookmarkStart w:id="106" w:name="_Ref467379101"/>
      <w:bookmarkStart w:id="107" w:name="_Toc487900349"/>
      <w:bookmarkStart w:id="108" w:name="_Toc16917"/>
      <w:bookmarkStart w:id="109" w:name="_Toc279701240"/>
      <w:bookmarkStart w:id="110" w:name="_Toc259093669"/>
      <w:bookmarkStart w:id="111" w:name="_Ref467379109"/>
      <w:bookmarkStart w:id="112" w:name="_Ref467379214"/>
      <w:bookmarkStart w:id="113" w:name="_Ref467378463"/>
      <w:bookmarkStart w:id="114" w:name="_Ref467378404"/>
      <w:bookmarkStart w:id="115" w:name="_Ref467379195"/>
      <w:bookmarkStart w:id="116" w:name="_Ref467379205"/>
      <w:bookmarkStart w:id="117" w:name="_Ref467379225"/>
      <w:bookmarkStart w:id="118" w:name="_Ref467378499"/>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9A2DE59">
      <w:pPr>
        <w:spacing w:line="360" w:lineRule="auto"/>
        <w:ind w:firstLine="435"/>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799BE09">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“合同”系指采购人和中标人签订的载明双方当事人所达成的协议，并包括所有的附件、附录和构成合同的其他文件。</w:t>
      </w:r>
    </w:p>
    <w:p w14:paraId="4243B6E2">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采购人应支付给中标人的价格。</w:t>
      </w:r>
    </w:p>
    <w:p w14:paraId="384DF53E">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olor w:val="auto"/>
          <w:sz w:val="24"/>
          <w:highlight w:val="none"/>
        </w:rPr>
        <w:t>中标人</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2C7CB18A">
      <w:pPr>
        <w:spacing w:line="360" w:lineRule="auto"/>
        <w:ind w:firstLine="435"/>
        <w:rPr>
          <w:rFonts w:ascii="宋体" w:hAnsi="宋体"/>
          <w:color w:val="auto"/>
          <w:sz w:val="24"/>
          <w:highlight w:val="none"/>
        </w:rPr>
      </w:pPr>
      <w:bookmarkStart w:id="119"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签署合同的采购人</w:t>
      </w:r>
      <w:bookmarkEnd w:id="119"/>
      <w:r>
        <w:rPr>
          <w:rFonts w:hint="eastAsia" w:ascii="宋体" w:hAnsi="宋体"/>
          <w:color w:val="auto"/>
          <w:sz w:val="24"/>
          <w:highlight w:val="none"/>
        </w:rPr>
        <w:t>；采购人委托采购代理机构代表其与乙方签订合同的，采购人的授权委托书作为合同附件。</w:t>
      </w:r>
    </w:p>
    <w:p w14:paraId="7453E04F">
      <w:pPr>
        <w:spacing w:line="360" w:lineRule="auto"/>
        <w:ind w:firstLine="435"/>
        <w:rPr>
          <w:rFonts w:ascii="宋体" w:hAnsi="宋体"/>
          <w:color w:val="auto"/>
          <w:sz w:val="24"/>
          <w:highlight w:val="none"/>
        </w:rPr>
      </w:pPr>
      <w:bookmarkStart w:id="120"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w:t>
      </w:r>
      <w:r>
        <w:rPr>
          <w:rFonts w:hint="eastAsia" w:ascii="宋体" w:hAnsi="宋体"/>
          <w:color w:val="auto"/>
          <w:sz w:val="24"/>
          <w:highlight w:val="none"/>
        </w:rPr>
        <w:t>提供服务</w:t>
      </w:r>
      <w:r>
        <w:rPr>
          <w:rFonts w:ascii="宋体" w:hAnsi="宋体"/>
          <w:color w:val="auto"/>
          <w:sz w:val="24"/>
          <w:highlight w:val="none"/>
        </w:rPr>
        <w:t>的中标人</w:t>
      </w:r>
      <w:bookmarkEnd w:id="120"/>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0A5B745">
      <w:pPr>
        <w:spacing w:line="360" w:lineRule="auto"/>
        <w:ind w:firstLine="435"/>
        <w:rPr>
          <w:rFonts w:ascii="宋体" w:hAnsi="宋体"/>
          <w:color w:val="auto"/>
          <w:sz w:val="24"/>
          <w:highlight w:val="none"/>
        </w:rPr>
      </w:pPr>
      <w:bookmarkStart w:id="121"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w:t>
      </w:r>
      <w:r>
        <w:rPr>
          <w:rFonts w:hint="eastAsia" w:ascii="宋体" w:hAnsi="宋体"/>
          <w:color w:val="auto"/>
          <w:sz w:val="24"/>
          <w:highlight w:val="none"/>
        </w:rPr>
        <w:t>提供服务</w:t>
      </w:r>
      <w:r>
        <w:rPr>
          <w:rFonts w:ascii="宋体" w:hAnsi="宋体"/>
          <w:color w:val="auto"/>
          <w:sz w:val="24"/>
          <w:highlight w:val="none"/>
        </w:rPr>
        <w:t>的地点。</w:t>
      </w:r>
      <w:bookmarkEnd w:id="121"/>
    </w:p>
    <w:p w14:paraId="4F66800E">
      <w:pPr>
        <w:spacing w:line="360" w:lineRule="auto"/>
        <w:ind w:firstLine="437"/>
        <w:outlineLvl w:val="2"/>
        <w:rPr>
          <w:rFonts w:ascii="宋体" w:hAnsi="宋体"/>
          <w:b/>
          <w:bCs/>
          <w:color w:val="auto"/>
          <w:sz w:val="24"/>
          <w:highlight w:val="none"/>
          <w:lang w:val="zh-CN"/>
        </w:rPr>
      </w:pPr>
      <w:bookmarkStart w:id="122" w:name="_Toc32504"/>
      <w:bookmarkStart w:id="123" w:name="_Toc13336"/>
      <w:bookmarkStart w:id="124" w:name="_Toc279701241"/>
      <w:bookmarkStart w:id="125" w:name="_Toc27635"/>
      <w:bookmarkStart w:id="126" w:name="_Toc487900350"/>
      <w:bookmarkStart w:id="127" w:name="_Toc259093670"/>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122"/>
      <w:bookmarkEnd w:id="123"/>
      <w:bookmarkEnd w:id="124"/>
      <w:bookmarkEnd w:id="125"/>
      <w:bookmarkEnd w:id="126"/>
      <w:bookmarkEnd w:id="127"/>
    </w:p>
    <w:p w14:paraId="785BEA05">
      <w:pPr>
        <w:spacing w:line="360" w:lineRule="auto"/>
        <w:ind w:firstLine="435"/>
        <w:rPr>
          <w:rFonts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061DFE8">
      <w:pPr>
        <w:spacing w:line="360" w:lineRule="auto"/>
        <w:ind w:firstLine="437"/>
        <w:outlineLvl w:val="2"/>
        <w:rPr>
          <w:rFonts w:ascii="宋体" w:hAnsi="宋体"/>
          <w:b/>
          <w:bCs/>
          <w:color w:val="auto"/>
          <w:sz w:val="24"/>
          <w:highlight w:val="none"/>
          <w:lang w:val="zh-CN"/>
        </w:rPr>
      </w:pPr>
      <w:bookmarkStart w:id="128" w:name="_Toc31634"/>
      <w:bookmarkStart w:id="129" w:name="_Toc259093671"/>
      <w:bookmarkStart w:id="130" w:name="_Toc9829"/>
      <w:bookmarkStart w:id="131" w:name="_Toc487900351"/>
      <w:bookmarkStart w:id="132" w:name="_Toc279701242"/>
      <w:bookmarkStart w:id="133" w:name="_Toc27853"/>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128"/>
      <w:bookmarkEnd w:id="129"/>
      <w:bookmarkEnd w:id="130"/>
      <w:bookmarkEnd w:id="131"/>
      <w:bookmarkEnd w:id="132"/>
      <w:bookmarkEnd w:id="133"/>
    </w:p>
    <w:p w14:paraId="56AC05DA">
      <w:pPr>
        <w:spacing w:line="360" w:lineRule="auto"/>
        <w:ind w:firstLine="435"/>
        <w:rPr>
          <w:rFonts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45D7AB84">
      <w:pPr>
        <w:spacing w:line="360" w:lineRule="auto"/>
        <w:ind w:firstLine="435"/>
        <w:rPr>
          <w:rFonts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23D87E17">
      <w:pPr>
        <w:spacing w:line="360" w:lineRule="auto"/>
        <w:ind w:firstLine="437"/>
        <w:outlineLvl w:val="2"/>
        <w:rPr>
          <w:rFonts w:ascii="宋体" w:hAnsi="宋体"/>
          <w:b/>
          <w:bCs/>
          <w:color w:val="auto"/>
          <w:sz w:val="24"/>
          <w:highlight w:val="none"/>
          <w:lang w:val="zh-CN"/>
        </w:rPr>
      </w:pPr>
      <w:bookmarkStart w:id="134" w:name="_Ref467379536"/>
      <w:bookmarkStart w:id="135" w:name="_Ref467379542"/>
      <w:bookmarkStart w:id="136" w:name="_Toc279701245"/>
      <w:bookmarkStart w:id="137" w:name="_Ref467378541"/>
      <w:bookmarkStart w:id="138" w:name="_Ref467379527"/>
      <w:bookmarkStart w:id="139" w:name="_Toc487900354"/>
      <w:bookmarkStart w:id="140" w:name="_Ref467378591"/>
      <w:bookmarkStart w:id="141" w:name="_Toc259093674"/>
      <w:bookmarkStart w:id="142" w:name="_Toc26182"/>
      <w:bookmarkStart w:id="143" w:name="_Toc30272"/>
      <w:bookmarkStart w:id="144" w:name="_Toc19074"/>
      <w:r>
        <w:rPr>
          <w:rFonts w:hint="eastAsia" w:ascii="宋体" w:hAnsi="宋体"/>
          <w:b/>
          <w:bCs/>
          <w:color w:val="auto"/>
          <w:sz w:val="24"/>
          <w:highlight w:val="none"/>
          <w:lang w:val="zh-CN"/>
        </w:rPr>
        <w:t>2.</w:t>
      </w:r>
      <w:bookmarkEnd w:id="134"/>
      <w:bookmarkEnd w:id="135"/>
      <w:bookmarkEnd w:id="136"/>
      <w:bookmarkEnd w:id="137"/>
      <w:bookmarkEnd w:id="138"/>
      <w:bookmarkEnd w:id="139"/>
      <w:bookmarkEnd w:id="140"/>
      <w:bookmarkEnd w:id="141"/>
      <w:r>
        <w:rPr>
          <w:rFonts w:ascii="宋体" w:hAnsi="宋体"/>
          <w:b/>
          <w:bCs/>
          <w:color w:val="auto"/>
          <w:sz w:val="24"/>
          <w:highlight w:val="none"/>
          <w:lang w:val="zh-CN"/>
        </w:rPr>
        <w:t xml:space="preserve">4 </w:t>
      </w:r>
      <w:r>
        <w:rPr>
          <w:rFonts w:hint="eastAsia" w:ascii="宋体" w:hAnsi="宋体"/>
          <w:b/>
          <w:bCs/>
          <w:color w:val="auto"/>
          <w:sz w:val="24"/>
          <w:highlight w:val="none"/>
          <w:lang w:val="zh-CN"/>
        </w:rPr>
        <w:t>履约检查和问题反馈</w:t>
      </w:r>
      <w:bookmarkEnd w:id="142"/>
      <w:bookmarkEnd w:id="143"/>
      <w:bookmarkEnd w:id="144"/>
    </w:p>
    <w:p w14:paraId="4BAD8CF1">
      <w:pPr>
        <w:spacing w:line="360" w:lineRule="auto"/>
        <w:ind w:firstLine="435"/>
        <w:rPr>
          <w:rFonts w:ascii="宋体" w:hAnsi="宋体"/>
          <w:color w:val="auto"/>
          <w:sz w:val="24"/>
          <w:highlight w:val="none"/>
        </w:rPr>
      </w:pPr>
      <w:bookmarkStart w:id="145" w:name="_Toc186431854"/>
      <w:bookmarkStart w:id="146" w:name="_Ref467379807"/>
      <w:bookmarkStart w:id="147" w:name="_Toc279701247"/>
      <w:bookmarkStart w:id="148" w:name="_Toc259093676"/>
      <w:bookmarkStart w:id="149" w:name="_Toc487900357"/>
      <w:bookmarkStart w:id="150" w:name="_Ref467379793"/>
      <w:r>
        <w:rPr>
          <w:rFonts w:hint="eastAsia" w:ascii="宋体" w:hAnsi="宋体"/>
          <w:color w:val="auto"/>
          <w:sz w:val="24"/>
          <w:highlight w:val="none"/>
        </w:rPr>
        <w:t>2.4</w:t>
      </w:r>
      <w:r>
        <w:rPr>
          <w:rFonts w:ascii="宋体" w:hAnsi="宋体"/>
          <w:color w:val="auto"/>
          <w:sz w:val="24"/>
          <w:highlight w:val="none"/>
        </w:rPr>
        <w:t>.1甲方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210A0C43">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4</w:t>
      </w:r>
      <w:r>
        <w:rPr>
          <w:rFonts w:hint="eastAsia" w:ascii="宋体" w:hAnsi="宋体"/>
          <w:color w:val="auto"/>
          <w:sz w:val="24"/>
          <w:highlight w:val="none"/>
        </w:rPr>
        <w:t>.2合同履行期间，甲方有权将履行过程中出现的问题反馈给乙方，双方当事人应以书面形式约定需要完善和改进的内容</w:t>
      </w:r>
      <w:bookmarkEnd w:id="145"/>
      <w:bookmarkStart w:id="151" w:name="_Toc186431855"/>
      <w:r>
        <w:rPr>
          <w:rFonts w:hint="eastAsia" w:ascii="宋体" w:hAnsi="宋体"/>
          <w:color w:val="auto"/>
          <w:sz w:val="24"/>
          <w:highlight w:val="none"/>
        </w:rPr>
        <w:t>。</w:t>
      </w:r>
    </w:p>
    <w:bookmarkEnd w:id="151"/>
    <w:p w14:paraId="0A583FE4">
      <w:pPr>
        <w:spacing w:line="360" w:lineRule="auto"/>
        <w:ind w:firstLine="437"/>
        <w:outlineLvl w:val="2"/>
        <w:rPr>
          <w:rFonts w:ascii="宋体" w:hAnsi="宋体"/>
          <w:b/>
          <w:bCs/>
          <w:color w:val="auto"/>
          <w:sz w:val="24"/>
          <w:highlight w:val="none"/>
          <w:lang w:val="zh-CN"/>
        </w:rPr>
      </w:pPr>
      <w:bookmarkStart w:id="152" w:name="_Toc28451"/>
      <w:bookmarkStart w:id="153" w:name="_Toc7836"/>
      <w:bookmarkStart w:id="154" w:name="_Toc19219"/>
      <w:r>
        <w:rPr>
          <w:rFonts w:hint="eastAsia" w:ascii="宋体" w:hAnsi="宋体"/>
          <w:b/>
          <w:bCs/>
          <w:color w:val="auto"/>
          <w:sz w:val="24"/>
          <w:highlight w:val="none"/>
          <w:lang w:val="zh-CN"/>
        </w:rPr>
        <w:t>2.</w:t>
      </w:r>
      <w:r>
        <w:rPr>
          <w:rFonts w:ascii="宋体" w:hAnsi="宋体"/>
          <w:b/>
          <w:bCs/>
          <w:color w:val="auto"/>
          <w:sz w:val="24"/>
          <w:highlight w:val="none"/>
          <w:lang w:val="zh-CN"/>
        </w:rPr>
        <w:t>5</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结算方式和付款条件</w:t>
      </w:r>
      <w:bookmarkEnd w:id="146"/>
      <w:bookmarkEnd w:id="147"/>
      <w:bookmarkEnd w:id="148"/>
      <w:bookmarkEnd w:id="149"/>
      <w:bookmarkEnd w:id="150"/>
      <w:bookmarkEnd w:id="152"/>
      <w:bookmarkEnd w:id="153"/>
      <w:bookmarkEnd w:id="154"/>
    </w:p>
    <w:p w14:paraId="0E089FA5">
      <w:pPr>
        <w:spacing w:line="360" w:lineRule="auto"/>
        <w:ind w:firstLine="435"/>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80EA984">
      <w:pPr>
        <w:spacing w:line="360" w:lineRule="auto"/>
        <w:ind w:firstLine="437"/>
        <w:outlineLvl w:val="2"/>
        <w:rPr>
          <w:rFonts w:ascii="宋体" w:hAnsi="宋体"/>
          <w:b/>
          <w:bCs/>
          <w:color w:val="auto"/>
          <w:sz w:val="24"/>
          <w:highlight w:val="none"/>
          <w:lang w:val="zh-CN"/>
        </w:rPr>
      </w:pPr>
      <w:bookmarkStart w:id="155" w:name="_Ref467379852"/>
      <w:bookmarkStart w:id="156" w:name="_Ref467379863"/>
      <w:bookmarkStart w:id="157" w:name="_Toc259093677"/>
      <w:bookmarkStart w:id="158" w:name="_Toc279701248"/>
      <w:bookmarkStart w:id="159" w:name="_Toc487900358"/>
      <w:bookmarkStart w:id="160" w:name="_Ref467379923"/>
      <w:bookmarkStart w:id="161" w:name="_Toc3225"/>
      <w:bookmarkStart w:id="162" w:name="_Toc16110"/>
      <w:bookmarkStart w:id="163" w:name="_Toc774"/>
      <w:r>
        <w:rPr>
          <w:rFonts w:hint="eastAsia" w:ascii="宋体" w:hAnsi="宋体"/>
          <w:b/>
          <w:bCs/>
          <w:color w:val="auto"/>
          <w:sz w:val="24"/>
          <w:highlight w:val="none"/>
          <w:lang w:val="zh-CN"/>
        </w:rPr>
        <w:t>2.</w:t>
      </w:r>
      <w:r>
        <w:rPr>
          <w:rFonts w:ascii="宋体" w:hAnsi="宋体"/>
          <w:b/>
          <w:bCs/>
          <w:color w:val="auto"/>
          <w:sz w:val="24"/>
          <w:highlight w:val="none"/>
          <w:lang w:val="zh-CN"/>
        </w:rPr>
        <w:t>6</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技术资料</w:t>
      </w:r>
      <w:bookmarkEnd w:id="155"/>
      <w:bookmarkEnd w:id="156"/>
      <w:bookmarkEnd w:id="157"/>
      <w:bookmarkEnd w:id="158"/>
      <w:bookmarkEnd w:id="159"/>
      <w:bookmarkEnd w:id="160"/>
      <w:r>
        <w:rPr>
          <w:rFonts w:ascii="宋体" w:hAnsi="宋体"/>
          <w:b/>
          <w:bCs/>
          <w:color w:val="auto"/>
          <w:sz w:val="24"/>
          <w:highlight w:val="none"/>
          <w:lang w:val="zh-CN"/>
        </w:rPr>
        <w:t>和保密义务</w:t>
      </w:r>
      <w:bookmarkEnd w:id="161"/>
      <w:bookmarkEnd w:id="162"/>
      <w:bookmarkEnd w:id="163"/>
    </w:p>
    <w:p w14:paraId="660BDD8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6.1</w:t>
      </w:r>
      <w:r>
        <w:rPr>
          <w:rFonts w:hint="eastAsia" w:ascii="宋体" w:hAnsi="宋体"/>
          <w:color w:val="auto"/>
          <w:sz w:val="24"/>
          <w:highlight w:val="none"/>
        </w:rPr>
        <w:t>乙方有权依据合同约定和项目需要，向甲方了解有关情况，调阅有关资料等，甲方应予积极配合；</w:t>
      </w:r>
    </w:p>
    <w:p w14:paraId="106C9687">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w:t>
      </w:r>
      <w:r>
        <w:rPr>
          <w:rFonts w:hint="eastAsia" w:ascii="宋体" w:hAnsi="宋体"/>
          <w:color w:val="auto"/>
          <w:sz w:val="24"/>
          <w:highlight w:val="none"/>
        </w:rPr>
        <w:t>.2乙方有义务妥善保管和保护由甲方提供的前款信息和资料等；</w:t>
      </w:r>
    </w:p>
    <w:p w14:paraId="2AEA525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02AC39DD">
      <w:pPr>
        <w:spacing w:line="360" w:lineRule="auto"/>
        <w:ind w:firstLine="437"/>
        <w:outlineLvl w:val="2"/>
        <w:rPr>
          <w:rFonts w:ascii="宋体" w:hAnsi="宋体"/>
          <w:b/>
          <w:bCs/>
          <w:color w:val="auto"/>
          <w:sz w:val="24"/>
          <w:highlight w:val="none"/>
          <w:lang w:val="zh-CN"/>
        </w:rPr>
      </w:pPr>
      <w:bookmarkStart w:id="164" w:name="_Toc7860"/>
      <w:r>
        <w:rPr>
          <w:rFonts w:ascii="宋体" w:hAnsi="宋体"/>
          <w:b/>
          <w:bCs/>
          <w:color w:val="auto"/>
          <w:sz w:val="24"/>
          <w:highlight w:val="none"/>
          <w:lang w:val="zh-CN"/>
        </w:rPr>
        <w:t>2.7 质量保证</w:t>
      </w:r>
      <w:bookmarkEnd w:id="164"/>
    </w:p>
    <w:p w14:paraId="7B0082BB">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7</w:t>
      </w:r>
      <w:r>
        <w:rPr>
          <w:rFonts w:hint="eastAsia" w:ascii="宋体" w:hAnsi="宋体"/>
          <w:color w:val="auto"/>
          <w:sz w:val="24"/>
          <w:highlight w:val="none"/>
        </w:rPr>
        <w:t>.1乙方应建立和完善履行合同的内部质量保证体系，并提供相关内部规章制度给甲方，以便甲方进行监督检查；</w:t>
      </w:r>
    </w:p>
    <w:p w14:paraId="2D437BD5">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7</w:t>
      </w:r>
      <w:r>
        <w:rPr>
          <w:rFonts w:hint="eastAsia" w:ascii="宋体" w:hAnsi="宋体"/>
          <w:color w:val="auto"/>
          <w:sz w:val="24"/>
          <w:highlight w:val="none"/>
        </w:rPr>
        <w:t>.2乙方应保证履行合同的人员数量和素质、软件和硬件设备的配置、场地、环境和设施等满足全面履行合同的要求，并应接受甲方的监督检查。</w:t>
      </w:r>
    </w:p>
    <w:p w14:paraId="4003A669">
      <w:pPr>
        <w:spacing w:line="360" w:lineRule="auto"/>
        <w:ind w:firstLine="437"/>
        <w:outlineLvl w:val="2"/>
        <w:rPr>
          <w:rFonts w:ascii="宋体" w:hAnsi="宋体"/>
          <w:b/>
          <w:color w:val="auto"/>
          <w:sz w:val="24"/>
          <w:highlight w:val="none"/>
        </w:rPr>
      </w:pPr>
      <w:bookmarkStart w:id="165" w:name="_Toc22267"/>
      <w:r>
        <w:rPr>
          <w:rFonts w:hint="eastAsia" w:ascii="宋体" w:hAnsi="宋体"/>
          <w:b/>
          <w:color w:val="auto"/>
          <w:sz w:val="24"/>
          <w:highlight w:val="none"/>
        </w:rPr>
        <w:t>2.8 延迟履行</w:t>
      </w:r>
      <w:bookmarkEnd w:id="165"/>
    </w:p>
    <w:p w14:paraId="67CCD978">
      <w:pPr>
        <w:spacing w:line="360" w:lineRule="auto"/>
        <w:ind w:firstLine="435"/>
        <w:rPr>
          <w:rFonts w:ascii="宋体" w:hAnsi="宋体"/>
          <w:color w:val="auto"/>
          <w:sz w:val="24"/>
          <w:highlight w:val="none"/>
        </w:rPr>
      </w:pPr>
      <w:r>
        <w:rPr>
          <w:rFonts w:ascii="宋体" w:hAnsi="宋体"/>
          <w:color w:val="auto"/>
          <w:sz w:val="24"/>
          <w:highlight w:val="none"/>
        </w:rPr>
        <w:t>在合同履行过程中，如果乙方遇到不能按时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40164782">
      <w:pPr>
        <w:spacing w:line="360" w:lineRule="auto"/>
        <w:ind w:firstLine="437"/>
        <w:outlineLvl w:val="2"/>
        <w:rPr>
          <w:rFonts w:ascii="宋体" w:hAnsi="宋体"/>
          <w:b/>
          <w:bCs/>
          <w:color w:val="auto"/>
          <w:sz w:val="24"/>
          <w:highlight w:val="none"/>
          <w:lang w:val="zh-CN"/>
        </w:rPr>
      </w:pPr>
      <w:bookmarkStart w:id="166" w:name="_Toc7502"/>
      <w:bookmarkStart w:id="167" w:name="_Toc279701254"/>
      <w:bookmarkStart w:id="168" w:name="_Ref467378121"/>
      <w:bookmarkStart w:id="169" w:name="_Toc259093683"/>
      <w:bookmarkStart w:id="170" w:name="_Toc487900364"/>
      <w:r>
        <w:rPr>
          <w:rFonts w:ascii="宋体" w:hAnsi="宋体"/>
          <w:b/>
          <w:bCs/>
          <w:color w:val="auto"/>
          <w:sz w:val="24"/>
          <w:highlight w:val="none"/>
          <w:lang w:val="zh-CN"/>
        </w:rPr>
        <w:t>2.9 合同变更</w:t>
      </w:r>
      <w:bookmarkEnd w:id="166"/>
    </w:p>
    <w:p w14:paraId="058FDE1F">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9</w:t>
      </w:r>
      <w:r>
        <w:rPr>
          <w:rFonts w:hint="eastAsia" w:ascii="宋体" w:hAnsi="宋体"/>
          <w:color w:val="auto"/>
          <w:sz w:val="24"/>
          <w:highlight w:val="none"/>
        </w:rPr>
        <w:t>.1双方当事人协商一致，可以签订书面补充合同的形式变更合同，但不得违背采购文件确定的事项；</w:t>
      </w:r>
    </w:p>
    <w:p w14:paraId="3CC7D514">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9</w:t>
      </w:r>
      <w:r>
        <w:rPr>
          <w:rFonts w:hint="eastAsia" w:ascii="宋体" w:hAnsi="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71" w:name="_Toc487900369"/>
      <w:bookmarkStart w:id="172" w:name="_Toc259093688"/>
      <w:bookmarkStart w:id="173" w:name="_Toc279701259"/>
    </w:p>
    <w:p w14:paraId="1140C590">
      <w:pPr>
        <w:spacing w:line="360" w:lineRule="auto"/>
        <w:ind w:firstLine="437"/>
        <w:outlineLvl w:val="2"/>
        <w:rPr>
          <w:rFonts w:ascii="宋体" w:hAnsi="宋体"/>
          <w:b/>
          <w:bCs/>
          <w:color w:val="auto"/>
          <w:sz w:val="24"/>
          <w:highlight w:val="none"/>
          <w:lang w:val="zh-CN"/>
        </w:rPr>
      </w:pPr>
      <w:bookmarkStart w:id="174" w:name="_Toc22955"/>
      <w:bookmarkStart w:id="175" w:name="_Toc10366"/>
      <w:bookmarkStart w:id="176" w:name="_Toc15237"/>
      <w:r>
        <w:rPr>
          <w:rFonts w:hint="eastAsia" w:ascii="宋体" w:hAnsi="宋体"/>
          <w:b/>
          <w:bCs/>
          <w:color w:val="auto"/>
          <w:sz w:val="24"/>
          <w:highlight w:val="none"/>
          <w:lang w:val="zh-CN"/>
        </w:rPr>
        <w:t>2.1</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合同转让</w:t>
      </w:r>
      <w:bookmarkEnd w:id="171"/>
      <w:bookmarkEnd w:id="172"/>
      <w:bookmarkEnd w:id="173"/>
      <w:r>
        <w:rPr>
          <w:rFonts w:ascii="宋体" w:hAnsi="宋体"/>
          <w:b/>
          <w:bCs/>
          <w:color w:val="auto"/>
          <w:sz w:val="24"/>
          <w:highlight w:val="none"/>
          <w:lang w:val="zh-CN"/>
        </w:rPr>
        <w:t>和分包</w:t>
      </w:r>
      <w:bookmarkEnd w:id="174"/>
      <w:bookmarkEnd w:id="175"/>
      <w:bookmarkEnd w:id="176"/>
    </w:p>
    <w:p w14:paraId="074A2EFF">
      <w:pPr>
        <w:spacing w:line="360" w:lineRule="auto"/>
        <w:ind w:firstLine="435"/>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与分包供应商就分包项目向甲方承担连带责任。（不得转包）</w:t>
      </w:r>
    </w:p>
    <w:p w14:paraId="225D85D2">
      <w:pPr>
        <w:spacing w:line="360" w:lineRule="auto"/>
        <w:ind w:firstLine="437"/>
        <w:outlineLvl w:val="2"/>
        <w:rPr>
          <w:rFonts w:ascii="宋体" w:hAnsi="宋体"/>
          <w:b/>
          <w:bCs/>
          <w:color w:val="auto"/>
          <w:sz w:val="24"/>
          <w:highlight w:val="none"/>
          <w:lang w:val="zh-CN"/>
        </w:rPr>
      </w:pPr>
      <w:bookmarkStart w:id="177" w:name="_Toc14066"/>
      <w:bookmarkStart w:id="178" w:name="_Toc16508"/>
      <w:bookmarkStart w:id="179" w:name="_Toc13566"/>
      <w:r>
        <w:rPr>
          <w:rFonts w:hint="eastAsia" w:ascii="宋体" w:hAnsi="宋体"/>
          <w:b/>
          <w:bCs/>
          <w:color w:val="auto"/>
          <w:sz w:val="24"/>
          <w:highlight w:val="none"/>
          <w:lang w:val="zh-CN"/>
        </w:rPr>
        <w:t>2.1</w:t>
      </w:r>
      <w:r>
        <w:rPr>
          <w:rFonts w:ascii="宋体" w:hAnsi="宋体"/>
          <w:b/>
          <w:bCs/>
          <w:color w:val="auto"/>
          <w:sz w:val="24"/>
          <w:highlight w:val="none"/>
          <w:lang w:val="zh-CN"/>
        </w:rPr>
        <w:t>1 不可抗力</w:t>
      </w:r>
      <w:bookmarkEnd w:id="177"/>
      <w:bookmarkEnd w:id="178"/>
      <w:bookmarkEnd w:id="179"/>
    </w:p>
    <w:p w14:paraId="4072F500">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C9CB839">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.2因不可抗力致使不能实现合同目的的，当事人可以解除合同；</w:t>
      </w:r>
    </w:p>
    <w:p w14:paraId="058C9571">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D4A5419">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11FA3E6">
      <w:pPr>
        <w:spacing w:line="360" w:lineRule="auto"/>
        <w:ind w:firstLine="437"/>
        <w:outlineLvl w:val="2"/>
        <w:rPr>
          <w:rFonts w:ascii="宋体" w:hAnsi="宋体"/>
          <w:b/>
          <w:bCs/>
          <w:color w:val="auto"/>
          <w:sz w:val="24"/>
          <w:highlight w:val="none"/>
          <w:lang w:val="zh-CN"/>
        </w:rPr>
      </w:pPr>
      <w:bookmarkStart w:id="180" w:name="_Toc259093684"/>
      <w:bookmarkStart w:id="181" w:name="_Toc30676"/>
      <w:bookmarkStart w:id="182" w:name="_Toc6969"/>
      <w:bookmarkStart w:id="183" w:name="_Toc279701255"/>
      <w:bookmarkStart w:id="184" w:name="_Toc487900365"/>
      <w:bookmarkStart w:id="185" w:name="_Toc689"/>
      <w:r>
        <w:rPr>
          <w:rFonts w:hint="eastAsia" w:ascii="宋体" w:hAnsi="宋体"/>
          <w:b/>
          <w:bCs/>
          <w:color w:val="auto"/>
          <w:sz w:val="24"/>
          <w:highlight w:val="none"/>
          <w:lang w:val="zh-CN"/>
        </w:rPr>
        <w:t>2.</w:t>
      </w:r>
      <w:r>
        <w:rPr>
          <w:rFonts w:ascii="宋体" w:hAnsi="宋体"/>
          <w:b/>
          <w:bCs/>
          <w:color w:val="auto"/>
          <w:sz w:val="24"/>
          <w:highlight w:val="none"/>
          <w:lang w:val="zh-CN"/>
        </w:rPr>
        <w:t>12</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税费</w:t>
      </w:r>
      <w:bookmarkEnd w:id="180"/>
      <w:bookmarkEnd w:id="181"/>
      <w:bookmarkEnd w:id="182"/>
      <w:bookmarkEnd w:id="183"/>
      <w:bookmarkEnd w:id="184"/>
      <w:bookmarkEnd w:id="185"/>
    </w:p>
    <w:p w14:paraId="7F6AA267">
      <w:pPr>
        <w:spacing w:line="360" w:lineRule="auto"/>
        <w:ind w:firstLine="435"/>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013C1324">
      <w:pPr>
        <w:spacing w:line="360" w:lineRule="auto"/>
        <w:ind w:firstLine="437"/>
        <w:outlineLvl w:val="2"/>
        <w:rPr>
          <w:rFonts w:ascii="宋体" w:hAnsi="宋体"/>
          <w:b/>
          <w:bCs/>
          <w:color w:val="auto"/>
          <w:sz w:val="24"/>
          <w:highlight w:val="none"/>
          <w:lang w:val="zh-CN"/>
        </w:rPr>
      </w:pPr>
      <w:bookmarkStart w:id="186" w:name="_Toc259093687"/>
      <w:bookmarkStart w:id="187" w:name="_Toc7102"/>
      <w:bookmarkStart w:id="188" w:name="_Toc8298"/>
      <w:bookmarkStart w:id="189" w:name="_Toc487900368"/>
      <w:bookmarkStart w:id="190" w:name="_Toc279701258"/>
      <w:bookmarkStart w:id="191" w:name="_Toc16959"/>
      <w:r>
        <w:rPr>
          <w:rFonts w:hint="eastAsia" w:ascii="宋体" w:hAnsi="宋体"/>
          <w:b/>
          <w:bCs/>
          <w:color w:val="auto"/>
          <w:sz w:val="24"/>
          <w:highlight w:val="none"/>
          <w:lang w:val="zh-CN"/>
        </w:rPr>
        <w:t>2.</w:t>
      </w:r>
      <w:r>
        <w:rPr>
          <w:rFonts w:ascii="宋体" w:hAnsi="宋体"/>
          <w:b/>
          <w:bCs/>
          <w:color w:val="auto"/>
          <w:sz w:val="24"/>
          <w:highlight w:val="none"/>
          <w:lang w:val="zh-CN"/>
        </w:rPr>
        <w:t>13</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乙方破产</w:t>
      </w:r>
      <w:bookmarkEnd w:id="186"/>
      <w:bookmarkEnd w:id="187"/>
      <w:bookmarkEnd w:id="188"/>
      <w:bookmarkEnd w:id="189"/>
      <w:bookmarkEnd w:id="190"/>
      <w:bookmarkEnd w:id="191"/>
    </w:p>
    <w:p w14:paraId="1A444413">
      <w:pPr>
        <w:spacing w:line="360" w:lineRule="auto"/>
        <w:ind w:firstLine="435"/>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4A066BA">
      <w:pPr>
        <w:spacing w:line="360" w:lineRule="auto"/>
        <w:ind w:firstLine="437"/>
        <w:outlineLvl w:val="2"/>
        <w:rPr>
          <w:rFonts w:ascii="宋体" w:hAnsi="宋体"/>
          <w:b/>
          <w:color w:val="auto"/>
          <w:sz w:val="24"/>
          <w:highlight w:val="none"/>
        </w:rPr>
      </w:pPr>
      <w:bookmarkStart w:id="192" w:name="_Toc6134"/>
      <w:bookmarkStart w:id="193" w:name="_Toc15387"/>
      <w:bookmarkStart w:id="194" w:name="_Toc29333"/>
      <w:r>
        <w:rPr>
          <w:rFonts w:hint="eastAsia" w:ascii="宋体" w:hAnsi="宋体"/>
          <w:b/>
          <w:bCs/>
          <w:color w:val="auto"/>
          <w:sz w:val="24"/>
          <w:highlight w:val="none"/>
          <w:lang w:val="zh-CN"/>
        </w:rPr>
        <w:t>2.1</w:t>
      </w:r>
      <w:r>
        <w:rPr>
          <w:rFonts w:ascii="宋体" w:hAnsi="宋体"/>
          <w:b/>
          <w:bCs/>
          <w:color w:val="auto"/>
          <w:sz w:val="24"/>
          <w:highlight w:val="none"/>
          <w:lang w:val="zh-CN"/>
        </w:rPr>
        <w:t>4</w:t>
      </w:r>
      <w:r>
        <w:rPr>
          <w:rFonts w:hint="eastAsia" w:ascii="宋体" w:hAnsi="宋体"/>
          <w:b/>
          <w:bCs/>
          <w:color w:val="auto"/>
          <w:sz w:val="24"/>
          <w:highlight w:val="none"/>
          <w:lang w:val="zh-CN"/>
        </w:rPr>
        <w:t xml:space="preserve"> 合同中止、终止</w:t>
      </w:r>
      <w:bookmarkEnd w:id="192"/>
      <w:bookmarkEnd w:id="193"/>
      <w:bookmarkEnd w:id="194"/>
    </w:p>
    <w:p w14:paraId="50615311">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4</w:t>
      </w:r>
      <w:r>
        <w:rPr>
          <w:rFonts w:hint="eastAsia" w:ascii="宋体" w:hAnsi="宋体"/>
          <w:color w:val="auto"/>
          <w:sz w:val="24"/>
          <w:highlight w:val="none"/>
        </w:rPr>
        <w:t>.1双方当事人不得擅自中止或者终止合同；</w:t>
      </w:r>
    </w:p>
    <w:p w14:paraId="2F0F9985">
      <w:pPr>
        <w:spacing w:line="360" w:lineRule="auto"/>
        <w:ind w:firstLine="435"/>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4</w:t>
      </w:r>
      <w:r>
        <w:rPr>
          <w:rFonts w:hint="eastAsia" w:ascii="宋体" w:hAnsi="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6E67CF7E">
      <w:pPr>
        <w:spacing w:line="360" w:lineRule="auto"/>
        <w:ind w:firstLine="437"/>
        <w:outlineLvl w:val="2"/>
        <w:rPr>
          <w:rFonts w:ascii="宋体" w:hAnsi="宋体"/>
          <w:b/>
          <w:bCs/>
          <w:color w:val="auto"/>
          <w:sz w:val="24"/>
          <w:highlight w:val="none"/>
          <w:lang w:val="zh-CN"/>
        </w:rPr>
      </w:pPr>
      <w:bookmarkStart w:id="195" w:name="_Toc14563"/>
      <w:bookmarkStart w:id="196" w:name="_Toc1125"/>
      <w:bookmarkStart w:id="197" w:name="_Toc6596"/>
      <w:r>
        <w:rPr>
          <w:rFonts w:hint="eastAsia" w:ascii="宋体" w:hAnsi="宋体"/>
          <w:b/>
          <w:bCs/>
          <w:color w:val="auto"/>
          <w:sz w:val="24"/>
          <w:highlight w:val="none"/>
          <w:lang w:val="zh-CN"/>
        </w:rPr>
        <w:t>2.1</w:t>
      </w:r>
      <w:r>
        <w:rPr>
          <w:rFonts w:ascii="宋体" w:hAnsi="宋体"/>
          <w:b/>
          <w:bCs/>
          <w:color w:val="auto"/>
          <w:sz w:val="24"/>
          <w:highlight w:val="none"/>
          <w:lang w:val="zh-CN"/>
        </w:rPr>
        <w:t>5</w:t>
      </w:r>
      <w:r>
        <w:rPr>
          <w:rFonts w:hint="eastAsia" w:ascii="宋体" w:hAnsi="宋体"/>
          <w:b/>
          <w:bCs/>
          <w:color w:val="auto"/>
          <w:sz w:val="24"/>
          <w:highlight w:val="none"/>
          <w:lang w:val="zh-CN"/>
        </w:rPr>
        <w:t xml:space="preserve"> 检验和验收</w:t>
      </w:r>
      <w:bookmarkEnd w:id="195"/>
      <w:bookmarkEnd w:id="196"/>
      <w:bookmarkEnd w:id="197"/>
    </w:p>
    <w:p w14:paraId="135D86FB">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1乙方按照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0A0F6072">
      <w:pPr>
        <w:spacing w:line="360" w:lineRule="auto"/>
        <w:ind w:firstLine="435"/>
        <w:rPr>
          <w:rFonts w:ascii="宋体" w:hAnsi="宋体"/>
          <w:color w:val="auto"/>
          <w:sz w:val="24"/>
          <w:highlight w:val="none"/>
        </w:rPr>
      </w:pPr>
      <w:r>
        <w:rPr>
          <w:rFonts w:hint="eastAsia" w:ascii="宋体" w:hAnsi="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EBCD39B">
      <w:pPr>
        <w:spacing w:line="360" w:lineRule="auto"/>
        <w:ind w:firstLine="435"/>
        <w:rPr>
          <w:rFonts w:ascii="宋体" w:hAnsi="宋体"/>
          <w:color w:val="auto"/>
          <w:sz w:val="24"/>
          <w:highlight w:val="none"/>
        </w:rPr>
      </w:pPr>
      <w:r>
        <w:rPr>
          <w:rFonts w:hint="eastAsia" w:ascii="宋体" w:hAnsi="宋体"/>
          <w:color w:val="auto"/>
          <w:sz w:val="24"/>
          <w:highlight w:val="none"/>
        </w:rPr>
        <w:t>2.15.3检验和验收标准、程序等具体内容以及前述验收书的效力详见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bookmarkEnd w:id="167"/>
    <w:bookmarkEnd w:id="168"/>
    <w:bookmarkEnd w:id="169"/>
    <w:bookmarkEnd w:id="170"/>
    <w:p w14:paraId="43C09EDD">
      <w:pPr>
        <w:spacing w:line="360" w:lineRule="auto"/>
        <w:ind w:firstLine="437"/>
        <w:outlineLvl w:val="2"/>
        <w:rPr>
          <w:rFonts w:ascii="宋体" w:hAnsi="宋体"/>
          <w:b/>
          <w:bCs/>
          <w:color w:val="auto"/>
          <w:sz w:val="24"/>
          <w:highlight w:val="none"/>
        </w:rPr>
      </w:pPr>
      <w:bookmarkStart w:id="198" w:name="_Toc12773"/>
      <w:bookmarkStart w:id="199" w:name="_Toc279701263"/>
      <w:bookmarkStart w:id="200" w:name="_Toc487900373"/>
      <w:bookmarkStart w:id="201" w:name="_Toc10330"/>
      <w:bookmarkStart w:id="202" w:name="_Toc18567"/>
      <w:bookmarkStart w:id="203" w:name="_Toc259093692"/>
      <w:r>
        <w:rPr>
          <w:rFonts w:hint="eastAsia" w:ascii="宋体" w:hAnsi="宋体"/>
          <w:b/>
          <w:bCs/>
          <w:color w:val="auto"/>
          <w:sz w:val="24"/>
          <w:highlight w:val="none"/>
        </w:rPr>
        <w:t>2.</w:t>
      </w:r>
      <w:r>
        <w:rPr>
          <w:rFonts w:ascii="宋体" w:hAnsi="宋体"/>
          <w:b/>
          <w:bCs/>
          <w:color w:val="auto"/>
          <w:sz w:val="24"/>
          <w:highlight w:val="none"/>
        </w:rPr>
        <w:t>16</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198"/>
      <w:bookmarkEnd w:id="199"/>
      <w:bookmarkEnd w:id="200"/>
      <w:bookmarkEnd w:id="201"/>
      <w:bookmarkEnd w:id="202"/>
      <w:bookmarkEnd w:id="203"/>
    </w:p>
    <w:p w14:paraId="5E29AD73">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16.1合同使用汉语书就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E3CD3E2">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16</w:t>
      </w:r>
      <w:r>
        <w:rPr>
          <w:rFonts w:hint="eastAsia" w:ascii="宋体" w:hAnsi="宋体"/>
          <w:color w:val="auto"/>
          <w:sz w:val="24"/>
          <w:highlight w:val="none"/>
        </w:rPr>
        <w:t>.2合同适用</w:t>
      </w:r>
      <w:r>
        <w:rPr>
          <w:rFonts w:ascii="宋体" w:hAnsi="宋体"/>
          <w:color w:val="auto"/>
          <w:sz w:val="24"/>
          <w:highlight w:val="none"/>
        </w:rPr>
        <w:t>中华人民共和国法律。</w:t>
      </w:r>
    </w:p>
    <w:p w14:paraId="250F360E">
      <w:pPr>
        <w:spacing w:line="360" w:lineRule="auto"/>
        <w:ind w:firstLine="437"/>
        <w:outlineLvl w:val="2"/>
        <w:rPr>
          <w:rFonts w:ascii="宋体" w:hAnsi="宋体"/>
          <w:b/>
          <w:color w:val="auto"/>
          <w:sz w:val="24"/>
          <w:highlight w:val="none"/>
        </w:rPr>
      </w:pPr>
      <w:bookmarkStart w:id="204" w:name="_Toc3148"/>
      <w:bookmarkStart w:id="205" w:name="_Toc279701264"/>
      <w:bookmarkStart w:id="206" w:name="_Toc16673"/>
      <w:bookmarkStart w:id="207" w:name="_Toc12004"/>
      <w:bookmarkStart w:id="208" w:name="_Toc259093693"/>
      <w:bookmarkStart w:id="209" w:name="_Toc487900374"/>
      <w:r>
        <w:rPr>
          <w:rFonts w:hint="eastAsia" w:ascii="宋体" w:hAnsi="宋体"/>
          <w:b/>
          <w:bCs/>
          <w:color w:val="auto"/>
          <w:sz w:val="24"/>
          <w:highlight w:val="none"/>
          <w:lang w:val="zh-CN"/>
        </w:rPr>
        <w:t>2.</w:t>
      </w:r>
      <w:r>
        <w:rPr>
          <w:rFonts w:ascii="宋体" w:hAnsi="宋体"/>
          <w:b/>
          <w:bCs/>
          <w:color w:val="auto"/>
          <w:sz w:val="24"/>
          <w:highlight w:val="none"/>
          <w:lang w:val="zh-CN"/>
        </w:rPr>
        <w:t>17</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204"/>
      <w:bookmarkEnd w:id="205"/>
      <w:bookmarkEnd w:id="206"/>
      <w:bookmarkEnd w:id="207"/>
      <w:bookmarkEnd w:id="208"/>
    </w:p>
    <w:p w14:paraId="5FF2F7DD">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17</w:t>
      </w:r>
      <w:r>
        <w:rPr>
          <w:rFonts w:hint="eastAsia" w:ascii="宋体" w:hAnsi="宋体"/>
          <w:color w:val="auto"/>
          <w:sz w:val="24"/>
          <w:highlight w:val="none"/>
        </w:rPr>
        <w:t>.1采购文件要求乙方提交履约保证金的，乙方</w:t>
      </w:r>
      <w:r>
        <w:rPr>
          <w:rFonts w:ascii="宋体" w:hAnsi="宋体"/>
          <w:color w:val="auto"/>
          <w:sz w:val="24"/>
          <w:highlight w:val="none"/>
        </w:rPr>
        <w:t>应按</w:t>
      </w:r>
      <w:r>
        <w:rPr>
          <w:rFonts w:ascii="宋体" w:hAnsi="宋体"/>
          <w:b/>
          <w:i/>
          <w:color w:val="auto"/>
          <w:sz w:val="24"/>
          <w:highlight w:val="none"/>
          <w:u w:val="single"/>
        </w:rPr>
        <w:t>合同专用条款</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w:t>
      </w:r>
    </w:p>
    <w:p w14:paraId="1F823D28">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17.2履约保证金在</w:t>
      </w:r>
      <w:r>
        <w:rPr>
          <w:rFonts w:ascii="宋体" w:hAnsi="宋体"/>
          <w:b/>
          <w:i/>
          <w:color w:val="auto"/>
          <w:sz w:val="24"/>
          <w:highlight w:val="none"/>
          <w:u w:val="single"/>
        </w:rPr>
        <w:t>合同专用条款</w:t>
      </w:r>
      <w:r>
        <w:rPr>
          <w:rFonts w:ascii="宋体" w:hAnsi="宋体"/>
          <w:color w:val="auto"/>
          <w:sz w:val="24"/>
          <w:highlight w:val="none"/>
        </w:rPr>
        <w:t>约定期间内不予退还或者应完全有效</w:t>
      </w:r>
      <w:r>
        <w:rPr>
          <w:rFonts w:hint="eastAsia" w:ascii="宋体" w:hAnsi="宋体"/>
          <w:color w:val="auto"/>
          <w:sz w:val="24"/>
          <w:highlight w:val="none"/>
        </w:rPr>
        <w:t>，前述约定期间届满</w:t>
      </w:r>
      <w:r>
        <w:rPr>
          <w:rFonts w:ascii="宋体" w:hAnsi="宋体"/>
          <w:color w:val="auto"/>
          <w:sz w:val="24"/>
          <w:highlight w:val="none"/>
        </w:rPr>
        <w:t>之日起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，甲方逾期退还履约保证金应承担违约责任。</w:t>
      </w:r>
    </w:p>
    <w:p w14:paraId="7AFB99B8">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17</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209"/>
    <w:p w14:paraId="763A2FF8">
      <w:pPr>
        <w:spacing w:line="360" w:lineRule="auto"/>
        <w:ind w:firstLine="437"/>
        <w:outlineLvl w:val="2"/>
        <w:rPr>
          <w:rFonts w:ascii="宋体" w:hAnsi="宋体"/>
          <w:b/>
          <w:color w:val="auto"/>
          <w:sz w:val="24"/>
          <w:highlight w:val="none"/>
        </w:rPr>
      </w:pPr>
      <w:bookmarkStart w:id="210" w:name="_Toc6885"/>
      <w:bookmarkStart w:id="211" w:name="_Toc14001"/>
      <w:bookmarkStart w:id="212" w:name="_Toc19890"/>
      <w:r>
        <w:rPr>
          <w:rFonts w:hint="eastAsia" w:ascii="宋体" w:hAnsi="宋体"/>
          <w:b/>
          <w:bCs/>
          <w:color w:val="auto"/>
          <w:sz w:val="24"/>
          <w:highlight w:val="none"/>
          <w:lang w:val="zh-CN"/>
        </w:rPr>
        <w:t>2.</w:t>
      </w:r>
      <w:r>
        <w:rPr>
          <w:rFonts w:ascii="宋体" w:hAnsi="宋体"/>
          <w:b/>
          <w:bCs/>
          <w:color w:val="auto"/>
          <w:sz w:val="24"/>
          <w:highlight w:val="none"/>
          <w:lang w:val="zh-CN"/>
        </w:rPr>
        <w:t>18</w:t>
      </w:r>
      <w:r>
        <w:rPr>
          <w:rFonts w:hint="eastAsia" w:ascii="宋体" w:hAnsi="宋体"/>
          <w:b/>
          <w:bCs/>
          <w:color w:val="auto"/>
          <w:sz w:val="24"/>
          <w:highlight w:val="none"/>
          <w:lang w:val="zh-CN"/>
        </w:rPr>
        <w:t xml:space="preserve"> 合同份数</w:t>
      </w:r>
      <w:bookmarkEnd w:id="210"/>
      <w:bookmarkEnd w:id="211"/>
      <w:bookmarkEnd w:id="212"/>
    </w:p>
    <w:p w14:paraId="34AEC72F">
      <w:pPr>
        <w:spacing w:line="360" w:lineRule="auto"/>
        <w:ind w:firstLine="435"/>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4E3EDCB2">
      <w:pPr>
        <w:spacing w:line="360" w:lineRule="auto"/>
        <w:jc w:val="center"/>
        <w:outlineLvl w:val="1"/>
        <w:rPr>
          <w:rFonts w:ascii="宋体" w:hAnsi="宋体"/>
          <w:b/>
          <w:color w:val="auto"/>
          <w:sz w:val="24"/>
          <w:highlight w:val="none"/>
        </w:rPr>
      </w:pPr>
      <w:r>
        <w:rPr>
          <w:rFonts w:ascii="宋体" w:hAnsi="宋体"/>
          <w:color w:val="auto"/>
          <w:sz w:val="24"/>
          <w:highlight w:val="none"/>
        </w:rPr>
        <w:br w:type="page"/>
      </w:r>
      <w:bookmarkStart w:id="213" w:name="_Toc3736"/>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合同专用条款</w:t>
      </w:r>
      <w:bookmarkEnd w:id="213"/>
    </w:p>
    <w:p w14:paraId="7F79AA41">
      <w:pPr>
        <w:spacing w:line="360" w:lineRule="auto"/>
        <w:ind w:firstLine="435"/>
        <w:rPr>
          <w:rFonts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3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B54C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35DA15D">
            <w:pPr>
              <w:jc w:val="center"/>
              <w:rPr>
                <w:rFonts w:ascii="宋体" w:hAnsi="宋体"/>
                <w:b/>
                <w:color w:val="auto"/>
                <w:sz w:val="24"/>
                <w:highlight w:val="none"/>
              </w:rPr>
            </w:pPr>
            <w:r>
              <w:rPr>
                <w:rFonts w:ascii="宋体" w:hAnsi="宋体"/>
                <w:b/>
                <w:color w:val="auto"/>
                <w:sz w:val="24"/>
                <w:highlight w:val="none"/>
              </w:rPr>
              <w:t>条款号</w:t>
            </w:r>
          </w:p>
        </w:tc>
        <w:tc>
          <w:tcPr>
            <w:tcW w:w="7568" w:type="dxa"/>
            <w:vAlign w:val="center"/>
          </w:tcPr>
          <w:p w14:paraId="44137917">
            <w:pPr>
              <w:jc w:val="center"/>
              <w:rPr>
                <w:rFonts w:ascii="宋体" w:hAnsi="宋体"/>
                <w:b/>
                <w:color w:val="auto"/>
                <w:sz w:val="24"/>
                <w:highlight w:val="none"/>
              </w:rPr>
            </w:pPr>
            <w:r>
              <w:rPr>
                <w:rFonts w:ascii="宋体" w:hAnsi="宋体"/>
                <w:b/>
                <w:color w:val="auto"/>
                <w:sz w:val="24"/>
                <w:highlight w:val="none"/>
              </w:rPr>
              <w:t>约定内容</w:t>
            </w:r>
          </w:p>
        </w:tc>
      </w:tr>
      <w:tr w14:paraId="3F6D4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80CE9F6">
            <w:pPr>
              <w:spacing w:line="440" w:lineRule="exact"/>
              <w:jc w:val="center"/>
              <w:rPr>
                <w:rFonts w:ascii="宋体" w:hAnsi="宋体"/>
                <w:color w:val="auto"/>
                <w:sz w:val="24"/>
                <w:highlight w:val="none"/>
              </w:rPr>
            </w:pPr>
            <w:r>
              <w:rPr>
                <w:rFonts w:hint="eastAsia" w:ascii="宋体" w:hAnsi="宋体" w:cs="宋体"/>
                <w:color w:val="auto"/>
                <w:sz w:val="24"/>
                <w:highlight w:val="none"/>
              </w:rPr>
              <w:t>2.11.3</w:t>
            </w:r>
          </w:p>
        </w:tc>
        <w:tc>
          <w:tcPr>
            <w:tcW w:w="7568" w:type="dxa"/>
            <w:vAlign w:val="center"/>
          </w:tcPr>
          <w:p w14:paraId="03537E5D">
            <w:pPr>
              <w:spacing w:line="440" w:lineRule="exact"/>
              <w:rPr>
                <w:rFonts w:ascii="宋体" w:hAnsi="宋体"/>
                <w:color w:val="auto"/>
                <w:sz w:val="24"/>
                <w:highlight w:val="none"/>
              </w:rPr>
            </w:pPr>
            <w:r>
              <w:rPr>
                <w:rFonts w:hint="eastAsia" w:ascii="宋体" w:hAnsi="宋体" w:cs="宋体"/>
                <w:color w:val="auto"/>
                <w:sz w:val="24"/>
                <w:highlight w:val="none"/>
              </w:rPr>
              <w:t>因不可抗力致使合同有变更必要的，双方当事人应在不可抗力发生的3个工作日内以书面形式变更合同</w:t>
            </w:r>
          </w:p>
        </w:tc>
      </w:tr>
      <w:tr w14:paraId="7F10C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091ABEE">
            <w:pPr>
              <w:spacing w:line="440" w:lineRule="exact"/>
              <w:jc w:val="center"/>
              <w:rPr>
                <w:rFonts w:ascii="宋体" w:hAnsi="宋体"/>
                <w:color w:val="auto"/>
                <w:sz w:val="24"/>
                <w:highlight w:val="none"/>
              </w:rPr>
            </w:pPr>
            <w:r>
              <w:rPr>
                <w:rFonts w:hint="eastAsia" w:ascii="宋体" w:hAnsi="宋体" w:cs="宋体"/>
                <w:color w:val="auto"/>
                <w:sz w:val="24"/>
                <w:highlight w:val="none"/>
              </w:rPr>
              <w:t>2.11.4</w:t>
            </w:r>
          </w:p>
        </w:tc>
        <w:tc>
          <w:tcPr>
            <w:tcW w:w="7568" w:type="dxa"/>
            <w:vAlign w:val="center"/>
          </w:tcPr>
          <w:p w14:paraId="4E936A86">
            <w:pPr>
              <w:spacing w:line="440" w:lineRule="exact"/>
              <w:rPr>
                <w:rFonts w:ascii="宋体" w:hAnsi="宋体"/>
                <w:color w:val="auto"/>
                <w:sz w:val="24"/>
                <w:highlight w:val="none"/>
              </w:rPr>
            </w:pPr>
            <w:r>
              <w:rPr>
                <w:rFonts w:hint="eastAsia" w:ascii="宋体" w:hAnsi="宋体" w:cs="宋体"/>
                <w:color w:val="auto"/>
                <w:sz w:val="24"/>
                <w:highlight w:val="none"/>
              </w:rPr>
              <w:t>受不可抗力影响的一方在不可抗力发生后，应在不可抗力发生的1个工作日内以书面形式通知对方当事人，并在1个工作日内，将有关部门出具的证明文件送达对方当事人</w:t>
            </w:r>
          </w:p>
        </w:tc>
      </w:tr>
      <w:tr w14:paraId="4F2F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1FDA4CD">
            <w:pPr>
              <w:spacing w:line="440" w:lineRule="exact"/>
              <w:jc w:val="center"/>
              <w:rPr>
                <w:rFonts w:ascii="宋体" w:hAnsi="宋体"/>
                <w:color w:val="auto"/>
                <w:sz w:val="24"/>
                <w:highlight w:val="none"/>
              </w:rPr>
            </w:pPr>
            <w:r>
              <w:rPr>
                <w:rFonts w:hint="eastAsia" w:ascii="宋体" w:hAnsi="宋体" w:cs="宋体"/>
                <w:color w:val="auto"/>
                <w:sz w:val="24"/>
                <w:highlight w:val="none"/>
              </w:rPr>
              <w:t>2.15</w:t>
            </w:r>
          </w:p>
        </w:tc>
        <w:tc>
          <w:tcPr>
            <w:tcW w:w="7568" w:type="dxa"/>
            <w:vAlign w:val="center"/>
          </w:tcPr>
          <w:p w14:paraId="2753D32F">
            <w:pPr>
              <w:spacing w:line="440" w:lineRule="exact"/>
              <w:rPr>
                <w:rFonts w:ascii="宋体" w:hAnsi="宋体" w:cs="宋体"/>
                <w:color w:val="auto"/>
                <w:sz w:val="24"/>
                <w:highlight w:val="none"/>
              </w:rPr>
            </w:pPr>
            <w:r>
              <w:rPr>
                <w:rFonts w:hint="eastAsia" w:ascii="宋体" w:hAnsi="宋体" w:cs="宋体"/>
                <w:color w:val="auto"/>
                <w:sz w:val="24"/>
                <w:highlight w:val="none"/>
              </w:rPr>
              <w:t>2.15.1乙方按照月定期提交服务报告，甲方按照在收到报告后，结合当月考核情况定期验收予以支付服务费用；</w:t>
            </w:r>
          </w:p>
          <w:p w14:paraId="2341ED48">
            <w:pPr>
              <w:spacing w:line="440" w:lineRule="exact"/>
              <w:rPr>
                <w:rFonts w:ascii="宋体" w:hAnsi="宋体"/>
                <w:color w:val="auto"/>
                <w:sz w:val="24"/>
                <w:highlight w:val="none"/>
              </w:rPr>
            </w:pPr>
            <w:r>
              <w:rPr>
                <w:rFonts w:hint="eastAsia" w:ascii="宋体" w:hAnsi="宋体" w:cs="宋体"/>
                <w:color w:val="auto"/>
                <w:sz w:val="24"/>
                <w:highlight w:val="none"/>
              </w:rPr>
              <w:t>2.15.3检验和验收标准、程序等具体内容以及前述验收书的效力：验收书的内容以检验和验收标准、程序结合项目具体内容出具，以验收书作为结算依据</w:t>
            </w:r>
          </w:p>
        </w:tc>
      </w:tr>
      <w:tr w14:paraId="29509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0A3BD8D">
            <w:pPr>
              <w:spacing w:line="440" w:lineRule="exact"/>
              <w:jc w:val="center"/>
              <w:rPr>
                <w:rFonts w:ascii="宋体" w:hAnsi="宋体"/>
                <w:color w:val="auto"/>
                <w:sz w:val="24"/>
                <w:highlight w:val="none"/>
              </w:rPr>
            </w:pPr>
            <w:r>
              <w:rPr>
                <w:rFonts w:hint="eastAsia" w:ascii="宋体" w:hAnsi="宋体" w:cs="宋体"/>
                <w:color w:val="auto"/>
                <w:sz w:val="24"/>
                <w:highlight w:val="none"/>
              </w:rPr>
              <w:t>2.17</w:t>
            </w:r>
          </w:p>
        </w:tc>
        <w:tc>
          <w:tcPr>
            <w:tcW w:w="7568" w:type="dxa"/>
            <w:vAlign w:val="center"/>
          </w:tcPr>
          <w:p w14:paraId="4C9F8F21">
            <w:pPr>
              <w:spacing w:line="440" w:lineRule="exact"/>
              <w:rPr>
                <w:rFonts w:ascii="宋体" w:hAnsi="宋体"/>
                <w:color w:val="auto"/>
                <w:sz w:val="24"/>
                <w:highlight w:val="none"/>
              </w:rPr>
            </w:pPr>
            <w:r>
              <w:rPr>
                <w:rFonts w:hint="eastAsia" w:ascii="宋体" w:hAnsi="宋体" w:cs="宋体"/>
                <w:color w:val="auto"/>
                <w:sz w:val="24"/>
                <w:highlight w:val="none"/>
              </w:rPr>
              <w:t>本项目不要求提交履约保证金</w:t>
            </w:r>
          </w:p>
        </w:tc>
      </w:tr>
      <w:tr w14:paraId="4B84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7BAC447">
            <w:pPr>
              <w:spacing w:line="440" w:lineRule="exact"/>
              <w:jc w:val="center"/>
              <w:rPr>
                <w:rFonts w:ascii="宋体" w:hAnsi="宋体"/>
                <w:color w:val="auto"/>
                <w:sz w:val="24"/>
                <w:highlight w:val="none"/>
              </w:rPr>
            </w:pPr>
            <w:r>
              <w:rPr>
                <w:rFonts w:hint="eastAsia" w:ascii="宋体" w:hAnsi="宋体" w:cs="宋体"/>
                <w:color w:val="auto"/>
                <w:sz w:val="24"/>
                <w:highlight w:val="none"/>
              </w:rPr>
              <w:t>2.18</w:t>
            </w:r>
          </w:p>
        </w:tc>
        <w:tc>
          <w:tcPr>
            <w:tcW w:w="7568" w:type="dxa"/>
            <w:vAlign w:val="center"/>
          </w:tcPr>
          <w:p w14:paraId="543614F4">
            <w:pPr>
              <w:spacing w:line="440" w:lineRule="exact"/>
              <w:rPr>
                <w:rFonts w:ascii="宋体" w:hAnsi="宋体"/>
                <w:color w:val="auto"/>
                <w:sz w:val="24"/>
                <w:highlight w:val="none"/>
                <w:u w:val="single"/>
              </w:rPr>
            </w:pPr>
            <w:r>
              <w:rPr>
                <w:rFonts w:hint="eastAsia" w:ascii="宋体" w:hAnsi="宋体" w:cs="宋体"/>
                <w:color w:val="auto"/>
                <w:sz w:val="24"/>
                <w:highlight w:val="none"/>
                <w:u w:val="single"/>
              </w:rPr>
              <w:t>合同一式捌份，甲乙双方各执四份。</w:t>
            </w:r>
          </w:p>
        </w:tc>
      </w:tr>
      <w:tr w14:paraId="0BBD9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30A9A0">
            <w:pPr>
              <w:spacing w:line="440" w:lineRule="exact"/>
              <w:jc w:val="center"/>
              <w:rPr>
                <w:rFonts w:ascii="宋体" w:hAnsi="宋体"/>
                <w:color w:val="auto"/>
                <w:sz w:val="24"/>
                <w:highlight w:val="none"/>
              </w:rPr>
            </w:pPr>
          </w:p>
        </w:tc>
        <w:tc>
          <w:tcPr>
            <w:tcW w:w="7568" w:type="dxa"/>
            <w:vAlign w:val="center"/>
          </w:tcPr>
          <w:p w14:paraId="7A253C43">
            <w:pPr>
              <w:spacing w:line="440" w:lineRule="exact"/>
              <w:rPr>
                <w:rFonts w:ascii="宋体" w:hAnsi="宋体"/>
                <w:color w:val="auto"/>
                <w:sz w:val="24"/>
                <w:highlight w:val="none"/>
                <w:u w:val="single"/>
              </w:rPr>
            </w:pPr>
            <w:r>
              <w:rPr>
                <w:rFonts w:hint="eastAsia" w:ascii="宋体" w:hAnsi="宋体" w:cs="宋体"/>
                <w:color w:val="auto"/>
                <w:sz w:val="24"/>
                <w:highlight w:val="none"/>
              </w:rPr>
              <w:t>（签订合同时可补充）</w:t>
            </w:r>
          </w:p>
        </w:tc>
      </w:tr>
      <w:tr w14:paraId="75AD7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163323A">
            <w:pPr>
              <w:spacing w:line="560" w:lineRule="exact"/>
              <w:rPr>
                <w:rFonts w:ascii="宋体" w:hAnsi="宋体"/>
                <w:color w:val="auto"/>
                <w:sz w:val="24"/>
                <w:highlight w:val="none"/>
              </w:rPr>
            </w:pPr>
          </w:p>
        </w:tc>
        <w:tc>
          <w:tcPr>
            <w:tcW w:w="7568" w:type="dxa"/>
            <w:vAlign w:val="center"/>
          </w:tcPr>
          <w:p w14:paraId="4ACFF09C">
            <w:pPr>
              <w:spacing w:line="560" w:lineRule="exact"/>
              <w:rPr>
                <w:rFonts w:ascii="宋体" w:hAnsi="宋体"/>
                <w:color w:val="auto"/>
                <w:sz w:val="24"/>
                <w:highlight w:val="none"/>
              </w:rPr>
            </w:pPr>
          </w:p>
        </w:tc>
      </w:tr>
      <w:tr w14:paraId="63315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7366114">
            <w:pPr>
              <w:spacing w:line="560" w:lineRule="exact"/>
              <w:rPr>
                <w:rFonts w:ascii="宋体" w:hAnsi="宋体"/>
                <w:color w:val="auto"/>
                <w:sz w:val="24"/>
                <w:highlight w:val="none"/>
              </w:rPr>
            </w:pPr>
          </w:p>
        </w:tc>
        <w:tc>
          <w:tcPr>
            <w:tcW w:w="7568" w:type="dxa"/>
            <w:vAlign w:val="center"/>
          </w:tcPr>
          <w:p w14:paraId="03785C00">
            <w:pPr>
              <w:spacing w:line="560" w:lineRule="exact"/>
              <w:rPr>
                <w:rFonts w:ascii="宋体" w:hAnsi="宋体"/>
                <w:color w:val="auto"/>
                <w:sz w:val="24"/>
                <w:highlight w:val="none"/>
              </w:rPr>
            </w:pPr>
          </w:p>
        </w:tc>
      </w:tr>
      <w:tr w14:paraId="7562F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1ADC71">
            <w:pPr>
              <w:spacing w:line="560" w:lineRule="exact"/>
              <w:rPr>
                <w:rFonts w:ascii="宋体" w:hAnsi="宋体"/>
                <w:color w:val="auto"/>
                <w:sz w:val="24"/>
                <w:highlight w:val="none"/>
              </w:rPr>
            </w:pPr>
          </w:p>
        </w:tc>
        <w:tc>
          <w:tcPr>
            <w:tcW w:w="7568" w:type="dxa"/>
            <w:vAlign w:val="center"/>
          </w:tcPr>
          <w:p w14:paraId="0F2A6C1F">
            <w:pPr>
              <w:spacing w:line="560" w:lineRule="exact"/>
              <w:rPr>
                <w:rFonts w:ascii="宋体" w:hAnsi="宋体"/>
                <w:color w:val="auto"/>
                <w:sz w:val="24"/>
                <w:highlight w:val="none"/>
              </w:rPr>
            </w:pPr>
          </w:p>
        </w:tc>
      </w:tr>
      <w:tr w14:paraId="0EDCC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8C8F8AF">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7538263">
            <w:pPr>
              <w:spacing w:line="560" w:lineRule="exact"/>
              <w:rPr>
                <w:rFonts w:ascii="宋体" w:hAnsi="宋体"/>
                <w:color w:val="auto"/>
                <w:sz w:val="24"/>
                <w:highlight w:val="none"/>
              </w:rPr>
            </w:pPr>
          </w:p>
        </w:tc>
      </w:tr>
      <w:tr w14:paraId="78A2B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69076CB">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8A53C36">
            <w:pPr>
              <w:spacing w:line="560" w:lineRule="exact"/>
              <w:rPr>
                <w:rFonts w:ascii="宋体" w:hAnsi="宋体"/>
                <w:color w:val="auto"/>
                <w:sz w:val="24"/>
                <w:highlight w:val="none"/>
              </w:rPr>
            </w:pPr>
          </w:p>
        </w:tc>
      </w:tr>
    </w:tbl>
    <w:p w14:paraId="26CC73BD">
      <w:pPr>
        <w:spacing w:before="156" w:beforeLines="50" w:after="156" w:afterLines="50" w:line="600" w:lineRule="exact"/>
        <w:jc w:val="center"/>
        <w:outlineLvl w:val="0"/>
        <w:rPr>
          <w:rFonts w:ascii="宋体"/>
          <w:b/>
          <w:color w:val="auto"/>
          <w:sz w:val="32"/>
          <w:szCs w:val="32"/>
          <w:highlight w:val="none"/>
        </w:rPr>
      </w:pPr>
    </w:p>
    <w:p w14:paraId="78C62920">
      <w:pPr>
        <w:spacing w:before="156" w:beforeLines="50" w:after="156" w:afterLines="50" w:line="600" w:lineRule="exact"/>
        <w:jc w:val="center"/>
        <w:outlineLvl w:val="0"/>
        <w:rPr>
          <w:rFonts w:ascii="宋体"/>
          <w:b/>
          <w:color w:val="auto"/>
          <w:sz w:val="32"/>
          <w:szCs w:val="32"/>
          <w:highlight w:val="none"/>
        </w:rPr>
      </w:pPr>
    </w:p>
    <w:p w14:paraId="426406F0">
      <w:pPr>
        <w:spacing w:before="156" w:beforeLines="50" w:after="156" w:afterLines="50" w:line="600" w:lineRule="exact"/>
        <w:jc w:val="center"/>
        <w:outlineLvl w:val="0"/>
        <w:rPr>
          <w:rFonts w:ascii="宋体"/>
          <w:b/>
          <w:color w:val="auto"/>
          <w:sz w:val="32"/>
          <w:szCs w:val="32"/>
          <w:highlight w:val="none"/>
        </w:rPr>
      </w:pPr>
    </w:p>
    <w:p w14:paraId="29EBFB34">
      <w:pPr>
        <w:spacing w:before="156" w:beforeLines="50" w:after="156" w:afterLines="50" w:line="600" w:lineRule="exact"/>
        <w:jc w:val="center"/>
        <w:outlineLvl w:val="0"/>
        <w:rPr>
          <w:rFonts w:ascii="宋体"/>
          <w:b/>
          <w:color w:val="auto"/>
          <w:sz w:val="32"/>
          <w:szCs w:val="32"/>
          <w:highlight w:val="none"/>
        </w:rPr>
      </w:pPr>
    </w:p>
    <w:p w14:paraId="5F4CF972">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t>第六章  投标文件格式</w:t>
      </w:r>
    </w:p>
    <w:p w14:paraId="147D7FAA">
      <w:pPr>
        <w:jc w:val="center"/>
        <w:rPr>
          <w:rFonts w:eastAsia="黑体"/>
          <w:color w:val="auto"/>
          <w:sz w:val="20"/>
          <w:highlight w:val="none"/>
        </w:rPr>
      </w:pPr>
    </w:p>
    <w:p w14:paraId="328282BD">
      <w:pPr>
        <w:pStyle w:val="2"/>
        <w:rPr>
          <w:color w:val="auto"/>
          <w:highlight w:val="none"/>
        </w:rPr>
      </w:pPr>
    </w:p>
    <w:p w14:paraId="31A04F04">
      <w:pPr>
        <w:adjustRightInd w:val="0"/>
        <w:snapToGrid w:val="0"/>
        <w:spacing w:line="560" w:lineRule="exact"/>
        <w:jc w:val="center"/>
        <w:rPr>
          <w:rFonts w:eastAsia="黑体"/>
          <w:color w:val="auto"/>
          <w:sz w:val="28"/>
          <w:szCs w:val="28"/>
          <w:highlight w:val="none"/>
          <w:u w:val="single"/>
        </w:rPr>
      </w:pPr>
    </w:p>
    <w:p w14:paraId="1CF8A607">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16C0F2E8">
      <w:pPr>
        <w:adjustRightInd w:val="0"/>
        <w:snapToGrid w:val="0"/>
        <w:spacing w:line="560" w:lineRule="exact"/>
        <w:jc w:val="center"/>
        <w:rPr>
          <w:rFonts w:eastAsia="黑体"/>
          <w:color w:val="auto"/>
          <w:sz w:val="20"/>
          <w:szCs w:val="20"/>
          <w:highlight w:val="none"/>
        </w:rPr>
      </w:pPr>
    </w:p>
    <w:p w14:paraId="2186B0F4">
      <w:pPr>
        <w:adjustRightInd w:val="0"/>
        <w:snapToGrid w:val="0"/>
        <w:spacing w:line="560" w:lineRule="exact"/>
        <w:rPr>
          <w:rFonts w:eastAsia="黑体"/>
          <w:color w:val="auto"/>
          <w:sz w:val="20"/>
          <w:szCs w:val="20"/>
          <w:highlight w:val="none"/>
        </w:rPr>
      </w:pPr>
    </w:p>
    <w:p w14:paraId="029270B3">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2E28CB52">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（资信证明文件）</w:t>
      </w:r>
    </w:p>
    <w:p w14:paraId="415B45F7">
      <w:pPr>
        <w:adjustRightInd w:val="0"/>
        <w:snapToGrid w:val="0"/>
        <w:spacing w:line="560" w:lineRule="exact"/>
        <w:rPr>
          <w:rFonts w:eastAsia="黑体"/>
          <w:color w:val="auto"/>
          <w:sz w:val="28"/>
          <w:szCs w:val="28"/>
          <w:highlight w:val="none"/>
        </w:rPr>
      </w:pPr>
    </w:p>
    <w:p w14:paraId="4293C4C1">
      <w:pPr>
        <w:pStyle w:val="2"/>
        <w:adjustRightInd w:val="0"/>
        <w:snapToGrid w:val="0"/>
        <w:spacing w:after="0" w:line="560" w:lineRule="exact"/>
        <w:ind w:left="0" w:leftChars="0" w:firstLine="560"/>
        <w:rPr>
          <w:rFonts w:eastAsia="黑体"/>
          <w:color w:val="auto"/>
          <w:sz w:val="28"/>
          <w:szCs w:val="28"/>
          <w:highlight w:val="none"/>
        </w:rPr>
      </w:pPr>
    </w:p>
    <w:p w14:paraId="241C1190">
      <w:pPr>
        <w:adjustRightInd w:val="0"/>
        <w:snapToGrid w:val="0"/>
        <w:spacing w:line="560" w:lineRule="exact"/>
        <w:rPr>
          <w:rFonts w:eastAsia="黑体"/>
          <w:color w:val="auto"/>
          <w:sz w:val="28"/>
          <w:szCs w:val="28"/>
          <w:highlight w:val="none"/>
        </w:rPr>
      </w:pPr>
    </w:p>
    <w:p w14:paraId="7FF1ED0A">
      <w:pPr>
        <w:pStyle w:val="2"/>
        <w:adjustRightInd w:val="0"/>
        <w:snapToGrid w:val="0"/>
        <w:spacing w:after="0" w:line="560" w:lineRule="exact"/>
        <w:ind w:left="0" w:leftChars="0"/>
        <w:rPr>
          <w:color w:val="auto"/>
          <w:highlight w:val="none"/>
        </w:rPr>
      </w:pPr>
    </w:p>
    <w:p w14:paraId="15ECA792">
      <w:pPr>
        <w:adjustRightInd w:val="0"/>
        <w:snapToGrid w:val="0"/>
        <w:spacing w:line="560" w:lineRule="exact"/>
        <w:rPr>
          <w:rFonts w:eastAsia="黑体"/>
          <w:color w:val="auto"/>
          <w:sz w:val="28"/>
          <w:szCs w:val="28"/>
          <w:highlight w:val="none"/>
        </w:rPr>
      </w:pPr>
    </w:p>
    <w:p w14:paraId="0B0C048E">
      <w:pPr>
        <w:adjustRightInd w:val="0"/>
        <w:snapToGrid w:val="0"/>
        <w:spacing w:line="560" w:lineRule="exact"/>
        <w:rPr>
          <w:rFonts w:eastAsia="黑体"/>
          <w:color w:val="auto"/>
          <w:sz w:val="28"/>
          <w:szCs w:val="28"/>
          <w:highlight w:val="none"/>
        </w:rPr>
      </w:pPr>
    </w:p>
    <w:p w14:paraId="65864884">
      <w:pPr>
        <w:adjustRightInd w:val="0"/>
        <w:snapToGrid w:val="0"/>
        <w:spacing w:line="560" w:lineRule="exact"/>
        <w:rPr>
          <w:rFonts w:eastAsia="黑体"/>
          <w:color w:val="auto"/>
          <w:sz w:val="28"/>
          <w:szCs w:val="28"/>
          <w:highlight w:val="none"/>
        </w:rPr>
      </w:pPr>
    </w:p>
    <w:p w14:paraId="0631A0EC">
      <w:pPr>
        <w:adjustRightInd w:val="0"/>
        <w:snapToGrid w:val="0"/>
        <w:spacing w:line="560" w:lineRule="exact"/>
        <w:rPr>
          <w:rFonts w:eastAsia="黑体"/>
          <w:color w:val="auto"/>
          <w:sz w:val="28"/>
          <w:szCs w:val="28"/>
          <w:highlight w:val="none"/>
        </w:rPr>
      </w:pPr>
    </w:p>
    <w:p w14:paraId="53CF59A1">
      <w:pPr>
        <w:adjustRightInd w:val="0"/>
        <w:snapToGrid w:val="0"/>
        <w:spacing w:line="560" w:lineRule="exact"/>
        <w:rPr>
          <w:rFonts w:eastAsia="黑体"/>
          <w:color w:val="auto"/>
          <w:sz w:val="28"/>
          <w:szCs w:val="28"/>
          <w:highlight w:val="none"/>
        </w:rPr>
      </w:pPr>
    </w:p>
    <w:p w14:paraId="21908996">
      <w:pPr>
        <w:adjustRightInd w:val="0"/>
        <w:snapToGrid w:val="0"/>
        <w:spacing w:line="560" w:lineRule="exact"/>
        <w:rPr>
          <w:rFonts w:eastAsia="黑体"/>
          <w:color w:val="auto"/>
          <w:sz w:val="28"/>
          <w:szCs w:val="28"/>
          <w:highlight w:val="none"/>
        </w:rPr>
      </w:pPr>
    </w:p>
    <w:p w14:paraId="0F6F4A7F">
      <w:pPr>
        <w:adjustRightInd w:val="0"/>
        <w:snapToGrid w:val="0"/>
        <w:spacing w:line="560" w:lineRule="exact"/>
        <w:rPr>
          <w:rFonts w:eastAsia="黑体"/>
          <w:color w:val="auto"/>
          <w:sz w:val="28"/>
          <w:szCs w:val="28"/>
          <w:highlight w:val="none"/>
        </w:rPr>
      </w:pPr>
    </w:p>
    <w:p w14:paraId="5395DD54">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盖章</w:t>
      </w:r>
      <w:r>
        <w:rPr>
          <w:rFonts w:eastAsia="黑体"/>
          <w:color w:val="auto"/>
          <w:sz w:val="28"/>
          <w:szCs w:val="28"/>
          <w:highlight w:val="none"/>
        </w:rPr>
        <w:t>）</w:t>
      </w:r>
    </w:p>
    <w:p w14:paraId="5098B01A">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5FA98325">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030B8549">
      <w:pPr>
        <w:spacing w:line="400" w:lineRule="exact"/>
        <w:ind w:firstLine="4130" w:firstLineChars="935"/>
        <w:rPr>
          <w:b/>
          <w:color w:val="auto"/>
          <w:sz w:val="44"/>
          <w:szCs w:val="44"/>
          <w:highlight w:val="none"/>
        </w:rPr>
      </w:pPr>
    </w:p>
    <w:p w14:paraId="507DD63C">
      <w:pPr>
        <w:rPr>
          <w:b/>
          <w:color w:val="auto"/>
          <w:sz w:val="44"/>
          <w:szCs w:val="44"/>
          <w:highlight w:val="none"/>
        </w:rPr>
      </w:pPr>
      <w:r>
        <w:rPr>
          <w:b/>
          <w:color w:val="auto"/>
          <w:sz w:val="44"/>
          <w:szCs w:val="44"/>
          <w:highlight w:val="none"/>
        </w:rPr>
        <w:br w:type="page"/>
      </w:r>
    </w:p>
    <w:p w14:paraId="21A40E71">
      <w:pPr>
        <w:pStyle w:val="36"/>
        <w:ind w:firstLine="210"/>
        <w:rPr>
          <w:color w:val="auto"/>
          <w:highlight w:val="none"/>
        </w:rPr>
      </w:pPr>
    </w:p>
    <w:p w14:paraId="0465B0A3">
      <w:pPr>
        <w:jc w:val="center"/>
        <w:rPr>
          <w:b/>
          <w:color w:val="auto"/>
          <w:sz w:val="44"/>
          <w:szCs w:val="44"/>
          <w:highlight w:val="none"/>
        </w:rPr>
      </w:pPr>
      <w:r>
        <w:rPr>
          <w:rFonts w:hint="eastAsia"/>
          <w:b/>
          <w:color w:val="auto"/>
          <w:sz w:val="36"/>
          <w:szCs w:val="36"/>
          <w:highlight w:val="none"/>
        </w:rPr>
        <w:t>目   录</w:t>
      </w:r>
    </w:p>
    <w:p w14:paraId="0203D6BA">
      <w:pPr>
        <w:spacing w:line="400" w:lineRule="exact"/>
        <w:ind w:firstLine="562" w:firstLineChars="200"/>
        <w:rPr>
          <w:b/>
          <w:color w:val="auto"/>
          <w:sz w:val="28"/>
          <w:szCs w:val="28"/>
          <w:highlight w:val="none"/>
        </w:rPr>
      </w:pPr>
    </w:p>
    <w:p w14:paraId="53996534">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574F3BBF">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（2）诚信投标承诺书（格式见附件）；                                                                                                                                                                                                                                                                                                                                                                                                                                                                                                                                                                                                                                                                                                                                                                                                                                                                                                                                                                                                                                                                                                                                                                                                                                                                                                                                                                                                                                                                                                                                                                                                                                                                                      </w:t>
      </w:r>
    </w:p>
    <w:p w14:paraId="00E34B50">
      <w:pPr>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hAnsi="宋体"/>
          <w:color w:val="auto"/>
          <w:szCs w:val="21"/>
          <w:highlight w:val="none"/>
        </w:rPr>
        <w:t>投标人有效的营业执照</w:t>
      </w:r>
      <w:r>
        <w:rPr>
          <w:rFonts w:hint="eastAsia" w:ascii="宋体"/>
          <w:color w:val="auto"/>
          <w:szCs w:val="21"/>
          <w:highlight w:val="none"/>
        </w:rPr>
        <w:t>；</w:t>
      </w:r>
    </w:p>
    <w:p w14:paraId="45DF112E">
      <w:pPr>
        <w:spacing w:line="500" w:lineRule="exact"/>
        <w:ind w:firstLine="422" w:firstLineChars="200"/>
        <w:jc w:val="left"/>
        <w:rPr>
          <w:rFonts w:hint="eastAsia" w:ascii="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股权无关联</w:t>
      </w:r>
      <w:r>
        <w:rPr>
          <w:rFonts w:hint="eastAsia" w:ascii="宋体" w:hAnsi="宋体" w:cs="宋体"/>
          <w:b/>
          <w:bCs/>
          <w:color w:val="auto"/>
          <w:szCs w:val="21"/>
          <w:highlight w:val="none"/>
          <w:lang w:val="en-US" w:eastAsia="zh-CN"/>
        </w:rPr>
        <w:t>等</w:t>
      </w:r>
      <w:r>
        <w:rPr>
          <w:rFonts w:hint="eastAsia" w:ascii="宋体" w:hAnsi="宋体" w:cs="宋体"/>
          <w:b/>
          <w:bCs/>
          <w:color w:val="auto"/>
          <w:szCs w:val="21"/>
          <w:highlight w:val="none"/>
        </w:rPr>
        <w:t>核查</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提供承诺函，</w:t>
      </w:r>
      <w:r>
        <w:rPr>
          <w:rFonts w:hint="eastAsia" w:ascii="宋体" w:hAnsi="宋体" w:eastAsia="宋体" w:cs="Times New Roman"/>
          <w:b/>
          <w:bCs/>
          <w:color w:val="auto"/>
          <w:szCs w:val="21"/>
          <w:highlight w:val="none"/>
          <w:lang w:val="en-US" w:eastAsia="zh-CN"/>
        </w:rPr>
        <w:t>格式见附件）</w:t>
      </w:r>
    </w:p>
    <w:p w14:paraId="4E52251B">
      <w:pPr>
        <w:spacing w:line="500" w:lineRule="exact"/>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）投标人认为需要提供得其他评审资料。</w:t>
      </w:r>
    </w:p>
    <w:p w14:paraId="04846E17">
      <w:pPr>
        <w:spacing w:line="500" w:lineRule="exact"/>
        <w:ind w:firstLine="420" w:firstLineChars="200"/>
        <w:jc w:val="left"/>
        <w:rPr>
          <w:rFonts w:ascii="宋体"/>
          <w:color w:val="auto"/>
          <w:szCs w:val="21"/>
          <w:highlight w:val="none"/>
        </w:rPr>
      </w:pPr>
    </w:p>
    <w:p w14:paraId="0E0EFFEC">
      <w:pPr>
        <w:spacing w:line="400" w:lineRule="exact"/>
        <w:ind w:firstLine="562" w:firstLineChars="200"/>
        <w:rPr>
          <w:b/>
          <w:color w:val="auto"/>
          <w:sz w:val="28"/>
          <w:szCs w:val="28"/>
          <w:highlight w:val="none"/>
        </w:rPr>
      </w:pPr>
    </w:p>
    <w:p w14:paraId="23C33946">
      <w:pPr>
        <w:spacing w:line="400" w:lineRule="exact"/>
        <w:ind w:firstLine="562" w:firstLineChars="200"/>
        <w:rPr>
          <w:b/>
          <w:color w:val="auto"/>
          <w:sz w:val="28"/>
          <w:szCs w:val="28"/>
          <w:highlight w:val="none"/>
        </w:rPr>
      </w:pPr>
    </w:p>
    <w:p w14:paraId="19B2646F">
      <w:pPr>
        <w:spacing w:line="400" w:lineRule="exact"/>
        <w:ind w:firstLine="562" w:firstLineChars="200"/>
        <w:rPr>
          <w:b/>
          <w:color w:val="auto"/>
          <w:sz w:val="28"/>
          <w:szCs w:val="28"/>
          <w:highlight w:val="none"/>
        </w:rPr>
      </w:pPr>
    </w:p>
    <w:p w14:paraId="46316956">
      <w:pPr>
        <w:spacing w:line="400" w:lineRule="exact"/>
        <w:ind w:firstLine="562" w:firstLineChars="200"/>
        <w:rPr>
          <w:b/>
          <w:color w:val="auto"/>
          <w:sz w:val="28"/>
          <w:szCs w:val="28"/>
          <w:highlight w:val="none"/>
        </w:rPr>
      </w:pPr>
    </w:p>
    <w:p w14:paraId="7C0C88BB">
      <w:pPr>
        <w:spacing w:line="400" w:lineRule="exact"/>
        <w:ind w:firstLine="562" w:firstLineChars="200"/>
        <w:rPr>
          <w:b/>
          <w:color w:val="auto"/>
          <w:sz w:val="28"/>
          <w:szCs w:val="28"/>
          <w:highlight w:val="none"/>
        </w:rPr>
      </w:pPr>
    </w:p>
    <w:p w14:paraId="0263E190">
      <w:pPr>
        <w:spacing w:line="400" w:lineRule="exact"/>
        <w:rPr>
          <w:b/>
          <w:color w:val="auto"/>
          <w:sz w:val="28"/>
          <w:szCs w:val="28"/>
          <w:highlight w:val="none"/>
        </w:rPr>
        <w:sectPr>
          <w:headerReference r:id="rId8" w:type="default"/>
          <w:footerReference r:id="rId9" w:type="default"/>
          <w:pgSz w:w="11906" w:h="16838"/>
          <w:pgMar w:top="1270" w:right="964" w:bottom="1270" w:left="907" w:header="851" w:footer="992" w:gutter="0"/>
          <w:pgNumType w:fmt="decimal" w:start="1"/>
          <w:cols w:space="0" w:num="1"/>
          <w:docGrid w:type="lines" w:linePitch="312" w:charSpace="0"/>
        </w:sectPr>
      </w:pPr>
    </w:p>
    <w:p w14:paraId="57D1B6DB">
      <w:pPr>
        <w:spacing w:line="360" w:lineRule="auto"/>
        <w:ind w:left="720"/>
        <w:jc w:val="center"/>
        <w:rPr>
          <w:rFonts w:ascii="宋体"/>
          <w:b/>
          <w:color w:val="auto"/>
          <w:sz w:val="28"/>
          <w:szCs w:val="28"/>
          <w:highlight w:val="none"/>
        </w:rPr>
      </w:pPr>
      <w:r>
        <w:rPr>
          <w:rFonts w:hint="eastAsia" w:ascii="Times New Roman" w:hAnsi="Times New Roman" w:eastAsia="宋体" w:cs="Times New Roman"/>
          <w:b/>
          <w:bCs/>
          <w:color w:val="auto"/>
          <w:kern w:val="2"/>
          <w:sz w:val="32"/>
          <w:szCs w:val="32"/>
          <w:highlight w:val="none"/>
          <w:u w:color="000000"/>
          <w:lang w:val="en-US" w:eastAsia="zh-CN" w:bidi="ar-SA"/>
        </w:rPr>
        <w:t>（1）法</w:t>
      </w:r>
      <w:r>
        <w:rPr>
          <w:rFonts w:hint="eastAsia"/>
          <w:b/>
          <w:color w:val="auto"/>
          <w:sz w:val="28"/>
          <w:szCs w:val="28"/>
          <w:highlight w:val="none"/>
        </w:rPr>
        <w:t>定代表人身份证明或授权委托书</w:t>
      </w:r>
    </w:p>
    <w:p w14:paraId="4781065C">
      <w:pPr>
        <w:pStyle w:val="124"/>
        <w:spacing w:before="240" w:beforeLines="100" w:after="240"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01055BEE">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C5D3913">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69522E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5C293440">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904CFBC">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2D756CC">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D36841C">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F953C9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2CA0DD0E">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7349A4B9">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94A8D6B">
      <w:pPr>
        <w:spacing w:before="240" w:beforeLines="100" w:after="240"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0E5976F4">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310647CD">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51AC04F5">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36925178">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73EF10B">
      <w:pPr>
        <w:spacing w:line="480" w:lineRule="exact"/>
        <w:rPr>
          <w:rFonts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3AD30CD4">
      <w:pPr>
        <w:spacing w:line="480" w:lineRule="exact"/>
        <w:ind w:firstLine="2280" w:firstLineChars="950"/>
        <w:rPr>
          <w:rFonts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（签字或盖章）</w:t>
      </w:r>
    </w:p>
    <w:p w14:paraId="202C230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2DF7FE29">
      <w:pPr>
        <w:spacing w:line="360" w:lineRule="exact"/>
        <w:ind w:firstLine="413" w:firstLineChars="147"/>
        <w:rPr>
          <w:b/>
          <w:color w:val="auto"/>
          <w:sz w:val="28"/>
          <w:szCs w:val="28"/>
          <w:highlight w:val="none"/>
          <w:u w:val="single"/>
        </w:rPr>
      </w:pPr>
    </w:p>
    <w:p w14:paraId="28294C08">
      <w:pPr>
        <w:spacing w:line="360" w:lineRule="exact"/>
        <w:ind w:firstLine="413" w:firstLineChars="147"/>
        <w:rPr>
          <w:b/>
          <w:color w:val="auto"/>
          <w:sz w:val="28"/>
          <w:szCs w:val="28"/>
          <w:highlight w:val="none"/>
          <w:u w:val="single"/>
        </w:rPr>
      </w:pPr>
    </w:p>
    <w:p w14:paraId="732BE67D">
      <w:pPr>
        <w:rPr>
          <w:rFonts w:ascii="宋体"/>
          <w:b/>
          <w:color w:val="auto"/>
          <w:sz w:val="30"/>
          <w:szCs w:val="30"/>
          <w:highlight w:val="none"/>
        </w:rPr>
      </w:pPr>
      <w:r>
        <w:rPr>
          <w:rFonts w:hint="eastAsia" w:ascii="宋体"/>
          <w:b/>
          <w:color w:val="auto"/>
          <w:sz w:val="30"/>
          <w:szCs w:val="30"/>
          <w:highlight w:val="none"/>
        </w:rPr>
        <w:br w:type="page"/>
      </w:r>
    </w:p>
    <w:p w14:paraId="1BF6E156">
      <w:pPr>
        <w:spacing w:line="360" w:lineRule="auto"/>
        <w:jc w:val="center"/>
        <w:rPr>
          <w:b/>
          <w:color w:val="auto"/>
          <w:sz w:val="28"/>
          <w:szCs w:val="28"/>
          <w:highlight w:val="none"/>
        </w:rPr>
      </w:pPr>
      <w:bookmarkStart w:id="214" w:name="_Toc449028950"/>
      <w:bookmarkStart w:id="215" w:name="_Toc440443268"/>
      <w:r>
        <w:rPr>
          <w:rFonts w:hint="eastAsia" w:ascii="Times New Roman" w:hAnsi="Times New Roman" w:eastAsia="宋体" w:cs="Times New Roman"/>
          <w:b/>
          <w:bCs/>
          <w:color w:val="auto"/>
          <w:kern w:val="2"/>
          <w:sz w:val="32"/>
          <w:szCs w:val="32"/>
          <w:highlight w:val="none"/>
          <w:u w:color="000000"/>
          <w:lang w:val="en-US" w:eastAsia="zh-CN" w:bidi="ar-SA"/>
        </w:rPr>
        <w:t>（2）</w:t>
      </w:r>
      <w:r>
        <w:rPr>
          <w:rFonts w:hint="eastAsia"/>
          <w:b/>
          <w:color w:val="auto"/>
          <w:sz w:val="28"/>
          <w:szCs w:val="28"/>
          <w:highlight w:val="none"/>
        </w:rPr>
        <w:t>诚信投标承诺书 </w:t>
      </w:r>
    </w:p>
    <w:p w14:paraId="66ACBC9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080E76F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7450B4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153D05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B63F89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73C3F6A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570D76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E6E06B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1F8FF6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28CF97B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0F3F893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222C6B7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D5724C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390E99B3">
      <w:pPr>
        <w:adjustRightInd w:val="0"/>
        <w:snapToGrid w:val="0"/>
        <w:spacing w:line="560" w:lineRule="exact"/>
        <w:ind w:firstLine="420" w:firstLineChars="200"/>
        <w:rPr>
          <w:rFonts w:hint="eastAsia" w:ascii="宋体" w:hAnsi="宋体"/>
          <w:color w:val="auto"/>
          <w:szCs w:val="21"/>
          <w:highlight w:val="none"/>
        </w:rPr>
      </w:pPr>
    </w:p>
    <w:p w14:paraId="6A0EEE58">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DE04E2A">
      <w:pPr>
        <w:adjustRightInd w:val="0"/>
        <w:snapToGrid w:val="0"/>
        <w:spacing w:line="560" w:lineRule="exact"/>
        <w:rPr>
          <w:rFonts w:ascii="宋体" w:hAnsi="宋体"/>
          <w:color w:val="auto"/>
          <w:szCs w:val="21"/>
          <w:highlight w:val="none"/>
        </w:rPr>
      </w:pPr>
    </w:p>
    <w:p w14:paraId="1CA2C9E0">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60C4579B">
      <w:pPr>
        <w:adjustRightInd w:val="0"/>
        <w:snapToGrid w:val="0"/>
        <w:spacing w:line="560" w:lineRule="exact"/>
        <w:rPr>
          <w:rFonts w:ascii="宋体" w:hAnsi="宋体"/>
          <w:color w:val="auto"/>
          <w:szCs w:val="21"/>
          <w:highlight w:val="none"/>
        </w:rPr>
      </w:pPr>
    </w:p>
    <w:p w14:paraId="04132C1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7FFD6F7">
      <w:pPr>
        <w:spacing w:line="360" w:lineRule="auto"/>
        <w:jc w:val="center"/>
        <w:rPr>
          <w:b/>
          <w:color w:val="auto"/>
          <w:sz w:val="28"/>
          <w:szCs w:val="28"/>
          <w:highlight w:val="none"/>
        </w:rPr>
      </w:pPr>
    </w:p>
    <w:p w14:paraId="4959C0FF">
      <w:pPr>
        <w:spacing w:line="360" w:lineRule="exact"/>
        <w:ind w:firstLine="443" w:firstLineChars="147"/>
        <w:rPr>
          <w:rFonts w:ascii="宋体"/>
          <w:b/>
          <w:color w:val="auto"/>
          <w:sz w:val="30"/>
          <w:szCs w:val="30"/>
          <w:highlight w:val="none"/>
        </w:rPr>
      </w:pPr>
    </w:p>
    <w:p w14:paraId="3AF9E64C">
      <w:pPr>
        <w:spacing w:line="360" w:lineRule="exact"/>
        <w:ind w:firstLine="443" w:firstLineChars="147"/>
        <w:rPr>
          <w:rFonts w:ascii="宋体"/>
          <w:b/>
          <w:color w:val="auto"/>
          <w:sz w:val="30"/>
          <w:szCs w:val="30"/>
          <w:highlight w:val="none"/>
        </w:rPr>
      </w:pPr>
    </w:p>
    <w:p w14:paraId="263C23B0">
      <w:pPr>
        <w:spacing w:line="360" w:lineRule="exact"/>
        <w:ind w:firstLine="443" w:firstLineChars="147"/>
        <w:rPr>
          <w:rFonts w:ascii="宋体"/>
          <w:b/>
          <w:color w:val="auto"/>
          <w:sz w:val="30"/>
          <w:szCs w:val="30"/>
          <w:highlight w:val="none"/>
        </w:rPr>
      </w:pPr>
    </w:p>
    <w:p w14:paraId="2D85D268">
      <w:pPr>
        <w:spacing w:line="360" w:lineRule="exact"/>
        <w:ind w:firstLine="443" w:firstLineChars="147"/>
        <w:rPr>
          <w:rFonts w:ascii="宋体"/>
          <w:b/>
          <w:color w:val="auto"/>
          <w:sz w:val="30"/>
          <w:szCs w:val="30"/>
          <w:highlight w:val="none"/>
        </w:rPr>
      </w:pPr>
    </w:p>
    <w:p w14:paraId="4917E24E">
      <w:pPr>
        <w:spacing w:line="360" w:lineRule="exact"/>
        <w:ind w:firstLine="443" w:firstLineChars="147"/>
        <w:rPr>
          <w:rFonts w:ascii="宋体"/>
          <w:b/>
          <w:color w:val="auto"/>
          <w:sz w:val="30"/>
          <w:szCs w:val="30"/>
          <w:highlight w:val="none"/>
        </w:rPr>
      </w:pPr>
    </w:p>
    <w:p w14:paraId="654AE54F">
      <w:pPr>
        <w:spacing w:line="360" w:lineRule="exact"/>
        <w:ind w:firstLine="443" w:firstLineChars="147"/>
        <w:rPr>
          <w:rFonts w:ascii="宋体"/>
          <w:b/>
          <w:color w:val="auto"/>
          <w:sz w:val="30"/>
          <w:szCs w:val="30"/>
          <w:highlight w:val="none"/>
        </w:rPr>
      </w:pPr>
    </w:p>
    <w:p w14:paraId="3AF70406">
      <w:pPr>
        <w:spacing w:line="360" w:lineRule="exact"/>
        <w:ind w:firstLine="443" w:firstLineChars="147"/>
        <w:rPr>
          <w:rFonts w:ascii="宋体"/>
          <w:b/>
          <w:color w:val="auto"/>
          <w:sz w:val="30"/>
          <w:szCs w:val="30"/>
          <w:highlight w:val="none"/>
        </w:rPr>
      </w:pPr>
    </w:p>
    <w:p w14:paraId="7732132E">
      <w:pPr>
        <w:spacing w:line="360" w:lineRule="exact"/>
        <w:ind w:firstLine="443" w:firstLineChars="147"/>
        <w:rPr>
          <w:rFonts w:ascii="宋体"/>
          <w:b/>
          <w:color w:val="auto"/>
          <w:sz w:val="30"/>
          <w:szCs w:val="30"/>
          <w:highlight w:val="none"/>
        </w:rPr>
      </w:pPr>
    </w:p>
    <w:bookmarkEnd w:id="69"/>
    <w:bookmarkEnd w:id="70"/>
    <w:bookmarkEnd w:id="214"/>
    <w:bookmarkEnd w:id="215"/>
    <w:p w14:paraId="518C72CD">
      <w:pPr>
        <w:pStyle w:val="8"/>
        <w:pageBreakBefore/>
        <w:adjustRightInd w:val="0"/>
        <w:snapToGrid w:val="0"/>
        <w:spacing w:before="0" w:after="0" w:line="560" w:lineRule="exact"/>
        <w:jc w:val="center"/>
        <w:rPr>
          <w:rFonts w:hint="eastAsia"/>
          <w:color w:val="auto"/>
          <w:highlight w:val="none"/>
        </w:rPr>
      </w:pPr>
      <w:bookmarkStart w:id="216" w:name="_Toc21146"/>
      <w:bookmarkStart w:id="217" w:name="_Toc7398"/>
      <w:bookmarkStart w:id="218" w:name="_Toc58430333"/>
      <w:bookmarkStart w:id="219" w:name="_Toc449028957"/>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color w:val="auto"/>
          <w:highlight w:val="none"/>
        </w:rPr>
        <w:t>承诺函  </w:t>
      </w:r>
      <w:bookmarkEnd w:id="216"/>
      <w:bookmarkEnd w:id="217"/>
    </w:p>
    <w:p w14:paraId="489051CE">
      <w:pPr>
        <w:spacing w:line="500" w:lineRule="exact"/>
        <w:rPr>
          <w:rFonts w:hint="eastAsia" w:ascii="宋体" w:hAnsi="宋体" w:cs="宋体"/>
          <w:color w:val="auto"/>
          <w:sz w:val="24"/>
          <w:szCs w:val="24"/>
          <w:highlight w:val="none"/>
        </w:rPr>
      </w:pPr>
    </w:p>
    <w:p w14:paraId="09342061">
      <w:pPr>
        <w:spacing w:line="500" w:lineRule="exact"/>
        <w:rPr>
          <w:rFonts w:hint="eastAsia"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（招标人）     ：</w:t>
      </w:r>
    </w:p>
    <w:p w14:paraId="476C11D3">
      <w:pPr>
        <w:keepNext w:val="0"/>
        <w:keepLines w:val="0"/>
        <w:widowControl/>
        <w:suppressLineNumbers w:val="0"/>
        <w:spacing w:line="360" w:lineRule="auto"/>
        <w:jc w:val="left"/>
        <w:rPr>
          <w:color w:val="auto"/>
          <w:highlight w:val="none"/>
        </w:rPr>
      </w:pPr>
    </w:p>
    <w:p w14:paraId="07EF5E8B">
      <w:pPr>
        <w:keepNext w:val="0"/>
        <w:keepLines w:val="0"/>
        <w:widowControl/>
        <w:suppressLineNumbers w:val="0"/>
        <w:spacing w:line="360" w:lineRule="auto"/>
        <w:ind w:firstLine="480" w:firstLineChars="200"/>
        <w:jc w:val="left"/>
        <w:rPr>
          <w:b w:val="0"/>
          <w:bCs w:val="0"/>
          <w:color w:val="auto"/>
          <w:sz w:val="24"/>
          <w:szCs w:val="24"/>
          <w:highlight w:val="none"/>
        </w:rPr>
      </w:pPr>
      <w:r>
        <w:rPr>
          <w:rFonts w:ascii="宋体" w:hAnsi="宋体" w:eastAsia="宋体" w:cs="宋体"/>
          <w:b w:val="0"/>
          <w:bCs w:val="0"/>
          <w:color w:val="auto"/>
          <w:kern w:val="0"/>
          <w:sz w:val="24"/>
          <w:szCs w:val="24"/>
          <w:highlight w:val="none"/>
          <w:lang w:val="en-US" w:eastAsia="zh-CN" w:bidi="ar"/>
        </w:rPr>
        <w:t>本单位已充分知悉本项目招标文件关于</w:t>
      </w:r>
      <w:r>
        <w:rPr>
          <w:rStyle w:val="40"/>
          <w:rFonts w:ascii="宋体" w:hAnsi="宋体" w:eastAsia="宋体" w:cs="宋体"/>
          <w:b w:val="0"/>
          <w:bCs w:val="0"/>
          <w:color w:val="auto"/>
          <w:kern w:val="0"/>
          <w:sz w:val="24"/>
          <w:szCs w:val="24"/>
          <w:highlight w:val="none"/>
          <w:lang w:val="en-US" w:eastAsia="zh-CN" w:bidi="ar"/>
        </w:rPr>
        <w:t>股权与关联关系专项资格核查</w:t>
      </w:r>
      <w:r>
        <w:rPr>
          <w:rFonts w:ascii="宋体" w:hAnsi="宋体" w:eastAsia="宋体" w:cs="宋体"/>
          <w:b w:val="0"/>
          <w:bCs w:val="0"/>
          <w:color w:val="auto"/>
          <w:kern w:val="0"/>
          <w:sz w:val="24"/>
          <w:szCs w:val="24"/>
          <w:highlight w:val="none"/>
          <w:lang w:val="en-US" w:eastAsia="zh-CN" w:bidi="ar"/>
        </w:rPr>
        <w:t>的全部要求，现自愿就本单位投标主体关联情况</w:t>
      </w:r>
      <w:r>
        <w:rPr>
          <w:rFonts w:hint="eastAsia" w:ascii="宋体" w:hAnsi="宋体" w:eastAsia="宋体" w:cs="宋体"/>
          <w:b w:val="0"/>
          <w:bCs w:val="0"/>
          <w:color w:val="auto"/>
          <w:kern w:val="0"/>
          <w:sz w:val="24"/>
          <w:szCs w:val="24"/>
          <w:highlight w:val="none"/>
          <w:lang w:val="en-US" w:eastAsia="zh-CN" w:bidi="ar"/>
        </w:rPr>
        <w:t>等</w:t>
      </w:r>
      <w:r>
        <w:rPr>
          <w:rFonts w:ascii="宋体" w:hAnsi="宋体" w:eastAsia="宋体" w:cs="宋体"/>
          <w:b w:val="0"/>
          <w:bCs w:val="0"/>
          <w:color w:val="auto"/>
          <w:kern w:val="0"/>
          <w:sz w:val="24"/>
          <w:szCs w:val="24"/>
          <w:highlight w:val="none"/>
          <w:lang w:val="en-US" w:eastAsia="zh-CN" w:bidi="ar"/>
        </w:rPr>
        <w:t>作出如下自查与承诺：</w:t>
      </w:r>
    </w:p>
    <w:p w14:paraId="67920323">
      <w:pPr>
        <w:keepNext w:val="0"/>
        <w:keepLines w:val="0"/>
        <w:widowControl/>
        <w:suppressLineNumbers w:val="0"/>
        <w:spacing w:line="360" w:lineRule="auto"/>
        <w:ind w:firstLine="480" w:firstLineChars="200"/>
        <w:jc w:val="left"/>
        <w:rPr>
          <w:b w:val="0"/>
          <w:bCs w:val="0"/>
          <w:color w:val="auto"/>
          <w:sz w:val="24"/>
          <w:szCs w:val="24"/>
          <w:highlight w:val="none"/>
        </w:rPr>
      </w:pPr>
      <w:r>
        <w:rPr>
          <w:rFonts w:ascii="宋体" w:hAnsi="宋体" w:eastAsia="宋体" w:cs="宋体"/>
          <w:b w:val="0"/>
          <w:bCs w:val="0"/>
          <w:color w:val="auto"/>
          <w:kern w:val="0"/>
          <w:sz w:val="24"/>
          <w:szCs w:val="24"/>
          <w:highlight w:val="none"/>
          <w:lang w:val="en-US" w:eastAsia="zh-CN" w:bidi="ar"/>
        </w:rPr>
        <w:t>1. 本单位已自行全面核查本单位股权结构、隶属关系、人员任职及经营管理情况，</w:t>
      </w:r>
      <w:r>
        <w:rPr>
          <w:rStyle w:val="40"/>
          <w:rFonts w:ascii="宋体" w:hAnsi="宋体" w:eastAsia="宋体" w:cs="宋体"/>
          <w:b w:val="0"/>
          <w:bCs w:val="0"/>
          <w:color w:val="auto"/>
          <w:kern w:val="0"/>
          <w:sz w:val="24"/>
          <w:szCs w:val="24"/>
          <w:highlight w:val="none"/>
          <w:lang w:val="en-US" w:eastAsia="zh-CN" w:bidi="ar"/>
        </w:rPr>
        <w:t>本单位与本项目其他所有投标主体之间不存在任何股权关联情形</w:t>
      </w:r>
      <w:r>
        <w:rPr>
          <w:rFonts w:ascii="宋体" w:hAnsi="宋体" w:eastAsia="宋体" w:cs="宋体"/>
          <w:b w:val="0"/>
          <w:bCs w:val="0"/>
          <w:color w:val="auto"/>
          <w:kern w:val="0"/>
          <w:sz w:val="24"/>
          <w:szCs w:val="24"/>
          <w:highlight w:val="none"/>
          <w:lang w:val="en-US" w:eastAsia="zh-CN" w:bidi="ar"/>
        </w:rPr>
        <w:t>。</w:t>
      </w:r>
    </w:p>
    <w:p w14:paraId="6B8A6013">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2</w:t>
      </w:r>
      <w:r>
        <w:rPr>
          <w:rFonts w:ascii="宋体" w:hAnsi="宋体" w:eastAsia="宋体" w:cs="宋体"/>
          <w:b w:val="0"/>
          <w:bCs w:val="0"/>
          <w:color w:val="auto"/>
          <w:kern w:val="0"/>
          <w:sz w:val="24"/>
          <w:szCs w:val="24"/>
          <w:highlight w:val="none"/>
          <w:lang w:val="en-US" w:eastAsia="zh-CN" w:bidi="ar"/>
        </w:rPr>
        <w:t>. 本单位法定代表人、主要负责人、董事、监事、高级管理人员及项目关键岗位人员，</w:t>
      </w:r>
      <w:r>
        <w:rPr>
          <w:rStyle w:val="40"/>
          <w:rFonts w:ascii="宋体" w:hAnsi="宋体" w:eastAsia="宋体" w:cs="宋体"/>
          <w:b w:val="0"/>
          <w:bCs w:val="0"/>
          <w:color w:val="auto"/>
          <w:kern w:val="0"/>
          <w:sz w:val="24"/>
          <w:szCs w:val="24"/>
          <w:highlight w:val="none"/>
          <w:lang w:val="en-US" w:eastAsia="zh-CN" w:bidi="ar"/>
        </w:rPr>
        <w:t>未在本项目其他投标单位交叉任职、兼职或共用任职</w:t>
      </w:r>
      <w:r>
        <w:rPr>
          <w:rFonts w:ascii="宋体" w:hAnsi="宋体" w:eastAsia="宋体" w:cs="宋体"/>
          <w:b w:val="0"/>
          <w:bCs w:val="0"/>
          <w:color w:val="auto"/>
          <w:kern w:val="0"/>
          <w:sz w:val="24"/>
          <w:szCs w:val="24"/>
          <w:highlight w:val="none"/>
          <w:lang w:val="en-US" w:eastAsia="zh-CN" w:bidi="ar"/>
        </w:rPr>
        <w:t>，无人员混同情形。</w:t>
      </w:r>
    </w:p>
    <w:p w14:paraId="3A95F11C">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3</w:t>
      </w:r>
      <w:r>
        <w:rPr>
          <w:rFonts w:ascii="宋体" w:hAnsi="宋体" w:eastAsia="宋体" w:cs="宋体"/>
          <w:b w:val="0"/>
          <w:bCs w:val="0"/>
          <w:color w:val="auto"/>
          <w:kern w:val="0"/>
          <w:sz w:val="24"/>
          <w:szCs w:val="24"/>
          <w:highlight w:val="none"/>
          <w:lang w:val="en-US" w:eastAsia="zh-CN" w:bidi="ar"/>
        </w:rPr>
        <w:t>. 本单位与本项目其他投标主体</w:t>
      </w:r>
      <w:r>
        <w:rPr>
          <w:rStyle w:val="40"/>
          <w:rFonts w:ascii="宋体" w:hAnsi="宋体" w:eastAsia="宋体" w:cs="宋体"/>
          <w:b w:val="0"/>
          <w:bCs w:val="0"/>
          <w:color w:val="auto"/>
          <w:kern w:val="0"/>
          <w:sz w:val="24"/>
          <w:szCs w:val="24"/>
          <w:highlight w:val="none"/>
          <w:lang w:val="en-US" w:eastAsia="zh-CN" w:bidi="ar"/>
        </w:rPr>
        <w:t>不存在办公场地、财务核算、经营管理、项目运营统一管控等管理混同情形</w:t>
      </w:r>
      <w:r>
        <w:rPr>
          <w:rFonts w:ascii="宋体" w:hAnsi="宋体" w:eastAsia="宋体" w:cs="宋体"/>
          <w:b w:val="0"/>
          <w:bCs w:val="0"/>
          <w:color w:val="auto"/>
          <w:kern w:val="0"/>
          <w:sz w:val="24"/>
          <w:szCs w:val="24"/>
          <w:highlight w:val="none"/>
          <w:lang w:val="en-US" w:eastAsia="zh-CN" w:bidi="ar"/>
        </w:rPr>
        <w:t>，各投标主体经营管理独立、权责独立。</w:t>
      </w:r>
    </w:p>
    <w:p w14:paraId="186335B1">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4</w:t>
      </w:r>
      <w:r>
        <w:rPr>
          <w:rFonts w:ascii="宋体" w:hAnsi="宋体" w:eastAsia="宋体" w:cs="宋体"/>
          <w:b w:val="0"/>
          <w:bCs w:val="0"/>
          <w:color w:val="auto"/>
          <w:kern w:val="0"/>
          <w:sz w:val="24"/>
          <w:szCs w:val="24"/>
          <w:highlight w:val="none"/>
          <w:lang w:val="en-US" w:eastAsia="zh-CN" w:bidi="ar"/>
        </w:rPr>
        <w:t>. 本单位严格遵守招标投标相关法律法规，</w:t>
      </w:r>
      <w:r>
        <w:rPr>
          <w:rStyle w:val="40"/>
          <w:rFonts w:ascii="宋体" w:hAnsi="宋体" w:eastAsia="宋体" w:cs="宋体"/>
          <w:b w:val="0"/>
          <w:bCs w:val="0"/>
          <w:color w:val="auto"/>
          <w:kern w:val="0"/>
          <w:sz w:val="24"/>
          <w:szCs w:val="24"/>
          <w:highlight w:val="none"/>
          <w:lang w:val="en-US" w:eastAsia="zh-CN" w:bidi="ar"/>
        </w:rPr>
        <w:t>未通过股权关联、人员关联、管理关联、隶属关联等任何方式与其他投标人串通投标、围标、控标、协同报价</w:t>
      </w:r>
      <w:r>
        <w:rPr>
          <w:rFonts w:ascii="宋体" w:hAnsi="宋体" w:eastAsia="宋体" w:cs="宋体"/>
          <w:b w:val="0"/>
          <w:bCs w:val="0"/>
          <w:color w:val="auto"/>
          <w:kern w:val="0"/>
          <w:sz w:val="24"/>
          <w:szCs w:val="24"/>
          <w:highlight w:val="none"/>
          <w:lang w:val="en-US" w:eastAsia="zh-CN" w:bidi="ar"/>
        </w:rPr>
        <w:t>，不存在任何影响本次招标公正性的违法违规及不正当投标行为。</w:t>
      </w:r>
    </w:p>
    <w:p w14:paraId="097A4CF6">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5</w:t>
      </w:r>
      <w:r>
        <w:rPr>
          <w:rFonts w:ascii="宋体" w:hAnsi="宋体" w:eastAsia="宋体" w:cs="宋体"/>
          <w:b w:val="0"/>
          <w:bCs w:val="0"/>
          <w:color w:val="auto"/>
          <w:kern w:val="0"/>
          <w:sz w:val="24"/>
          <w:szCs w:val="24"/>
          <w:highlight w:val="none"/>
          <w:lang w:val="en-US" w:eastAsia="zh-CN" w:bidi="ar"/>
        </w:rPr>
        <w:t>. 本单位本次填报及自查内容真实、准确、完整，无隐瞒、无虚假、无遗漏。</w:t>
      </w:r>
    </w:p>
    <w:p w14:paraId="0C428A4F">
      <w:pPr>
        <w:keepNext w:val="0"/>
        <w:keepLines w:val="0"/>
        <w:widowControl/>
        <w:suppressLineNumbers w:val="0"/>
        <w:spacing w:line="360" w:lineRule="auto"/>
        <w:ind w:firstLine="480" w:firstLineChars="200"/>
        <w:jc w:val="left"/>
        <w:rPr>
          <w:b w:val="0"/>
          <w:bCs w:val="0"/>
          <w:color w:val="auto"/>
          <w:sz w:val="24"/>
          <w:szCs w:val="24"/>
          <w:highlight w:val="none"/>
        </w:rPr>
      </w:pPr>
      <w:r>
        <w:rPr>
          <w:rStyle w:val="40"/>
          <w:rFonts w:ascii="宋体" w:hAnsi="宋体" w:eastAsia="宋体" w:cs="宋体"/>
          <w:b w:val="0"/>
          <w:bCs w:val="0"/>
          <w:color w:val="auto"/>
          <w:kern w:val="0"/>
          <w:sz w:val="24"/>
          <w:szCs w:val="24"/>
          <w:highlight w:val="none"/>
          <w:lang w:val="en-US" w:eastAsia="zh-CN" w:bidi="ar"/>
        </w:rPr>
        <w:t>本单位充分知晓并承诺：</w:t>
      </w:r>
      <w:r>
        <w:rPr>
          <w:rFonts w:ascii="宋体" w:hAnsi="宋体" w:eastAsia="宋体" w:cs="宋体"/>
          <w:b w:val="0"/>
          <w:bCs w:val="0"/>
          <w:color w:val="auto"/>
          <w:kern w:val="0"/>
          <w:sz w:val="24"/>
          <w:szCs w:val="24"/>
          <w:highlight w:val="none"/>
          <w:lang w:val="en-US" w:eastAsia="zh-CN" w:bidi="ar"/>
        </w:rPr>
        <w:t>若经招标人、招标代理机构、评标委员会核查，发现本单位存在上述任一关联情形、或存在围标串标等违法违规行为，自愿接受</w:t>
      </w:r>
      <w:r>
        <w:rPr>
          <w:rStyle w:val="40"/>
          <w:rFonts w:ascii="宋体" w:hAnsi="宋体" w:eastAsia="宋体" w:cs="宋体"/>
          <w:b w:val="0"/>
          <w:bCs w:val="0"/>
          <w:color w:val="auto"/>
          <w:kern w:val="0"/>
          <w:sz w:val="24"/>
          <w:szCs w:val="24"/>
          <w:highlight w:val="none"/>
          <w:lang w:val="en-US" w:eastAsia="zh-CN" w:bidi="ar"/>
        </w:rPr>
        <w:t>资格审查不合格、投标无效、取消中标资格</w:t>
      </w:r>
      <w:r>
        <w:rPr>
          <w:rFonts w:ascii="宋体" w:hAnsi="宋体" w:eastAsia="宋体" w:cs="宋体"/>
          <w:b w:val="0"/>
          <w:bCs w:val="0"/>
          <w:color w:val="auto"/>
          <w:kern w:val="0"/>
          <w:sz w:val="24"/>
          <w:szCs w:val="24"/>
          <w:highlight w:val="none"/>
          <w:lang w:val="en-US" w:eastAsia="zh-CN" w:bidi="ar"/>
        </w:rPr>
        <w:t>等处理，自愿接受记入不良信用记录、上报行业主管部门等处置，并承担由此产生的一切经济损失及全部法律责任。</w:t>
      </w:r>
    </w:p>
    <w:p w14:paraId="5AEE91B4">
      <w:pPr>
        <w:keepNext w:val="0"/>
        <w:keepLines w:val="0"/>
        <w:widowControl/>
        <w:suppressLineNumbers w:val="0"/>
        <w:spacing w:line="360" w:lineRule="auto"/>
        <w:ind w:firstLine="480" w:firstLineChars="200"/>
        <w:jc w:val="left"/>
        <w:rPr>
          <w:b w:val="0"/>
          <w:bCs w:val="0"/>
          <w:color w:val="auto"/>
          <w:sz w:val="24"/>
          <w:szCs w:val="24"/>
          <w:highlight w:val="none"/>
        </w:rPr>
      </w:pPr>
      <w:r>
        <w:rPr>
          <w:rFonts w:ascii="宋体" w:hAnsi="宋体" w:eastAsia="宋体" w:cs="宋体"/>
          <w:b w:val="0"/>
          <w:bCs w:val="0"/>
          <w:color w:val="auto"/>
          <w:kern w:val="0"/>
          <w:sz w:val="24"/>
          <w:szCs w:val="24"/>
          <w:highlight w:val="none"/>
          <w:lang w:val="en-US" w:eastAsia="zh-CN" w:bidi="ar"/>
        </w:rPr>
        <w:t>特此承诺！</w:t>
      </w:r>
    </w:p>
    <w:p w14:paraId="5BF5CEB5">
      <w:pPr>
        <w:rPr>
          <w:b/>
          <w:color w:val="auto"/>
          <w:sz w:val="28"/>
          <w:szCs w:val="28"/>
          <w:highlight w:val="none"/>
        </w:rPr>
      </w:pPr>
    </w:p>
    <w:p w14:paraId="69910FD8">
      <w:pPr>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法定代表人(签字或盖章)：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3561CC5">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投标单位名称：</w:t>
      </w:r>
      <w:r>
        <w:rPr>
          <w:rFonts w:hint="eastAsia" w:ascii="宋体" w:hAnsi="宋体" w:cs="宋体"/>
          <w:color w:val="auto"/>
          <w:sz w:val="24"/>
          <w:szCs w:val="24"/>
          <w:highlight w:val="none"/>
          <w:u w:val="single"/>
        </w:rPr>
        <w:t xml:space="preserve">        （盖章）         </w:t>
      </w:r>
    </w:p>
    <w:p w14:paraId="5E5DBB97">
      <w:pPr>
        <w:pStyle w:val="8"/>
        <w:keepNext w:val="0"/>
        <w:adjustRightInd w:val="0"/>
        <w:snapToGrid w:val="0"/>
        <w:spacing w:before="0" w:after="0" w:line="500" w:lineRule="exact"/>
        <w:ind w:firstLine="4080" w:firstLineChars="1700"/>
        <w:rPr>
          <w:color w:val="auto"/>
          <w:sz w:val="28"/>
          <w:szCs w:val="28"/>
          <w:highlight w:val="none"/>
        </w:rPr>
      </w:pPr>
      <w:r>
        <w:rPr>
          <w:rFonts w:hint="eastAsia" w:ascii="宋体" w:hAnsi="宋体" w:cs="宋体"/>
          <w:b w:val="0"/>
          <w:bCs w:val="0"/>
          <w:color w:val="auto"/>
          <w:sz w:val="24"/>
          <w:szCs w:val="24"/>
          <w:highlight w:val="none"/>
        </w:rPr>
        <w:t>日    期：</w:t>
      </w:r>
      <w:r>
        <w:rPr>
          <w:rFonts w:hint="eastAsia" w:ascii="宋体" w:hAnsi="宋体" w:cs="宋体"/>
          <w:b w:val="0"/>
          <w:bCs w:val="0"/>
          <w:color w:val="auto"/>
          <w:sz w:val="24"/>
          <w:szCs w:val="24"/>
          <w:highlight w:val="none"/>
          <w:u w:val="single"/>
        </w:rPr>
        <w:t xml:space="preserve">                  </w:t>
      </w:r>
    </w:p>
    <w:p w14:paraId="149D5998">
      <w:pPr>
        <w:rPr>
          <w:b/>
          <w:color w:val="auto"/>
          <w:sz w:val="28"/>
          <w:szCs w:val="28"/>
          <w:highlight w:val="none"/>
        </w:rPr>
      </w:pPr>
    </w:p>
    <w:p w14:paraId="57D8D5CB">
      <w:pPr>
        <w:rPr>
          <w:b/>
          <w:color w:val="auto"/>
          <w:sz w:val="28"/>
          <w:szCs w:val="28"/>
          <w:highlight w:val="none"/>
        </w:rPr>
      </w:pPr>
    </w:p>
    <w:p w14:paraId="4DC0B891">
      <w:pPr>
        <w:rPr>
          <w:b/>
          <w:color w:val="auto"/>
          <w:sz w:val="28"/>
          <w:szCs w:val="28"/>
          <w:highlight w:val="none"/>
        </w:rPr>
      </w:pPr>
    </w:p>
    <w:p w14:paraId="0D026131">
      <w:pPr>
        <w:pStyle w:val="8"/>
        <w:keepNext w:val="0"/>
        <w:adjustRightInd w:val="0"/>
        <w:snapToGrid w:val="0"/>
        <w:spacing w:before="0" w:after="0" w:line="500" w:lineRule="exact"/>
        <w:ind w:firstLine="4080" w:firstLineChars="1700"/>
        <w:rPr>
          <w:color w:val="auto"/>
          <w:sz w:val="28"/>
          <w:szCs w:val="28"/>
          <w:highlight w:val="none"/>
        </w:rPr>
      </w:pPr>
      <w:r>
        <w:rPr>
          <w:rFonts w:hint="eastAsia" w:ascii="宋体" w:hAnsi="宋体" w:cs="宋体"/>
          <w:b w:val="0"/>
          <w:bCs w:val="0"/>
          <w:color w:val="auto"/>
          <w:sz w:val="24"/>
          <w:szCs w:val="24"/>
          <w:highlight w:val="none"/>
          <w:u w:val="single"/>
        </w:rPr>
        <w:t xml:space="preserve"> </w:t>
      </w:r>
    </w:p>
    <w:p w14:paraId="19EBA724">
      <w:pPr>
        <w:rPr>
          <w:b/>
          <w:color w:val="auto"/>
          <w:sz w:val="28"/>
          <w:szCs w:val="28"/>
          <w:highlight w:val="none"/>
        </w:rPr>
      </w:pPr>
    </w:p>
    <w:p w14:paraId="2156837B">
      <w:pPr>
        <w:rPr>
          <w:b/>
          <w:color w:val="auto"/>
          <w:sz w:val="28"/>
          <w:szCs w:val="28"/>
          <w:highlight w:val="none"/>
        </w:rPr>
      </w:pPr>
    </w:p>
    <w:p w14:paraId="481CF6C2">
      <w:pPr>
        <w:rPr>
          <w:b/>
          <w:color w:val="auto"/>
          <w:sz w:val="28"/>
          <w:szCs w:val="28"/>
          <w:highlight w:val="none"/>
        </w:rPr>
      </w:pPr>
    </w:p>
    <w:p w14:paraId="1BFD935D">
      <w:pPr>
        <w:rPr>
          <w:b/>
          <w:color w:val="auto"/>
          <w:sz w:val="28"/>
          <w:szCs w:val="28"/>
          <w:highlight w:val="none"/>
        </w:rPr>
      </w:pPr>
    </w:p>
    <w:p w14:paraId="725D6797">
      <w:pPr>
        <w:rPr>
          <w:b/>
          <w:color w:val="auto"/>
          <w:sz w:val="28"/>
          <w:szCs w:val="28"/>
          <w:highlight w:val="none"/>
        </w:rPr>
      </w:pPr>
    </w:p>
    <w:p w14:paraId="6204FEBC">
      <w:pPr>
        <w:pStyle w:val="2"/>
        <w:ind w:left="0" w:leftChars="0" w:firstLine="0" w:firstLineChars="0"/>
        <w:rPr>
          <w:color w:val="auto"/>
          <w:highlight w:val="none"/>
        </w:rPr>
      </w:pPr>
    </w:p>
    <w:p w14:paraId="77529191">
      <w:pPr>
        <w:adjustRightInd w:val="0"/>
        <w:snapToGrid w:val="0"/>
        <w:spacing w:line="560" w:lineRule="exact"/>
        <w:jc w:val="center"/>
        <w:rPr>
          <w:rFonts w:eastAsia="黑体"/>
          <w:color w:val="auto"/>
          <w:sz w:val="28"/>
          <w:szCs w:val="28"/>
          <w:highlight w:val="none"/>
          <w:u w:val="single"/>
        </w:rPr>
      </w:pPr>
    </w:p>
    <w:p w14:paraId="29013EB4">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3EDCBDCA">
      <w:pPr>
        <w:adjustRightInd w:val="0"/>
        <w:snapToGrid w:val="0"/>
        <w:spacing w:line="560" w:lineRule="exact"/>
        <w:jc w:val="center"/>
        <w:rPr>
          <w:rFonts w:eastAsia="黑体"/>
          <w:color w:val="auto"/>
          <w:sz w:val="20"/>
          <w:szCs w:val="20"/>
          <w:highlight w:val="none"/>
        </w:rPr>
      </w:pPr>
    </w:p>
    <w:p w14:paraId="6235DD80">
      <w:pPr>
        <w:adjustRightInd w:val="0"/>
        <w:snapToGrid w:val="0"/>
        <w:spacing w:line="560" w:lineRule="exact"/>
        <w:rPr>
          <w:rFonts w:eastAsia="黑体"/>
          <w:color w:val="auto"/>
          <w:sz w:val="20"/>
          <w:szCs w:val="20"/>
          <w:highlight w:val="none"/>
        </w:rPr>
      </w:pPr>
    </w:p>
    <w:p w14:paraId="5BC2F287">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75340CF4">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（技术标文件）</w:t>
      </w:r>
    </w:p>
    <w:p w14:paraId="05A54EF1">
      <w:pPr>
        <w:adjustRightInd w:val="0"/>
        <w:snapToGrid w:val="0"/>
        <w:spacing w:line="560" w:lineRule="exact"/>
        <w:rPr>
          <w:rFonts w:eastAsia="黑体"/>
          <w:color w:val="auto"/>
          <w:sz w:val="28"/>
          <w:szCs w:val="28"/>
          <w:highlight w:val="none"/>
        </w:rPr>
      </w:pPr>
    </w:p>
    <w:p w14:paraId="22A8B01F">
      <w:pPr>
        <w:pStyle w:val="2"/>
        <w:adjustRightInd w:val="0"/>
        <w:snapToGrid w:val="0"/>
        <w:spacing w:after="0" w:line="560" w:lineRule="exact"/>
        <w:ind w:left="0" w:leftChars="0" w:firstLine="560"/>
        <w:rPr>
          <w:rFonts w:eastAsia="黑体"/>
          <w:color w:val="auto"/>
          <w:sz w:val="28"/>
          <w:szCs w:val="28"/>
          <w:highlight w:val="none"/>
        </w:rPr>
      </w:pPr>
    </w:p>
    <w:p w14:paraId="61CD3AAF">
      <w:pPr>
        <w:adjustRightInd w:val="0"/>
        <w:snapToGrid w:val="0"/>
        <w:spacing w:line="560" w:lineRule="exact"/>
        <w:rPr>
          <w:rFonts w:eastAsia="黑体"/>
          <w:color w:val="auto"/>
          <w:sz w:val="28"/>
          <w:szCs w:val="28"/>
          <w:highlight w:val="none"/>
        </w:rPr>
      </w:pPr>
    </w:p>
    <w:p w14:paraId="308C7A2A">
      <w:pPr>
        <w:pStyle w:val="2"/>
        <w:adjustRightInd w:val="0"/>
        <w:snapToGrid w:val="0"/>
        <w:spacing w:after="0" w:line="560" w:lineRule="exact"/>
        <w:ind w:left="0" w:leftChars="0"/>
        <w:rPr>
          <w:color w:val="auto"/>
          <w:highlight w:val="none"/>
        </w:rPr>
      </w:pPr>
    </w:p>
    <w:p w14:paraId="7D23B156">
      <w:pPr>
        <w:adjustRightInd w:val="0"/>
        <w:snapToGrid w:val="0"/>
        <w:spacing w:line="560" w:lineRule="exact"/>
        <w:rPr>
          <w:rFonts w:eastAsia="黑体"/>
          <w:color w:val="auto"/>
          <w:sz w:val="28"/>
          <w:szCs w:val="28"/>
          <w:highlight w:val="none"/>
        </w:rPr>
      </w:pPr>
    </w:p>
    <w:p w14:paraId="5832A7E7">
      <w:pPr>
        <w:adjustRightInd w:val="0"/>
        <w:snapToGrid w:val="0"/>
        <w:spacing w:line="560" w:lineRule="exact"/>
        <w:rPr>
          <w:rFonts w:eastAsia="黑体"/>
          <w:color w:val="auto"/>
          <w:sz w:val="28"/>
          <w:szCs w:val="28"/>
          <w:highlight w:val="none"/>
        </w:rPr>
      </w:pPr>
    </w:p>
    <w:p w14:paraId="1A4654DD">
      <w:pPr>
        <w:adjustRightInd w:val="0"/>
        <w:snapToGrid w:val="0"/>
        <w:spacing w:line="560" w:lineRule="exact"/>
        <w:rPr>
          <w:rFonts w:eastAsia="黑体"/>
          <w:color w:val="auto"/>
          <w:sz w:val="28"/>
          <w:szCs w:val="28"/>
          <w:highlight w:val="none"/>
        </w:rPr>
      </w:pPr>
    </w:p>
    <w:p w14:paraId="267351D8">
      <w:pPr>
        <w:adjustRightInd w:val="0"/>
        <w:snapToGrid w:val="0"/>
        <w:spacing w:line="560" w:lineRule="exact"/>
        <w:rPr>
          <w:rFonts w:eastAsia="黑体"/>
          <w:color w:val="auto"/>
          <w:sz w:val="28"/>
          <w:szCs w:val="28"/>
          <w:highlight w:val="none"/>
        </w:rPr>
      </w:pPr>
    </w:p>
    <w:p w14:paraId="1385BD0A">
      <w:pPr>
        <w:adjustRightInd w:val="0"/>
        <w:snapToGrid w:val="0"/>
        <w:spacing w:line="560" w:lineRule="exact"/>
        <w:rPr>
          <w:rFonts w:eastAsia="黑体"/>
          <w:color w:val="auto"/>
          <w:sz w:val="28"/>
          <w:szCs w:val="28"/>
          <w:highlight w:val="none"/>
        </w:rPr>
      </w:pPr>
    </w:p>
    <w:p w14:paraId="54D0CD70">
      <w:pPr>
        <w:adjustRightInd w:val="0"/>
        <w:snapToGrid w:val="0"/>
        <w:spacing w:line="560" w:lineRule="exact"/>
        <w:rPr>
          <w:rFonts w:eastAsia="黑体"/>
          <w:color w:val="auto"/>
          <w:sz w:val="28"/>
          <w:szCs w:val="28"/>
          <w:highlight w:val="none"/>
        </w:rPr>
      </w:pPr>
    </w:p>
    <w:p w14:paraId="58F76410">
      <w:pPr>
        <w:adjustRightInd w:val="0"/>
        <w:snapToGrid w:val="0"/>
        <w:spacing w:line="560" w:lineRule="exact"/>
        <w:rPr>
          <w:rFonts w:eastAsia="黑体"/>
          <w:color w:val="auto"/>
          <w:sz w:val="28"/>
          <w:szCs w:val="28"/>
          <w:highlight w:val="none"/>
        </w:rPr>
      </w:pPr>
    </w:p>
    <w:p w14:paraId="3D973D2E">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盖章</w:t>
      </w:r>
      <w:r>
        <w:rPr>
          <w:rFonts w:eastAsia="黑体"/>
          <w:color w:val="auto"/>
          <w:sz w:val="28"/>
          <w:szCs w:val="28"/>
          <w:highlight w:val="none"/>
        </w:rPr>
        <w:t>）</w:t>
      </w:r>
    </w:p>
    <w:p w14:paraId="63AA97F3">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6B17658">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2E2A91E">
      <w:pPr>
        <w:spacing w:line="720" w:lineRule="auto"/>
        <w:jc w:val="center"/>
        <w:rPr>
          <w:rFonts w:ascii="宋体"/>
          <w:b/>
          <w:color w:val="auto"/>
          <w:sz w:val="36"/>
          <w:szCs w:val="36"/>
          <w:highlight w:val="none"/>
        </w:rPr>
      </w:pPr>
    </w:p>
    <w:p w14:paraId="2281AAC6">
      <w:pPr>
        <w:spacing w:line="400" w:lineRule="exact"/>
        <w:ind w:firstLine="4130" w:firstLineChars="935"/>
        <w:rPr>
          <w:b/>
          <w:color w:val="auto"/>
          <w:sz w:val="44"/>
          <w:szCs w:val="44"/>
          <w:highlight w:val="none"/>
        </w:rPr>
      </w:pPr>
    </w:p>
    <w:p w14:paraId="6CC7DEB8">
      <w:pPr>
        <w:pStyle w:val="2"/>
        <w:ind w:firstLine="883"/>
        <w:rPr>
          <w:b/>
          <w:color w:val="auto"/>
          <w:sz w:val="44"/>
          <w:szCs w:val="44"/>
          <w:highlight w:val="none"/>
        </w:rPr>
      </w:pPr>
    </w:p>
    <w:p w14:paraId="37405FEC">
      <w:pPr>
        <w:rPr>
          <w:color w:val="auto"/>
          <w:highlight w:val="none"/>
        </w:rPr>
      </w:pPr>
    </w:p>
    <w:p w14:paraId="6D6B7972">
      <w:pPr>
        <w:spacing w:line="400" w:lineRule="exact"/>
        <w:ind w:firstLine="4130" w:firstLineChars="935"/>
        <w:rPr>
          <w:b/>
          <w:color w:val="auto"/>
          <w:sz w:val="44"/>
          <w:szCs w:val="44"/>
          <w:highlight w:val="none"/>
        </w:rPr>
      </w:pPr>
    </w:p>
    <w:p w14:paraId="03ABFD5E">
      <w:pPr>
        <w:jc w:val="center"/>
        <w:rPr>
          <w:b/>
          <w:color w:val="auto"/>
          <w:sz w:val="44"/>
          <w:szCs w:val="44"/>
          <w:highlight w:val="none"/>
        </w:rPr>
      </w:pPr>
      <w:r>
        <w:rPr>
          <w:rFonts w:hint="eastAsia"/>
          <w:b/>
          <w:color w:val="auto"/>
          <w:sz w:val="36"/>
          <w:szCs w:val="36"/>
          <w:highlight w:val="none"/>
        </w:rPr>
        <w:t>目   录</w:t>
      </w:r>
    </w:p>
    <w:p w14:paraId="03EAC942">
      <w:pPr>
        <w:spacing w:line="400" w:lineRule="exact"/>
        <w:ind w:firstLine="562" w:firstLineChars="200"/>
        <w:rPr>
          <w:b/>
          <w:color w:val="auto"/>
          <w:sz w:val="28"/>
          <w:szCs w:val="28"/>
          <w:highlight w:val="none"/>
        </w:rPr>
      </w:pPr>
    </w:p>
    <w:p w14:paraId="6467D803">
      <w:pPr>
        <w:spacing w:line="500" w:lineRule="exact"/>
        <w:ind w:firstLine="420" w:firstLineChars="200"/>
        <w:jc w:val="left"/>
        <w:rPr>
          <w:rFonts w:ascii="宋体"/>
          <w:color w:val="auto"/>
          <w:szCs w:val="21"/>
          <w:highlight w:val="none"/>
        </w:rPr>
      </w:pPr>
    </w:p>
    <w:p w14:paraId="320B7C0B">
      <w:pPr>
        <w:spacing w:line="500" w:lineRule="exact"/>
        <w:ind w:firstLine="420" w:firstLineChars="200"/>
        <w:jc w:val="left"/>
        <w:rPr>
          <w:rFonts w:ascii="宋体"/>
          <w:color w:val="auto"/>
          <w:szCs w:val="21"/>
          <w:highlight w:val="none"/>
        </w:rPr>
      </w:pPr>
      <w:r>
        <w:rPr>
          <w:rFonts w:hint="eastAsia" w:ascii="宋体"/>
          <w:color w:val="auto"/>
          <w:szCs w:val="21"/>
          <w:highlight w:val="none"/>
        </w:rPr>
        <w:t>（1）技术标评分的支持资料。</w:t>
      </w:r>
    </w:p>
    <w:p w14:paraId="4766C39F">
      <w:pPr>
        <w:rPr>
          <w:rFonts w:ascii="宋体"/>
          <w:b/>
          <w:color w:val="auto"/>
          <w:sz w:val="32"/>
          <w:szCs w:val="32"/>
          <w:highlight w:val="none"/>
        </w:rPr>
      </w:pPr>
    </w:p>
    <w:p w14:paraId="23C03413">
      <w:pPr>
        <w:rPr>
          <w:rFonts w:ascii="宋体"/>
          <w:b/>
          <w:color w:val="auto"/>
          <w:sz w:val="32"/>
          <w:szCs w:val="32"/>
          <w:highlight w:val="none"/>
        </w:rPr>
      </w:pPr>
    </w:p>
    <w:p w14:paraId="4A9685EB">
      <w:pPr>
        <w:rPr>
          <w:rFonts w:ascii="宋体"/>
          <w:b/>
          <w:color w:val="auto"/>
          <w:sz w:val="32"/>
          <w:szCs w:val="32"/>
          <w:highlight w:val="none"/>
        </w:rPr>
      </w:pPr>
    </w:p>
    <w:p w14:paraId="5BB9A2B5">
      <w:pPr>
        <w:rPr>
          <w:rFonts w:ascii="宋体"/>
          <w:b/>
          <w:color w:val="auto"/>
          <w:sz w:val="32"/>
          <w:szCs w:val="32"/>
          <w:highlight w:val="none"/>
        </w:rPr>
      </w:pPr>
    </w:p>
    <w:p w14:paraId="3782FAFC">
      <w:pPr>
        <w:rPr>
          <w:rFonts w:ascii="宋体"/>
          <w:b/>
          <w:color w:val="auto"/>
          <w:sz w:val="32"/>
          <w:szCs w:val="32"/>
          <w:highlight w:val="none"/>
        </w:rPr>
      </w:pPr>
    </w:p>
    <w:p w14:paraId="3C557AFB">
      <w:pPr>
        <w:rPr>
          <w:rFonts w:ascii="宋体"/>
          <w:b/>
          <w:color w:val="auto"/>
          <w:sz w:val="32"/>
          <w:szCs w:val="32"/>
          <w:highlight w:val="none"/>
        </w:rPr>
      </w:pPr>
    </w:p>
    <w:p w14:paraId="162EDB78">
      <w:pPr>
        <w:rPr>
          <w:rFonts w:ascii="宋体"/>
          <w:b/>
          <w:color w:val="auto"/>
          <w:sz w:val="32"/>
          <w:szCs w:val="32"/>
          <w:highlight w:val="none"/>
        </w:rPr>
      </w:pPr>
    </w:p>
    <w:p w14:paraId="2A3AEE19">
      <w:pPr>
        <w:rPr>
          <w:rFonts w:ascii="宋体"/>
          <w:b/>
          <w:color w:val="auto"/>
          <w:sz w:val="32"/>
          <w:szCs w:val="32"/>
          <w:highlight w:val="none"/>
        </w:rPr>
      </w:pPr>
    </w:p>
    <w:p w14:paraId="6A14E058">
      <w:pPr>
        <w:pStyle w:val="2"/>
        <w:ind w:firstLine="643"/>
        <w:rPr>
          <w:rFonts w:ascii="宋体"/>
          <w:b/>
          <w:color w:val="auto"/>
          <w:sz w:val="32"/>
          <w:szCs w:val="32"/>
          <w:highlight w:val="none"/>
        </w:rPr>
      </w:pPr>
    </w:p>
    <w:p w14:paraId="3CA9D3EA">
      <w:pPr>
        <w:rPr>
          <w:rFonts w:ascii="宋体"/>
          <w:b/>
          <w:color w:val="auto"/>
          <w:sz w:val="32"/>
          <w:szCs w:val="32"/>
          <w:highlight w:val="none"/>
        </w:rPr>
      </w:pPr>
    </w:p>
    <w:p w14:paraId="59250CCB">
      <w:pPr>
        <w:pStyle w:val="2"/>
        <w:ind w:firstLine="643"/>
        <w:rPr>
          <w:rFonts w:ascii="宋体"/>
          <w:b/>
          <w:color w:val="auto"/>
          <w:sz w:val="32"/>
          <w:szCs w:val="32"/>
          <w:highlight w:val="none"/>
        </w:rPr>
      </w:pPr>
    </w:p>
    <w:p w14:paraId="23337A96">
      <w:pPr>
        <w:rPr>
          <w:rFonts w:ascii="宋体"/>
          <w:b/>
          <w:color w:val="auto"/>
          <w:sz w:val="32"/>
          <w:szCs w:val="32"/>
          <w:highlight w:val="none"/>
        </w:rPr>
      </w:pPr>
    </w:p>
    <w:p w14:paraId="35BC3B2A">
      <w:pPr>
        <w:pStyle w:val="2"/>
        <w:ind w:firstLine="643"/>
        <w:rPr>
          <w:rFonts w:ascii="宋体"/>
          <w:b/>
          <w:color w:val="auto"/>
          <w:sz w:val="32"/>
          <w:szCs w:val="32"/>
          <w:highlight w:val="none"/>
        </w:rPr>
      </w:pPr>
    </w:p>
    <w:p w14:paraId="77B4D150">
      <w:pPr>
        <w:rPr>
          <w:rFonts w:ascii="宋体"/>
          <w:b/>
          <w:color w:val="auto"/>
          <w:sz w:val="32"/>
          <w:szCs w:val="32"/>
          <w:highlight w:val="none"/>
        </w:rPr>
      </w:pPr>
    </w:p>
    <w:p w14:paraId="24386211">
      <w:pPr>
        <w:pStyle w:val="2"/>
        <w:ind w:firstLine="643"/>
        <w:rPr>
          <w:rFonts w:ascii="宋体"/>
          <w:b/>
          <w:color w:val="auto"/>
          <w:sz w:val="32"/>
          <w:szCs w:val="32"/>
          <w:highlight w:val="none"/>
        </w:rPr>
      </w:pPr>
    </w:p>
    <w:p w14:paraId="65F58463">
      <w:pPr>
        <w:rPr>
          <w:rFonts w:ascii="宋体"/>
          <w:b/>
          <w:color w:val="auto"/>
          <w:sz w:val="32"/>
          <w:szCs w:val="32"/>
          <w:highlight w:val="none"/>
        </w:rPr>
      </w:pPr>
    </w:p>
    <w:p w14:paraId="5DE91AA5">
      <w:pPr>
        <w:pStyle w:val="2"/>
        <w:ind w:firstLine="643"/>
        <w:rPr>
          <w:rFonts w:ascii="宋体"/>
          <w:b/>
          <w:color w:val="auto"/>
          <w:sz w:val="32"/>
          <w:szCs w:val="32"/>
          <w:highlight w:val="none"/>
        </w:rPr>
      </w:pPr>
    </w:p>
    <w:p w14:paraId="1D1CC1DA">
      <w:pPr>
        <w:rPr>
          <w:rFonts w:ascii="宋体"/>
          <w:b/>
          <w:color w:val="auto"/>
          <w:sz w:val="32"/>
          <w:szCs w:val="32"/>
          <w:highlight w:val="none"/>
        </w:rPr>
      </w:pPr>
    </w:p>
    <w:p w14:paraId="55AB3364">
      <w:pPr>
        <w:pStyle w:val="2"/>
        <w:ind w:firstLine="643"/>
        <w:rPr>
          <w:rFonts w:ascii="宋体"/>
          <w:b/>
          <w:color w:val="auto"/>
          <w:sz w:val="32"/>
          <w:szCs w:val="32"/>
          <w:highlight w:val="none"/>
        </w:rPr>
      </w:pPr>
    </w:p>
    <w:p w14:paraId="51F2E5CC">
      <w:pPr>
        <w:rPr>
          <w:rFonts w:ascii="宋体"/>
          <w:b/>
          <w:color w:val="auto"/>
          <w:sz w:val="32"/>
          <w:szCs w:val="32"/>
          <w:highlight w:val="none"/>
        </w:rPr>
      </w:pPr>
    </w:p>
    <w:p w14:paraId="2665A317">
      <w:pPr>
        <w:pStyle w:val="2"/>
        <w:ind w:firstLine="643"/>
        <w:rPr>
          <w:rFonts w:ascii="宋体"/>
          <w:b/>
          <w:color w:val="auto"/>
          <w:sz w:val="32"/>
          <w:szCs w:val="32"/>
          <w:highlight w:val="none"/>
        </w:rPr>
      </w:pPr>
    </w:p>
    <w:p w14:paraId="782A8A2A">
      <w:pPr>
        <w:rPr>
          <w:rFonts w:ascii="宋体"/>
          <w:b/>
          <w:color w:val="auto"/>
          <w:sz w:val="32"/>
          <w:szCs w:val="32"/>
          <w:highlight w:val="none"/>
        </w:rPr>
      </w:pPr>
    </w:p>
    <w:p w14:paraId="51D48BA7">
      <w:pPr>
        <w:pStyle w:val="2"/>
        <w:ind w:firstLine="643"/>
        <w:rPr>
          <w:rFonts w:ascii="宋体"/>
          <w:b/>
          <w:color w:val="auto"/>
          <w:sz w:val="32"/>
          <w:szCs w:val="32"/>
          <w:highlight w:val="none"/>
        </w:rPr>
      </w:pPr>
    </w:p>
    <w:p w14:paraId="59397BDD">
      <w:pPr>
        <w:rPr>
          <w:rFonts w:ascii="宋体"/>
          <w:b/>
          <w:color w:val="auto"/>
          <w:sz w:val="32"/>
          <w:szCs w:val="32"/>
          <w:highlight w:val="none"/>
        </w:rPr>
      </w:pPr>
    </w:p>
    <w:p w14:paraId="42526EEF">
      <w:pPr>
        <w:pStyle w:val="2"/>
        <w:ind w:firstLine="643"/>
        <w:rPr>
          <w:rFonts w:ascii="宋体"/>
          <w:b/>
          <w:color w:val="auto"/>
          <w:sz w:val="32"/>
          <w:szCs w:val="32"/>
          <w:highlight w:val="none"/>
        </w:rPr>
      </w:pPr>
    </w:p>
    <w:p w14:paraId="0B595A91">
      <w:pPr>
        <w:rPr>
          <w:rFonts w:ascii="宋体"/>
          <w:b/>
          <w:color w:val="auto"/>
          <w:sz w:val="32"/>
          <w:szCs w:val="32"/>
          <w:highlight w:val="none"/>
        </w:rPr>
      </w:pPr>
    </w:p>
    <w:p w14:paraId="62DCD07E">
      <w:pPr>
        <w:pStyle w:val="2"/>
        <w:ind w:firstLine="643"/>
        <w:rPr>
          <w:rFonts w:ascii="宋体"/>
          <w:b/>
          <w:color w:val="auto"/>
          <w:sz w:val="32"/>
          <w:szCs w:val="32"/>
          <w:highlight w:val="none"/>
        </w:rPr>
      </w:pPr>
    </w:p>
    <w:p w14:paraId="5A79942B">
      <w:pPr>
        <w:rPr>
          <w:rFonts w:ascii="宋体"/>
          <w:b/>
          <w:color w:val="auto"/>
          <w:sz w:val="32"/>
          <w:szCs w:val="32"/>
          <w:highlight w:val="none"/>
        </w:rPr>
      </w:pPr>
    </w:p>
    <w:p w14:paraId="361999B8">
      <w:pPr>
        <w:pStyle w:val="2"/>
        <w:rPr>
          <w:color w:val="auto"/>
          <w:highlight w:val="none"/>
        </w:rPr>
      </w:pPr>
    </w:p>
    <w:p w14:paraId="4B423FC3">
      <w:pPr>
        <w:adjustRightInd w:val="0"/>
        <w:snapToGrid w:val="0"/>
        <w:spacing w:line="560" w:lineRule="exact"/>
        <w:jc w:val="center"/>
        <w:rPr>
          <w:rFonts w:eastAsia="黑体"/>
          <w:color w:val="auto"/>
          <w:sz w:val="28"/>
          <w:szCs w:val="28"/>
          <w:highlight w:val="none"/>
          <w:u w:val="single"/>
        </w:rPr>
      </w:pPr>
    </w:p>
    <w:p w14:paraId="66DD2394">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3531F013">
      <w:pPr>
        <w:adjustRightInd w:val="0"/>
        <w:snapToGrid w:val="0"/>
        <w:spacing w:line="560" w:lineRule="exact"/>
        <w:jc w:val="center"/>
        <w:rPr>
          <w:rFonts w:eastAsia="黑体"/>
          <w:color w:val="auto"/>
          <w:sz w:val="20"/>
          <w:szCs w:val="20"/>
          <w:highlight w:val="none"/>
        </w:rPr>
      </w:pPr>
    </w:p>
    <w:p w14:paraId="7AE69371">
      <w:pPr>
        <w:adjustRightInd w:val="0"/>
        <w:snapToGrid w:val="0"/>
        <w:spacing w:line="560" w:lineRule="exact"/>
        <w:rPr>
          <w:rFonts w:eastAsia="黑体"/>
          <w:color w:val="auto"/>
          <w:sz w:val="20"/>
          <w:szCs w:val="20"/>
          <w:highlight w:val="none"/>
        </w:rPr>
      </w:pPr>
    </w:p>
    <w:p w14:paraId="310AA075">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60E4DFD7">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（商务标文件）</w:t>
      </w:r>
    </w:p>
    <w:p w14:paraId="12F80588">
      <w:pPr>
        <w:adjustRightInd w:val="0"/>
        <w:snapToGrid w:val="0"/>
        <w:spacing w:line="560" w:lineRule="exact"/>
        <w:rPr>
          <w:rFonts w:eastAsia="黑体"/>
          <w:color w:val="auto"/>
          <w:sz w:val="28"/>
          <w:szCs w:val="28"/>
          <w:highlight w:val="none"/>
        </w:rPr>
      </w:pPr>
    </w:p>
    <w:p w14:paraId="1CA418ED">
      <w:pPr>
        <w:pStyle w:val="2"/>
        <w:adjustRightInd w:val="0"/>
        <w:snapToGrid w:val="0"/>
        <w:spacing w:after="0" w:line="560" w:lineRule="exact"/>
        <w:ind w:left="0" w:leftChars="0" w:firstLine="560"/>
        <w:rPr>
          <w:rFonts w:eastAsia="黑体"/>
          <w:color w:val="auto"/>
          <w:sz w:val="28"/>
          <w:szCs w:val="28"/>
          <w:highlight w:val="none"/>
        </w:rPr>
      </w:pPr>
    </w:p>
    <w:p w14:paraId="79753B68">
      <w:pPr>
        <w:adjustRightInd w:val="0"/>
        <w:snapToGrid w:val="0"/>
        <w:spacing w:line="560" w:lineRule="exact"/>
        <w:rPr>
          <w:rFonts w:eastAsia="黑体"/>
          <w:color w:val="auto"/>
          <w:sz w:val="28"/>
          <w:szCs w:val="28"/>
          <w:highlight w:val="none"/>
        </w:rPr>
      </w:pPr>
    </w:p>
    <w:p w14:paraId="40A99688">
      <w:pPr>
        <w:pStyle w:val="2"/>
        <w:adjustRightInd w:val="0"/>
        <w:snapToGrid w:val="0"/>
        <w:spacing w:after="0" w:line="560" w:lineRule="exact"/>
        <w:ind w:left="0" w:leftChars="0"/>
        <w:rPr>
          <w:color w:val="auto"/>
          <w:highlight w:val="none"/>
        </w:rPr>
      </w:pPr>
    </w:p>
    <w:p w14:paraId="710B166F">
      <w:pPr>
        <w:adjustRightInd w:val="0"/>
        <w:snapToGrid w:val="0"/>
        <w:spacing w:line="560" w:lineRule="exact"/>
        <w:rPr>
          <w:rFonts w:eastAsia="黑体"/>
          <w:color w:val="auto"/>
          <w:sz w:val="28"/>
          <w:szCs w:val="28"/>
          <w:highlight w:val="none"/>
        </w:rPr>
      </w:pPr>
    </w:p>
    <w:p w14:paraId="623C9166">
      <w:pPr>
        <w:adjustRightInd w:val="0"/>
        <w:snapToGrid w:val="0"/>
        <w:spacing w:line="560" w:lineRule="exact"/>
        <w:rPr>
          <w:rFonts w:eastAsia="黑体"/>
          <w:color w:val="auto"/>
          <w:sz w:val="28"/>
          <w:szCs w:val="28"/>
          <w:highlight w:val="none"/>
        </w:rPr>
      </w:pPr>
    </w:p>
    <w:p w14:paraId="66BA89BF">
      <w:pPr>
        <w:adjustRightInd w:val="0"/>
        <w:snapToGrid w:val="0"/>
        <w:spacing w:line="560" w:lineRule="exact"/>
        <w:rPr>
          <w:rFonts w:eastAsia="黑体"/>
          <w:color w:val="auto"/>
          <w:sz w:val="28"/>
          <w:szCs w:val="28"/>
          <w:highlight w:val="none"/>
        </w:rPr>
      </w:pPr>
    </w:p>
    <w:p w14:paraId="07F49C58">
      <w:pPr>
        <w:adjustRightInd w:val="0"/>
        <w:snapToGrid w:val="0"/>
        <w:spacing w:line="560" w:lineRule="exact"/>
        <w:rPr>
          <w:rFonts w:eastAsia="黑体"/>
          <w:color w:val="auto"/>
          <w:sz w:val="28"/>
          <w:szCs w:val="28"/>
          <w:highlight w:val="none"/>
        </w:rPr>
      </w:pPr>
    </w:p>
    <w:p w14:paraId="4A000C6E">
      <w:pPr>
        <w:adjustRightInd w:val="0"/>
        <w:snapToGrid w:val="0"/>
        <w:spacing w:line="560" w:lineRule="exact"/>
        <w:rPr>
          <w:rFonts w:eastAsia="黑体"/>
          <w:color w:val="auto"/>
          <w:sz w:val="28"/>
          <w:szCs w:val="28"/>
          <w:highlight w:val="none"/>
        </w:rPr>
      </w:pPr>
    </w:p>
    <w:p w14:paraId="2BC83E7D">
      <w:pPr>
        <w:adjustRightInd w:val="0"/>
        <w:snapToGrid w:val="0"/>
        <w:spacing w:line="560" w:lineRule="exact"/>
        <w:rPr>
          <w:rFonts w:eastAsia="黑体"/>
          <w:color w:val="auto"/>
          <w:sz w:val="28"/>
          <w:szCs w:val="28"/>
          <w:highlight w:val="none"/>
        </w:rPr>
      </w:pPr>
    </w:p>
    <w:p w14:paraId="4F5AF2C1">
      <w:pPr>
        <w:adjustRightInd w:val="0"/>
        <w:snapToGrid w:val="0"/>
        <w:spacing w:line="560" w:lineRule="exact"/>
        <w:rPr>
          <w:rFonts w:eastAsia="黑体"/>
          <w:color w:val="auto"/>
          <w:sz w:val="28"/>
          <w:szCs w:val="28"/>
          <w:highlight w:val="none"/>
        </w:rPr>
      </w:pPr>
    </w:p>
    <w:p w14:paraId="5B8EA6A3">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盖章</w:t>
      </w:r>
      <w:r>
        <w:rPr>
          <w:rFonts w:eastAsia="黑体"/>
          <w:color w:val="auto"/>
          <w:sz w:val="28"/>
          <w:szCs w:val="28"/>
          <w:highlight w:val="none"/>
        </w:rPr>
        <w:t>）</w:t>
      </w:r>
    </w:p>
    <w:p w14:paraId="5F642117">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793E6B9">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062770FB">
      <w:pPr>
        <w:adjustRightInd w:val="0"/>
        <w:snapToGrid w:val="0"/>
        <w:spacing w:line="560" w:lineRule="exact"/>
        <w:rPr>
          <w:color w:val="auto"/>
          <w:highlight w:val="none"/>
        </w:rPr>
      </w:pPr>
    </w:p>
    <w:p w14:paraId="4DCEB8A9">
      <w:pPr>
        <w:adjustRightInd w:val="0"/>
        <w:snapToGrid w:val="0"/>
        <w:spacing w:line="560" w:lineRule="exact"/>
        <w:rPr>
          <w:color w:val="auto"/>
          <w:highlight w:val="none"/>
        </w:rPr>
      </w:pPr>
    </w:p>
    <w:p w14:paraId="09CD3C74">
      <w:pPr>
        <w:pStyle w:val="7"/>
        <w:numPr>
          <w:ilvl w:val="1"/>
          <w:numId w:val="0"/>
        </w:numPr>
        <w:ind w:left="431"/>
        <w:jc w:val="center"/>
        <w:rPr>
          <w:color w:val="auto"/>
          <w:highlight w:val="none"/>
        </w:rPr>
      </w:pPr>
      <w:r>
        <w:rPr>
          <w:rFonts w:hint="eastAsia"/>
          <w:b/>
          <w:color w:val="auto"/>
          <w:sz w:val="36"/>
          <w:szCs w:val="36"/>
          <w:highlight w:val="none"/>
        </w:rPr>
        <w:t>目   录</w:t>
      </w:r>
    </w:p>
    <w:p w14:paraId="129EAB8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（1）投标函；</w:t>
      </w:r>
    </w:p>
    <w:p w14:paraId="4110E50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（2）投标分项报价表（格式见附件）</w:t>
      </w:r>
    </w:p>
    <w:p w14:paraId="53DD7BDD">
      <w:pPr>
        <w:adjustRightInd w:val="0"/>
        <w:snapToGrid w:val="0"/>
        <w:spacing w:line="560" w:lineRule="exact"/>
        <w:ind w:firstLine="420" w:firstLineChars="200"/>
        <w:rPr>
          <w:color w:val="auto"/>
          <w:highlight w:val="none"/>
        </w:rPr>
      </w:pPr>
      <w:r>
        <w:rPr>
          <w:rFonts w:hint="eastAsia" w:ascii="宋体" w:hAnsi="宋体" w:cs="宋体"/>
          <w:color w:val="auto"/>
          <w:szCs w:val="21"/>
          <w:highlight w:val="none"/>
        </w:rPr>
        <w:t>（3）</w:t>
      </w:r>
      <w:r>
        <w:rPr>
          <w:rFonts w:hint="eastAsia" w:ascii="宋体" w:hAnsi="宋体"/>
          <w:color w:val="auto"/>
          <w:szCs w:val="21"/>
          <w:highlight w:val="none"/>
        </w:rPr>
        <w:t>评标办法商务评审所需相关证明材料和投标人认为需要提供的其他证明材料。</w:t>
      </w:r>
    </w:p>
    <w:p w14:paraId="2622602E">
      <w:pPr>
        <w:adjustRightInd w:val="0"/>
        <w:snapToGrid w:val="0"/>
        <w:spacing w:line="560" w:lineRule="exact"/>
        <w:rPr>
          <w:color w:val="auto"/>
          <w:highlight w:val="none"/>
        </w:rPr>
      </w:pPr>
    </w:p>
    <w:p w14:paraId="6533A6EE">
      <w:pPr>
        <w:adjustRightInd w:val="0"/>
        <w:snapToGrid w:val="0"/>
        <w:spacing w:line="560" w:lineRule="exact"/>
        <w:rPr>
          <w:rFonts w:eastAsia="黑体"/>
          <w:color w:val="auto"/>
          <w:sz w:val="20"/>
          <w:szCs w:val="20"/>
          <w:highlight w:val="none"/>
        </w:rPr>
      </w:pPr>
    </w:p>
    <w:p w14:paraId="29F9CAA0">
      <w:pPr>
        <w:adjustRightInd w:val="0"/>
        <w:snapToGrid w:val="0"/>
        <w:spacing w:line="560" w:lineRule="exact"/>
        <w:rPr>
          <w:rFonts w:eastAsia="黑体"/>
          <w:color w:val="auto"/>
          <w:sz w:val="20"/>
          <w:szCs w:val="20"/>
          <w:highlight w:val="none"/>
        </w:rPr>
      </w:pPr>
    </w:p>
    <w:p w14:paraId="24306B8F">
      <w:pPr>
        <w:adjustRightInd w:val="0"/>
        <w:snapToGrid w:val="0"/>
        <w:spacing w:line="560" w:lineRule="exact"/>
        <w:rPr>
          <w:rFonts w:eastAsia="黑体"/>
          <w:color w:val="auto"/>
          <w:sz w:val="20"/>
          <w:szCs w:val="20"/>
          <w:highlight w:val="none"/>
        </w:rPr>
      </w:pPr>
    </w:p>
    <w:p w14:paraId="11E627BF">
      <w:pPr>
        <w:adjustRightInd w:val="0"/>
        <w:snapToGrid w:val="0"/>
        <w:spacing w:line="560" w:lineRule="exact"/>
        <w:ind w:right="420"/>
        <w:rPr>
          <w:color w:val="auto"/>
          <w:szCs w:val="21"/>
          <w:highlight w:val="none"/>
          <w:u w:val="single"/>
        </w:rPr>
      </w:pPr>
    </w:p>
    <w:p w14:paraId="7874CCA1">
      <w:pPr>
        <w:pStyle w:val="2"/>
        <w:rPr>
          <w:color w:val="auto"/>
          <w:highlight w:val="none"/>
        </w:rPr>
      </w:pPr>
    </w:p>
    <w:p w14:paraId="5BC89E4C">
      <w:pPr>
        <w:rPr>
          <w:color w:val="auto"/>
          <w:highlight w:val="none"/>
        </w:rPr>
      </w:pPr>
    </w:p>
    <w:p w14:paraId="4112012B">
      <w:pPr>
        <w:pStyle w:val="2"/>
        <w:rPr>
          <w:color w:val="auto"/>
          <w:highlight w:val="none"/>
        </w:rPr>
      </w:pPr>
    </w:p>
    <w:p w14:paraId="246F1C24">
      <w:pPr>
        <w:rPr>
          <w:color w:val="auto"/>
          <w:highlight w:val="none"/>
        </w:rPr>
      </w:pPr>
    </w:p>
    <w:p w14:paraId="3674DCC5">
      <w:pPr>
        <w:pStyle w:val="2"/>
        <w:rPr>
          <w:color w:val="auto"/>
          <w:highlight w:val="none"/>
        </w:rPr>
      </w:pPr>
    </w:p>
    <w:p w14:paraId="3FF74C26">
      <w:pPr>
        <w:rPr>
          <w:color w:val="auto"/>
          <w:highlight w:val="none"/>
        </w:rPr>
      </w:pPr>
    </w:p>
    <w:p w14:paraId="7527BFAB">
      <w:pPr>
        <w:pStyle w:val="2"/>
        <w:rPr>
          <w:color w:val="auto"/>
          <w:highlight w:val="none"/>
        </w:rPr>
      </w:pPr>
    </w:p>
    <w:p w14:paraId="26BBF87B">
      <w:pPr>
        <w:rPr>
          <w:color w:val="auto"/>
          <w:highlight w:val="none"/>
        </w:rPr>
      </w:pPr>
    </w:p>
    <w:p w14:paraId="31825678">
      <w:pPr>
        <w:pStyle w:val="2"/>
        <w:rPr>
          <w:color w:val="auto"/>
          <w:highlight w:val="none"/>
        </w:rPr>
      </w:pPr>
    </w:p>
    <w:p w14:paraId="7A6E1CB0">
      <w:pPr>
        <w:rPr>
          <w:color w:val="auto"/>
          <w:highlight w:val="none"/>
        </w:rPr>
      </w:pPr>
    </w:p>
    <w:p w14:paraId="238C52F2">
      <w:pPr>
        <w:pStyle w:val="2"/>
        <w:rPr>
          <w:color w:val="auto"/>
          <w:highlight w:val="none"/>
        </w:rPr>
      </w:pPr>
    </w:p>
    <w:p w14:paraId="14098E56">
      <w:pPr>
        <w:rPr>
          <w:color w:val="auto"/>
          <w:highlight w:val="none"/>
        </w:rPr>
      </w:pPr>
    </w:p>
    <w:p w14:paraId="0CC0C6C5">
      <w:pPr>
        <w:pStyle w:val="2"/>
        <w:rPr>
          <w:color w:val="auto"/>
          <w:highlight w:val="none"/>
        </w:rPr>
      </w:pPr>
    </w:p>
    <w:p w14:paraId="14F442B2">
      <w:pPr>
        <w:rPr>
          <w:color w:val="auto"/>
          <w:highlight w:val="none"/>
        </w:rPr>
      </w:pPr>
    </w:p>
    <w:p w14:paraId="1EBD1AD0">
      <w:pPr>
        <w:pStyle w:val="2"/>
        <w:rPr>
          <w:color w:val="auto"/>
          <w:highlight w:val="none"/>
        </w:rPr>
      </w:pPr>
    </w:p>
    <w:p w14:paraId="624E699B">
      <w:pPr>
        <w:rPr>
          <w:color w:val="auto"/>
          <w:highlight w:val="none"/>
        </w:rPr>
      </w:pPr>
    </w:p>
    <w:p w14:paraId="05F808A3">
      <w:pPr>
        <w:pStyle w:val="2"/>
        <w:rPr>
          <w:color w:val="auto"/>
          <w:highlight w:val="none"/>
        </w:rPr>
      </w:pPr>
    </w:p>
    <w:p w14:paraId="5E70E391">
      <w:pPr>
        <w:rPr>
          <w:color w:val="auto"/>
          <w:highlight w:val="none"/>
        </w:rPr>
      </w:pPr>
    </w:p>
    <w:p w14:paraId="34FB42A8">
      <w:pPr>
        <w:pStyle w:val="2"/>
        <w:rPr>
          <w:color w:val="auto"/>
          <w:highlight w:val="none"/>
        </w:rPr>
      </w:pPr>
    </w:p>
    <w:p w14:paraId="3303DBF1">
      <w:pPr>
        <w:rPr>
          <w:color w:val="auto"/>
          <w:highlight w:val="none"/>
        </w:rPr>
      </w:pPr>
    </w:p>
    <w:p w14:paraId="4EB855C2">
      <w:pPr>
        <w:pStyle w:val="2"/>
        <w:rPr>
          <w:color w:val="auto"/>
          <w:highlight w:val="none"/>
        </w:rPr>
      </w:pPr>
    </w:p>
    <w:p w14:paraId="117CAD11">
      <w:pPr>
        <w:rPr>
          <w:color w:val="auto"/>
          <w:highlight w:val="none"/>
        </w:rPr>
      </w:pPr>
    </w:p>
    <w:p w14:paraId="5BC7454B">
      <w:pPr>
        <w:pStyle w:val="2"/>
        <w:rPr>
          <w:color w:val="auto"/>
          <w:highlight w:val="none"/>
        </w:rPr>
      </w:pPr>
    </w:p>
    <w:p w14:paraId="17F9810E">
      <w:pPr>
        <w:pStyle w:val="2"/>
        <w:rPr>
          <w:color w:val="auto"/>
          <w:highlight w:val="none"/>
        </w:rPr>
      </w:pPr>
    </w:p>
    <w:p w14:paraId="49A2E333">
      <w:pPr>
        <w:pStyle w:val="2"/>
        <w:ind w:left="0" w:leftChars="0" w:firstLine="0" w:firstLineChars="0"/>
        <w:rPr>
          <w:color w:val="auto"/>
          <w:highlight w:val="none"/>
        </w:rPr>
      </w:pPr>
    </w:p>
    <w:p w14:paraId="4A315451">
      <w:pPr>
        <w:pStyle w:val="8"/>
        <w:adjustRightInd w:val="0"/>
        <w:snapToGrid w:val="0"/>
        <w:spacing w:before="0" w:after="0" w:line="560" w:lineRule="exact"/>
        <w:jc w:val="center"/>
        <w:rPr>
          <w:color w:val="auto"/>
          <w:highlight w:val="none"/>
        </w:rPr>
        <w:sectPr>
          <w:pgSz w:w="11905" w:h="16838"/>
          <w:pgMar w:top="1134" w:right="1134" w:bottom="1134" w:left="1134" w:header="720" w:footer="998" w:gutter="0"/>
          <w:pgNumType w:fmt="decimal"/>
          <w:cols w:space="720" w:num="1"/>
        </w:sectPr>
      </w:pPr>
      <w:bookmarkStart w:id="220" w:name="_Toc95223543"/>
    </w:p>
    <w:p w14:paraId="4081C91D">
      <w:pPr>
        <w:pStyle w:val="8"/>
        <w:adjustRightInd w:val="0"/>
        <w:snapToGrid w:val="0"/>
        <w:spacing w:before="0" w:after="0" w:line="560" w:lineRule="exact"/>
        <w:jc w:val="center"/>
        <w:rPr>
          <w:color w:val="auto"/>
          <w:highlight w:val="none"/>
        </w:rPr>
      </w:pPr>
      <w:bookmarkStart w:id="221" w:name="_Toc23754"/>
      <w:bookmarkStart w:id="222" w:name="_Toc12964"/>
      <w:bookmarkStart w:id="223" w:name="_Toc7357"/>
      <w:r>
        <w:rPr>
          <w:rFonts w:hint="eastAsia"/>
          <w:color w:val="auto"/>
          <w:highlight w:val="none"/>
        </w:rPr>
        <w:t>（1）投</w:t>
      </w:r>
      <w:r>
        <w:rPr>
          <w:color w:val="auto"/>
          <w:highlight w:val="none"/>
        </w:rPr>
        <w:t xml:space="preserve"> </w:t>
      </w:r>
      <w:r>
        <w:rPr>
          <w:rFonts w:hint="eastAsia"/>
          <w:color w:val="auto"/>
          <w:highlight w:val="none"/>
        </w:rPr>
        <w:t>标 函</w:t>
      </w:r>
      <w:bookmarkEnd w:id="220"/>
      <w:bookmarkEnd w:id="221"/>
      <w:bookmarkEnd w:id="222"/>
      <w:bookmarkEnd w:id="223"/>
    </w:p>
    <w:p w14:paraId="4B710CBE">
      <w:pPr>
        <w:adjustRightInd w:val="0"/>
        <w:snapToGrid w:val="0"/>
        <w:spacing w:line="560" w:lineRule="exact"/>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4DA5D734">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224"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224"/>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招标文件，遵照《中华人民共和国招标投标法》等有关规定，经踏勘项目现场和研究上述招标文件的投标须知、合同条件、技术规范、和其他有关文件后，我方愿以单价人民币</w:t>
      </w:r>
      <w:r>
        <w:rPr>
          <w:rFonts w:hint="eastAsia" w:ascii="宋体" w:hAnsi="宋体"/>
          <w:color w:val="auto"/>
          <w:sz w:val="24"/>
          <w:highlight w:val="none"/>
          <w:u w:val="single"/>
        </w:rPr>
        <w:t xml:space="preserve">（大写）             </w:t>
      </w:r>
      <w:r>
        <w:rPr>
          <w:rFonts w:hint="eastAsia" w:ascii="宋体" w:hAnsi="宋体"/>
          <w:b/>
          <w:bCs/>
          <w:color w:val="auto"/>
          <w:sz w:val="24"/>
          <w:highlight w:val="none"/>
          <w:u w:val="single"/>
        </w:rPr>
        <w:t xml:space="preserve"> 元/人/次</w:t>
      </w:r>
      <w:r>
        <w:rPr>
          <w:rFonts w:hint="eastAsia" w:ascii="宋体" w:hAnsi="宋体"/>
          <w:color w:val="auto"/>
          <w:sz w:val="24"/>
          <w:highlight w:val="none"/>
          <w:u w:val="single"/>
        </w:rPr>
        <w:t xml:space="preserve">，（小写）           </w:t>
      </w:r>
      <w:r>
        <w:rPr>
          <w:rFonts w:hint="eastAsia" w:ascii="宋体" w:hAnsi="宋体"/>
          <w:b/>
          <w:bCs/>
          <w:color w:val="auto"/>
          <w:sz w:val="24"/>
          <w:highlight w:val="none"/>
          <w:u w:val="single"/>
        </w:rPr>
        <w:t>元/人/次</w:t>
      </w:r>
      <w:r>
        <w:rPr>
          <w:rFonts w:hint="eastAsia" w:ascii="宋体" w:hAnsi="宋体"/>
          <w:color w:val="auto"/>
          <w:sz w:val="24"/>
          <w:highlight w:val="none"/>
        </w:rPr>
        <w:t>的投标报价承担上述项目。</w:t>
      </w:r>
    </w:p>
    <w:p w14:paraId="15BF0C8A">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437050E7">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3、一旦我方中标，保证按照招标人要求开始本项目的服务，服务期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4B520C30">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65F127B5">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5、如果我方中标我方将按照招标文件的规定提交履约担保。验收合格后，方可退还。</w:t>
      </w:r>
    </w:p>
    <w:p w14:paraId="5A925A8B">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61DC8242">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0F42831F">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26970AE1">
      <w:pPr>
        <w:adjustRightInd w:val="0"/>
        <w:snapToGrid w:val="0"/>
        <w:spacing w:line="560" w:lineRule="exact"/>
        <w:ind w:firstLine="480" w:firstLineChars="200"/>
        <w:rPr>
          <w:rFonts w:ascii="宋体" w:hAnsi="宋体"/>
          <w:color w:val="auto"/>
          <w:sz w:val="24"/>
          <w:highlight w:val="none"/>
        </w:rPr>
      </w:pPr>
    </w:p>
    <w:p w14:paraId="1E92A380">
      <w:pPr>
        <w:adjustRightInd w:val="0"/>
        <w:snapToGrid w:val="0"/>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（盖章）</w:t>
      </w:r>
    </w:p>
    <w:p w14:paraId="19414DA8">
      <w:pPr>
        <w:adjustRightInd w:val="0"/>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（签字或盖章）</w:t>
      </w:r>
      <w:r>
        <w:rPr>
          <w:rFonts w:hint="eastAsia" w:ascii="宋体" w:hAnsi="宋体"/>
          <w:color w:val="auto"/>
          <w:sz w:val="24"/>
          <w:highlight w:val="none"/>
        </w:rPr>
        <w:t xml:space="preserve">联系人：                 </w:t>
      </w:r>
    </w:p>
    <w:p w14:paraId="20A71BBC">
      <w:pPr>
        <w:adjustRightInd w:val="0"/>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19C4E0D2">
      <w:pPr>
        <w:adjustRightInd w:val="0"/>
        <w:snapToGrid w:val="0"/>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938B58D">
      <w:pPr>
        <w:adjustRightInd w:val="0"/>
        <w:snapToGrid w:val="0"/>
        <w:spacing w:line="50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0B83420F">
      <w:pPr>
        <w:pStyle w:val="8"/>
        <w:adjustRightInd w:val="0"/>
        <w:snapToGrid w:val="0"/>
        <w:spacing w:before="0" w:after="0" w:line="560" w:lineRule="exact"/>
        <w:jc w:val="center"/>
        <w:rPr>
          <w:color w:val="auto"/>
          <w:highlight w:val="none"/>
        </w:rPr>
        <w:sectPr>
          <w:pgSz w:w="11905" w:h="16838"/>
          <w:pgMar w:top="1134" w:right="1134" w:bottom="1134" w:left="1134" w:header="720" w:footer="998" w:gutter="0"/>
          <w:pgNumType w:fmt="decimal"/>
          <w:cols w:space="720" w:num="1"/>
        </w:sectPr>
      </w:pPr>
      <w:bookmarkStart w:id="225" w:name="_Toc95223544"/>
    </w:p>
    <w:bookmarkEnd w:id="225"/>
    <w:p w14:paraId="5B4C2988">
      <w:pPr>
        <w:rPr>
          <w:rFonts w:ascii="黑体" w:hAnsi="黑体" w:eastAsia="黑体"/>
          <w:b/>
          <w:bCs/>
          <w:color w:val="auto"/>
          <w:kern w:val="44"/>
          <w:sz w:val="28"/>
          <w:szCs w:val="22"/>
          <w:highlight w:val="none"/>
        </w:rPr>
      </w:pPr>
    </w:p>
    <w:p w14:paraId="45A4B017">
      <w:pPr>
        <w:spacing w:line="440" w:lineRule="exact"/>
        <w:jc w:val="center"/>
        <w:outlineLvl w:val="1"/>
        <w:rPr>
          <w:rFonts w:ascii="宋体" w:hAnsi="宋体" w:cs="宋体"/>
          <w:b/>
          <w:color w:val="auto"/>
          <w:sz w:val="24"/>
          <w:highlight w:val="none"/>
        </w:rPr>
      </w:pPr>
      <w:bookmarkStart w:id="226" w:name="_Toc31027"/>
      <w:bookmarkStart w:id="227" w:name="_Toc32226"/>
      <w:r>
        <w:rPr>
          <w:rFonts w:hint="eastAsia" w:ascii="宋体" w:hAnsi="宋体" w:cs="宋体"/>
          <w:b/>
          <w:color w:val="auto"/>
          <w:sz w:val="24"/>
          <w:highlight w:val="none"/>
        </w:rPr>
        <w:t>（2）投标分项报价表</w:t>
      </w:r>
      <w:bookmarkEnd w:id="226"/>
      <w:bookmarkEnd w:id="227"/>
    </w:p>
    <w:p w14:paraId="3FFA67FC">
      <w:pPr>
        <w:spacing w:line="440" w:lineRule="exact"/>
        <w:ind w:firstLine="435"/>
        <w:jc w:val="center"/>
        <w:rPr>
          <w:rFonts w:ascii="宋体" w:hAnsi="宋体" w:cs="宋体"/>
          <w:b/>
          <w:color w:val="auto"/>
          <w:sz w:val="24"/>
          <w:highlight w:val="none"/>
        </w:rPr>
      </w:pPr>
      <w:r>
        <w:rPr>
          <w:rFonts w:hint="eastAsia" w:ascii="宋体" w:hAnsi="宋体" w:cs="宋体"/>
          <w:i/>
          <w:color w:val="auto"/>
          <w:sz w:val="24"/>
          <w:highlight w:val="none"/>
        </w:rPr>
        <w:t>（仅供参考，投标人可自行制作格式）</w:t>
      </w:r>
    </w:p>
    <w:tbl>
      <w:tblPr>
        <w:tblStyle w:val="37"/>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787"/>
        <w:gridCol w:w="1788"/>
        <w:gridCol w:w="1527"/>
        <w:gridCol w:w="1418"/>
      </w:tblGrid>
      <w:tr w14:paraId="606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vAlign w:val="center"/>
          </w:tcPr>
          <w:p w14:paraId="29EB9DA3">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55" w:type="dxa"/>
            <w:vAlign w:val="center"/>
          </w:tcPr>
          <w:p w14:paraId="7802100B">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名称</w:t>
            </w:r>
          </w:p>
        </w:tc>
        <w:tc>
          <w:tcPr>
            <w:tcW w:w="780" w:type="dxa"/>
            <w:vAlign w:val="center"/>
          </w:tcPr>
          <w:p w14:paraId="7C0D452B">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人数</w:t>
            </w:r>
          </w:p>
        </w:tc>
        <w:tc>
          <w:tcPr>
            <w:tcW w:w="1787" w:type="dxa"/>
            <w:vAlign w:val="center"/>
          </w:tcPr>
          <w:p w14:paraId="25C44315">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次数（次/年）</w:t>
            </w:r>
          </w:p>
        </w:tc>
        <w:tc>
          <w:tcPr>
            <w:tcW w:w="1788" w:type="dxa"/>
            <w:vAlign w:val="center"/>
          </w:tcPr>
          <w:p w14:paraId="3A64F94D">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单价</w:t>
            </w:r>
          </w:p>
          <w:p w14:paraId="569BBC92">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 元/人/次）</w:t>
            </w:r>
          </w:p>
        </w:tc>
        <w:tc>
          <w:tcPr>
            <w:tcW w:w="1527" w:type="dxa"/>
            <w:vAlign w:val="center"/>
          </w:tcPr>
          <w:p w14:paraId="55E0424C">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合价（元）</w:t>
            </w:r>
          </w:p>
        </w:tc>
        <w:tc>
          <w:tcPr>
            <w:tcW w:w="1418" w:type="dxa"/>
            <w:vAlign w:val="center"/>
          </w:tcPr>
          <w:p w14:paraId="16DEAC3A">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841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vAlign w:val="center"/>
          </w:tcPr>
          <w:p w14:paraId="6AD4598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355" w:type="dxa"/>
            <w:vAlign w:val="center"/>
          </w:tcPr>
          <w:p w14:paraId="3F1B2621">
            <w:pPr>
              <w:spacing w:line="360" w:lineRule="exact"/>
              <w:jc w:val="center"/>
              <w:rPr>
                <w:rFonts w:ascii="宋体" w:hAnsi="宋体" w:cs="宋体"/>
                <w:color w:val="auto"/>
                <w:szCs w:val="21"/>
                <w:highlight w:val="none"/>
              </w:rPr>
            </w:pPr>
          </w:p>
        </w:tc>
        <w:tc>
          <w:tcPr>
            <w:tcW w:w="780" w:type="dxa"/>
            <w:vAlign w:val="center"/>
          </w:tcPr>
          <w:p w14:paraId="0CF48D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1227</w:t>
            </w:r>
          </w:p>
        </w:tc>
        <w:tc>
          <w:tcPr>
            <w:tcW w:w="1787" w:type="dxa"/>
            <w:vAlign w:val="center"/>
          </w:tcPr>
          <w:p w14:paraId="2EA9DDA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788" w:type="dxa"/>
            <w:vAlign w:val="center"/>
          </w:tcPr>
          <w:p w14:paraId="068D928B">
            <w:pPr>
              <w:spacing w:line="360" w:lineRule="exact"/>
              <w:jc w:val="center"/>
              <w:rPr>
                <w:rFonts w:ascii="宋体" w:hAnsi="宋体" w:cs="宋体"/>
                <w:color w:val="auto"/>
                <w:szCs w:val="21"/>
                <w:highlight w:val="none"/>
              </w:rPr>
            </w:pPr>
          </w:p>
        </w:tc>
        <w:tc>
          <w:tcPr>
            <w:tcW w:w="1527" w:type="dxa"/>
            <w:vAlign w:val="center"/>
          </w:tcPr>
          <w:p w14:paraId="36594AC2">
            <w:pPr>
              <w:spacing w:line="360" w:lineRule="exact"/>
              <w:jc w:val="center"/>
              <w:rPr>
                <w:rFonts w:ascii="宋体" w:hAnsi="宋体" w:cs="宋体"/>
                <w:color w:val="auto"/>
                <w:szCs w:val="21"/>
                <w:highlight w:val="none"/>
              </w:rPr>
            </w:pPr>
          </w:p>
        </w:tc>
        <w:tc>
          <w:tcPr>
            <w:tcW w:w="1418" w:type="dxa"/>
            <w:vAlign w:val="center"/>
          </w:tcPr>
          <w:p w14:paraId="243F1EF2">
            <w:pPr>
              <w:spacing w:line="360" w:lineRule="exact"/>
              <w:jc w:val="center"/>
              <w:rPr>
                <w:rFonts w:ascii="宋体" w:hAnsi="宋体" w:cs="宋体"/>
                <w:color w:val="auto"/>
                <w:szCs w:val="21"/>
                <w:highlight w:val="none"/>
              </w:rPr>
            </w:pPr>
          </w:p>
        </w:tc>
      </w:tr>
      <w:tr w14:paraId="03E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vAlign w:val="center"/>
          </w:tcPr>
          <w:p w14:paraId="6D35309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355" w:type="dxa"/>
            <w:vAlign w:val="center"/>
          </w:tcPr>
          <w:p w14:paraId="66A6DAF5">
            <w:pPr>
              <w:spacing w:line="360" w:lineRule="exact"/>
              <w:jc w:val="center"/>
              <w:rPr>
                <w:rFonts w:ascii="宋体" w:hAnsi="宋体" w:cs="宋体"/>
                <w:color w:val="auto"/>
                <w:szCs w:val="21"/>
                <w:highlight w:val="none"/>
              </w:rPr>
            </w:pPr>
          </w:p>
        </w:tc>
        <w:tc>
          <w:tcPr>
            <w:tcW w:w="780" w:type="dxa"/>
            <w:vAlign w:val="center"/>
          </w:tcPr>
          <w:p w14:paraId="20D02BAF">
            <w:pPr>
              <w:spacing w:line="360" w:lineRule="exact"/>
              <w:jc w:val="center"/>
              <w:rPr>
                <w:rFonts w:ascii="宋体" w:hAnsi="宋体" w:cs="宋体"/>
                <w:color w:val="auto"/>
                <w:szCs w:val="21"/>
                <w:highlight w:val="none"/>
              </w:rPr>
            </w:pPr>
          </w:p>
        </w:tc>
        <w:tc>
          <w:tcPr>
            <w:tcW w:w="1787" w:type="dxa"/>
            <w:vAlign w:val="center"/>
          </w:tcPr>
          <w:p w14:paraId="0F76DAE2">
            <w:pPr>
              <w:spacing w:line="360" w:lineRule="exact"/>
              <w:jc w:val="center"/>
              <w:rPr>
                <w:rFonts w:ascii="宋体" w:hAnsi="宋体" w:cs="宋体"/>
                <w:color w:val="auto"/>
                <w:szCs w:val="21"/>
                <w:highlight w:val="none"/>
              </w:rPr>
            </w:pPr>
          </w:p>
        </w:tc>
        <w:tc>
          <w:tcPr>
            <w:tcW w:w="1788" w:type="dxa"/>
            <w:vAlign w:val="center"/>
          </w:tcPr>
          <w:p w14:paraId="70E234DE">
            <w:pPr>
              <w:spacing w:line="360" w:lineRule="exact"/>
              <w:jc w:val="center"/>
              <w:rPr>
                <w:rFonts w:ascii="宋体" w:hAnsi="宋体" w:cs="宋体"/>
                <w:color w:val="auto"/>
                <w:szCs w:val="21"/>
                <w:highlight w:val="none"/>
              </w:rPr>
            </w:pPr>
          </w:p>
        </w:tc>
        <w:tc>
          <w:tcPr>
            <w:tcW w:w="1527" w:type="dxa"/>
            <w:vAlign w:val="center"/>
          </w:tcPr>
          <w:p w14:paraId="0D5E9C39">
            <w:pPr>
              <w:spacing w:line="360" w:lineRule="exact"/>
              <w:jc w:val="center"/>
              <w:rPr>
                <w:rFonts w:ascii="宋体" w:hAnsi="宋体" w:cs="宋体"/>
                <w:color w:val="auto"/>
                <w:szCs w:val="21"/>
                <w:highlight w:val="none"/>
              </w:rPr>
            </w:pPr>
          </w:p>
        </w:tc>
        <w:tc>
          <w:tcPr>
            <w:tcW w:w="1418" w:type="dxa"/>
            <w:vAlign w:val="center"/>
          </w:tcPr>
          <w:p w14:paraId="561E7AB5">
            <w:pPr>
              <w:spacing w:line="360" w:lineRule="exact"/>
              <w:jc w:val="center"/>
              <w:rPr>
                <w:rFonts w:ascii="宋体" w:hAnsi="宋体" w:cs="宋体"/>
                <w:color w:val="auto"/>
                <w:szCs w:val="21"/>
                <w:highlight w:val="none"/>
              </w:rPr>
            </w:pPr>
          </w:p>
        </w:tc>
      </w:tr>
      <w:tr w14:paraId="7075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vAlign w:val="center"/>
          </w:tcPr>
          <w:p w14:paraId="64B743A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355" w:type="dxa"/>
            <w:vAlign w:val="center"/>
          </w:tcPr>
          <w:p w14:paraId="5821F473">
            <w:pPr>
              <w:spacing w:line="360" w:lineRule="exact"/>
              <w:jc w:val="center"/>
              <w:rPr>
                <w:rFonts w:ascii="宋体" w:hAnsi="宋体" w:cs="宋体"/>
                <w:color w:val="auto"/>
                <w:szCs w:val="21"/>
                <w:highlight w:val="none"/>
              </w:rPr>
            </w:pPr>
          </w:p>
        </w:tc>
        <w:tc>
          <w:tcPr>
            <w:tcW w:w="780" w:type="dxa"/>
            <w:vAlign w:val="center"/>
          </w:tcPr>
          <w:p w14:paraId="25E5BC5E">
            <w:pPr>
              <w:spacing w:line="360" w:lineRule="exact"/>
              <w:jc w:val="center"/>
              <w:rPr>
                <w:rFonts w:ascii="宋体" w:hAnsi="宋体" w:cs="宋体"/>
                <w:color w:val="auto"/>
                <w:szCs w:val="21"/>
                <w:highlight w:val="none"/>
              </w:rPr>
            </w:pPr>
          </w:p>
        </w:tc>
        <w:tc>
          <w:tcPr>
            <w:tcW w:w="1787" w:type="dxa"/>
            <w:vAlign w:val="center"/>
          </w:tcPr>
          <w:p w14:paraId="3BF76842">
            <w:pPr>
              <w:spacing w:line="360" w:lineRule="exact"/>
              <w:jc w:val="center"/>
              <w:rPr>
                <w:rFonts w:ascii="宋体" w:hAnsi="宋体" w:cs="宋体"/>
                <w:color w:val="auto"/>
                <w:szCs w:val="21"/>
                <w:highlight w:val="none"/>
              </w:rPr>
            </w:pPr>
          </w:p>
        </w:tc>
        <w:tc>
          <w:tcPr>
            <w:tcW w:w="1788" w:type="dxa"/>
            <w:vAlign w:val="center"/>
          </w:tcPr>
          <w:p w14:paraId="7F61F59F">
            <w:pPr>
              <w:spacing w:line="360" w:lineRule="exact"/>
              <w:jc w:val="center"/>
              <w:rPr>
                <w:rFonts w:ascii="宋体" w:hAnsi="宋体" w:cs="宋体"/>
                <w:color w:val="auto"/>
                <w:szCs w:val="21"/>
                <w:highlight w:val="none"/>
              </w:rPr>
            </w:pPr>
          </w:p>
        </w:tc>
        <w:tc>
          <w:tcPr>
            <w:tcW w:w="1527" w:type="dxa"/>
            <w:vAlign w:val="center"/>
          </w:tcPr>
          <w:p w14:paraId="53F67953">
            <w:pPr>
              <w:spacing w:line="360" w:lineRule="exact"/>
              <w:jc w:val="center"/>
              <w:rPr>
                <w:rFonts w:ascii="宋体" w:hAnsi="宋体" w:cs="宋体"/>
                <w:color w:val="auto"/>
                <w:szCs w:val="21"/>
                <w:highlight w:val="none"/>
              </w:rPr>
            </w:pPr>
          </w:p>
        </w:tc>
        <w:tc>
          <w:tcPr>
            <w:tcW w:w="1418" w:type="dxa"/>
            <w:vAlign w:val="center"/>
          </w:tcPr>
          <w:p w14:paraId="103C5C8F">
            <w:pPr>
              <w:spacing w:line="360" w:lineRule="exact"/>
              <w:jc w:val="center"/>
              <w:rPr>
                <w:rFonts w:ascii="宋体" w:hAnsi="宋体" w:cs="宋体"/>
                <w:color w:val="auto"/>
                <w:szCs w:val="21"/>
                <w:highlight w:val="none"/>
              </w:rPr>
            </w:pPr>
          </w:p>
        </w:tc>
      </w:tr>
      <w:tr w14:paraId="4278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vAlign w:val="center"/>
          </w:tcPr>
          <w:p w14:paraId="0CB6E67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355" w:type="dxa"/>
            <w:vAlign w:val="center"/>
          </w:tcPr>
          <w:p w14:paraId="7CC4DF6E">
            <w:pPr>
              <w:spacing w:line="360" w:lineRule="exact"/>
              <w:jc w:val="center"/>
              <w:rPr>
                <w:rFonts w:ascii="宋体" w:hAnsi="宋体" w:cs="宋体"/>
                <w:color w:val="auto"/>
                <w:szCs w:val="21"/>
                <w:highlight w:val="none"/>
              </w:rPr>
            </w:pPr>
          </w:p>
        </w:tc>
        <w:tc>
          <w:tcPr>
            <w:tcW w:w="780" w:type="dxa"/>
            <w:vAlign w:val="center"/>
          </w:tcPr>
          <w:p w14:paraId="16C1959C">
            <w:pPr>
              <w:spacing w:line="360" w:lineRule="exact"/>
              <w:jc w:val="center"/>
              <w:rPr>
                <w:rFonts w:ascii="宋体" w:hAnsi="宋体" w:cs="宋体"/>
                <w:color w:val="auto"/>
                <w:szCs w:val="21"/>
                <w:highlight w:val="none"/>
              </w:rPr>
            </w:pPr>
          </w:p>
        </w:tc>
        <w:tc>
          <w:tcPr>
            <w:tcW w:w="1787" w:type="dxa"/>
            <w:vAlign w:val="center"/>
          </w:tcPr>
          <w:p w14:paraId="30D71E18">
            <w:pPr>
              <w:spacing w:line="360" w:lineRule="exact"/>
              <w:jc w:val="center"/>
              <w:rPr>
                <w:rFonts w:ascii="宋体" w:hAnsi="宋体" w:cs="宋体"/>
                <w:color w:val="auto"/>
                <w:szCs w:val="21"/>
                <w:highlight w:val="none"/>
              </w:rPr>
            </w:pPr>
          </w:p>
        </w:tc>
        <w:tc>
          <w:tcPr>
            <w:tcW w:w="1788" w:type="dxa"/>
            <w:vAlign w:val="center"/>
          </w:tcPr>
          <w:p w14:paraId="7F084ED6">
            <w:pPr>
              <w:spacing w:line="360" w:lineRule="exact"/>
              <w:jc w:val="center"/>
              <w:rPr>
                <w:rFonts w:ascii="宋体" w:hAnsi="宋体" w:cs="宋体"/>
                <w:color w:val="auto"/>
                <w:szCs w:val="21"/>
                <w:highlight w:val="none"/>
              </w:rPr>
            </w:pPr>
          </w:p>
        </w:tc>
        <w:tc>
          <w:tcPr>
            <w:tcW w:w="1527" w:type="dxa"/>
            <w:vAlign w:val="center"/>
          </w:tcPr>
          <w:p w14:paraId="2D67D96A">
            <w:pPr>
              <w:spacing w:line="360" w:lineRule="exact"/>
              <w:jc w:val="center"/>
              <w:rPr>
                <w:rFonts w:ascii="宋体" w:hAnsi="宋体" w:cs="宋体"/>
                <w:color w:val="auto"/>
                <w:szCs w:val="21"/>
                <w:highlight w:val="none"/>
              </w:rPr>
            </w:pPr>
          </w:p>
        </w:tc>
        <w:tc>
          <w:tcPr>
            <w:tcW w:w="1418" w:type="dxa"/>
            <w:vAlign w:val="center"/>
          </w:tcPr>
          <w:p w14:paraId="2CD6CF3C">
            <w:pPr>
              <w:spacing w:line="360" w:lineRule="exact"/>
              <w:jc w:val="center"/>
              <w:rPr>
                <w:rFonts w:ascii="宋体" w:hAnsi="宋体" w:cs="宋体"/>
                <w:color w:val="auto"/>
                <w:szCs w:val="21"/>
                <w:highlight w:val="none"/>
              </w:rPr>
            </w:pPr>
          </w:p>
        </w:tc>
      </w:tr>
      <w:tr w14:paraId="4263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501" w:type="dxa"/>
            <w:gridSpan w:val="5"/>
            <w:vAlign w:val="center"/>
          </w:tcPr>
          <w:p w14:paraId="778FAAF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投标报价：服务费用合计（元/年）</w:t>
            </w:r>
          </w:p>
        </w:tc>
        <w:tc>
          <w:tcPr>
            <w:tcW w:w="2945" w:type="dxa"/>
            <w:gridSpan w:val="2"/>
            <w:vAlign w:val="center"/>
          </w:tcPr>
          <w:p w14:paraId="1C8175FB">
            <w:pPr>
              <w:spacing w:line="360" w:lineRule="exact"/>
              <w:jc w:val="center"/>
              <w:rPr>
                <w:rFonts w:ascii="宋体" w:hAnsi="宋体" w:cs="宋体"/>
                <w:color w:val="auto"/>
                <w:szCs w:val="21"/>
                <w:highlight w:val="none"/>
              </w:rPr>
            </w:pPr>
          </w:p>
        </w:tc>
      </w:tr>
    </w:tbl>
    <w:p w14:paraId="4F23CDBA">
      <w:pPr>
        <w:spacing w:line="440" w:lineRule="exact"/>
        <w:ind w:firstLine="4800" w:firstLineChars="2000"/>
        <w:rPr>
          <w:rFonts w:hint="eastAsia" w:ascii="宋体" w:hAnsi="宋体" w:cs="宋体"/>
          <w:color w:val="auto"/>
          <w:sz w:val="24"/>
          <w:highlight w:val="none"/>
          <w:u w:val="single"/>
        </w:rPr>
      </w:pPr>
      <w:r>
        <w:rPr>
          <w:rFonts w:hint="eastAsia" w:ascii="宋体" w:hAnsi="宋体" w:cs="宋体"/>
          <w:color w:val="auto"/>
          <w:sz w:val="24"/>
          <w:highlight w:val="none"/>
        </w:rPr>
        <w:t>投 标 人 盖 章：</w:t>
      </w:r>
      <w:r>
        <w:rPr>
          <w:rFonts w:hint="eastAsia" w:ascii="宋体" w:hAnsi="宋体" w:cs="宋体"/>
          <w:color w:val="auto"/>
          <w:sz w:val="24"/>
          <w:highlight w:val="none"/>
          <w:u w:val="single"/>
        </w:rPr>
        <w:t xml:space="preserve">             </w:t>
      </w:r>
    </w:p>
    <w:p w14:paraId="16465E17">
      <w:pPr>
        <w:tabs>
          <w:tab w:val="left" w:pos="630"/>
        </w:tabs>
        <w:spacing w:line="440" w:lineRule="exact"/>
        <w:ind w:firstLine="4800" w:firstLineChars="2000"/>
        <w:rPr>
          <w:rFonts w:hint="eastAsia" w:ascii="宋体" w:hAnsi="宋体" w:cs="宋体"/>
          <w:b/>
          <w:bCs/>
          <w:color w:val="auto"/>
          <w:sz w:val="24"/>
          <w:szCs w:val="28"/>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E3EECB7">
      <w:pPr>
        <w:tabs>
          <w:tab w:val="left" w:pos="630"/>
        </w:tabs>
        <w:spacing w:line="440" w:lineRule="exact"/>
        <w:ind w:firstLine="4800" w:firstLineChars="2000"/>
        <w:rPr>
          <w:rFonts w:ascii="宋体" w:hAnsi="宋体" w:cs="宋体"/>
          <w:b/>
          <w:bCs/>
          <w:color w:val="auto"/>
          <w:sz w:val="24"/>
          <w:szCs w:val="28"/>
          <w:highlight w:val="none"/>
        </w:rPr>
      </w:pPr>
      <w:r>
        <w:rPr>
          <w:rFonts w:hint="eastAsia" w:ascii="宋体" w:hAnsi="宋体" w:cs="宋体"/>
          <w:color w:val="auto"/>
          <w:sz w:val="24"/>
          <w:highlight w:val="none"/>
          <w:u w:val="single"/>
        </w:rPr>
        <w:t xml:space="preserve">             </w:t>
      </w:r>
    </w:p>
    <w:p w14:paraId="3887EF26">
      <w:pPr>
        <w:adjustRightInd w:val="0"/>
        <w:snapToGrid w:val="0"/>
        <w:spacing w:line="360" w:lineRule="exact"/>
        <w:rPr>
          <w:rFonts w:ascii="宋体" w:hAnsi="宋体" w:cs="宋体"/>
          <w:b/>
          <w:bCs/>
          <w:color w:val="auto"/>
          <w:sz w:val="24"/>
          <w:szCs w:val="28"/>
          <w:highlight w:val="none"/>
        </w:rPr>
      </w:pPr>
    </w:p>
    <w:p w14:paraId="0BDCC49A">
      <w:pPr>
        <w:adjustRightInd w:val="0"/>
        <w:snapToGrid w:val="0"/>
        <w:spacing w:line="360" w:lineRule="exact"/>
        <w:rPr>
          <w:rFonts w:ascii="宋体" w:hAnsi="宋体" w:cs="宋体"/>
          <w:color w:val="auto"/>
          <w:sz w:val="24"/>
          <w:highlight w:val="none"/>
        </w:rPr>
      </w:pPr>
      <w:r>
        <w:rPr>
          <w:rFonts w:hint="eastAsia" w:ascii="宋体" w:hAnsi="宋体" w:cs="宋体"/>
          <w:b/>
          <w:bCs/>
          <w:color w:val="auto"/>
          <w:sz w:val="24"/>
          <w:szCs w:val="28"/>
          <w:highlight w:val="none"/>
        </w:rPr>
        <w:t>注：</w:t>
      </w:r>
      <w:r>
        <w:rPr>
          <w:rFonts w:hint="eastAsia" w:ascii="宋体" w:hAnsi="宋体" w:cs="宋体"/>
          <w:color w:val="auto"/>
          <w:sz w:val="24"/>
          <w:highlight w:val="none"/>
        </w:rPr>
        <w:t>所列服务为对应本项目需求的全部服务内容。如有漏项或缺项，投标人承担全部责任。</w:t>
      </w:r>
    </w:p>
    <w:p w14:paraId="52D171ED">
      <w:pPr>
        <w:rPr>
          <w:rFonts w:ascii="黑体" w:hAnsi="黑体" w:eastAsia="黑体"/>
          <w:b/>
          <w:bCs/>
          <w:color w:val="auto"/>
          <w:kern w:val="44"/>
          <w:sz w:val="28"/>
          <w:szCs w:val="22"/>
          <w:highlight w:val="none"/>
        </w:rPr>
      </w:pPr>
    </w:p>
    <w:p w14:paraId="72E07B25">
      <w:pPr>
        <w:rPr>
          <w:rFonts w:ascii="黑体" w:hAnsi="黑体" w:eastAsia="黑体"/>
          <w:b/>
          <w:bCs/>
          <w:color w:val="auto"/>
          <w:kern w:val="44"/>
          <w:sz w:val="28"/>
          <w:szCs w:val="22"/>
          <w:highlight w:val="none"/>
        </w:rPr>
      </w:pPr>
    </w:p>
    <w:p w14:paraId="03985E8B">
      <w:pPr>
        <w:rPr>
          <w:rFonts w:ascii="黑体" w:hAnsi="黑体" w:eastAsia="黑体"/>
          <w:b/>
          <w:bCs/>
          <w:color w:val="auto"/>
          <w:kern w:val="44"/>
          <w:sz w:val="28"/>
          <w:szCs w:val="22"/>
          <w:highlight w:val="none"/>
        </w:rPr>
      </w:pPr>
    </w:p>
    <w:p w14:paraId="4FCEDFC7">
      <w:pPr>
        <w:rPr>
          <w:rFonts w:ascii="黑体" w:hAnsi="黑体" w:eastAsia="黑体"/>
          <w:b/>
          <w:bCs/>
          <w:color w:val="auto"/>
          <w:kern w:val="44"/>
          <w:sz w:val="28"/>
          <w:szCs w:val="22"/>
          <w:highlight w:val="none"/>
        </w:rPr>
      </w:pPr>
    </w:p>
    <w:p w14:paraId="69EBD68D">
      <w:pPr>
        <w:rPr>
          <w:rFonts w:ascii="黑体" w:hAnsi="黑体" w:eastAsia="黑体"/>
          <w:b/>
          <w:bCs/>
          <w:color w:val="auto"/>
          <w:kern w:val="44"/>
          <w:sz w:val="28"/>
          <w:szCs w:val="22"/>
          <w:highlight w:val="none"/>
        </w:rPr>
      </w:pPr>
    </w:p>
    <w:p w14:paraId="4E9C333D">
      <w:pPr>
        <w:rPr>
          <w:rFonts w:ascii="宋体"/>
          <w:b/>
          <w:color w:val="auto"/>
          <w:sz w:val="32"/>
          <w:szCs w:val="32"/>
          <w:highlight w:val="none"/>
        </w:rPr>
      </w:pPr>
      <w:r>
        <w:rPr>
          <w:rFonts w:ascii="宋体"/>
          <w:b/>
          <w:color w:val="auto"/>
          <w:sz w:val="32"/>
          <w:szCs w:val="32"/>
          <w:highlight w:val="none"/>
        </w:rPr>
        <w:br w:type="page"/>
      </w:r>
    </w:p>
    <w:p w14:paraId="1A64B780">
      <w:pPr>
        <w:keepNext/>
        <w:keepLines/>
        <w:spacing w:before="200" w:after="200" w:line="600" w:lineRule="exact"/>
        <w:outlineLvl w:val="0"/>
        <w:rPr>
          <w:rFonts w:ascii="黑体" w:hAnsi="黑体" w:eastAsia="黑体"/>
          <w:b/>
          <w:bCs/>
          <w:color w:val="auto"/>
          <w:kern w:val="44"/>
          <w:sz w:val="28"/>
          <w:szCs w:val="28"/>
          <w:highlight w:val="none"/>
        </w:rPr>
      </w:pPr>
      <w:bookmarkStart w:id="228" w:name="OLE_LINK7"/>
      <w:bookmarkStart w:id="229" w:name="OLE_LINK24"/>
      <w:bookmarkStart w:id="230" w:name="OLE_LINK25"/>
      <w:r>
        <w:rPr>
          <w:rFonts w:hint="eastAsia" w:ascii="黑体" w:hAnsi="黑体" w:eastAsia="黑体"/>
          <w:b/>
          <w:bCs/>
          <w:color w:val="auto"/>
          <w:kern w:val="44"/>
          <w:sz w:val="36"/>
          <w:szCs w:val="28"/>
          <w:highlight w:val="none"/>
        </w:rPr>
        <w:t>附件1 关于联合惩戒失信行为加强信用查询管理的通知</w:t>
      </w:r>
    </w:p>
    <w:bookmarkEnd w:id="228"/>
    <w:p w14:paraId="4DDDE0E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697A04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376A0B36">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29"/>
    <w:bookmarkEnd w:id="230"/>
    <w:p w14:paraId="5C5A015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31" w:name="OLE_LINK103"/>
      <w:bookmarkStart w:id="232" w:name="OLE_LINK92"/>
      <w:bookmarkStart w:id="233" w:name="OLE_LINK93"/>
      <w:bookmarkStart w:id="234" w:name="OLE_LINK91"/>
      <w:r>
        <w:rPr>
          <w:rFonts w:hint="eastAsia" w:ascii="仿宋_GB2312" w:hAnsi="宋体" w:eastAsia="仿宋_GB2312"/>
          <w:color w:val="auto"/>
          <w:sz w:val="28"/>
          <w:szCs w:val="28"/>
          <w:highlight w:val="none"/>
        </w:rPr>
        <w:t>投标人、法定代表人及其项目经理(建造师)</w:t>
      </w:r>
      <w:bookmarkEnd w:id="231"/>
      <w:bookmarkEnd w:id="232"/>
      <w:bookmarkEnd w:id="233"/>
      <w:bookmarkEnd w:id="234"/>
      <w:r>
        <w:rPr>
          <w:rFonts w:hint="eastAsia" w:ascii="仿宋_GB2312" w:hAnsi="宋体" w:eastAsia="仿宋_GB2312"/>
          <w:color w:val="auto"/>
          <w:sz w:val="28"/>
          <w:szCs w:val="28"/>
          <w:highlight w:val="none"/>
        </w:rPr>
        <w:t>以下失信行为：</w:t>
      </w:r>
    </w:p>
    <w:p w14:paraId="4F3CB4F5">
      <w:pPr>
        <w:adjustRightInd w:val="0"/>
        <w:snapToGrid w:val="0"/>
        <w:spacing w:line="560" w:lineRule="exact"/>
        <w:ind w:firstLine="560" w:firstLineChars="200"/>
        <w:rPr>
          <w:rFonts w:ascii="仿宋_GB2312" w:hAnsi="宋体" w:eastAsia="仿宋_GB2312"/>
          <w:color w:val="auto"/>
          <w:sz w:val="28"/>
          <w:szCs w:val="28"/>
          <w:highlight w:val="none"/>
        </w:rPr>
      </w:pPr>
      <w:bookmarkStart w:id="235" w:name="OLE_LINK94"/>
      <w:bookmarkStart w:id="236" w:name="OLE_LINK86"/>
      <w:bookmarkStart w:id="237" w:name="OLE_LINK87"/>
      <w:bookmarkStart w:id="238" w:name="OLE_LINK119"/>
      <w:r>
        <w:rPr>
          <w:rFonts w:hint="eastAsia" w:ascii="仿宋_GB2312" w:hAnsi="宋体" w:eastAsia="仿宋_GB2312"/>
          <w:color w:val="auto"/>
          <w:sz w:val="28"/>
          <w:szCs w:val="28"/>
          <w:highlight w:val="none"/>
        </w:rPr>
        <w:t>①被列入“失信被执行人”的;</w:t>
      </w:r>
    </w:p>
    <w:p w14:paraId="3D8F6E0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39" w:name="OLE_LINK116"/>
      <w:bookmarkStart w:id="240" w:name="OLE_LINK118"/>
      <w:bookmarkStart w:id="241" w:name="OLE_LINK115"/>
      <w:bookmarkStart w:id="242" w:name="OLE_LINK117"/>
      <w:r>
        <w:rPr>
          <w:rFonts w:hint="eastAsia" w:ascii="仿宋_GB2312" w:hAnsi="宋体" w:eastAsia="仿宋_GB2312"/>
          <w:color w:val="auto"/>
          <w:sz w:val="28"/>
          <w:szCs w:val="28"/>
          <w:highlight w:val="none"/>
        </w:rPr>
        <w:t>“重大税收违法失信主体”</w:t>
      </w:r>
      <w:bookmarkEnd w:id="239"/>
      <w:bookmarkEnd w:id="240"/>
      <w:bookmarkEnd w:id="241"/>
      <w:bookmarkEnd w:id="242"/>
      <w:r>
        <w:rPr>
          <w:rFonts w:hint="eastAsia" w:ascii="仿宋_GB2312" w:hAnsi="宋体" w:eastAsia="仿宋_GB2312"/>
          <w:color w:val="auto"/>
          <w:sz w:val="28"/>
          <w:szCs w:val="28"/>
          <w:highlight w:val="none"/>
        </w:rPr>
        <w:t>的；</w:t>
      </w:r>
    </w:p>
    <w:p w14:paraId="1B40C4F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43" w:name="OLE_LINK84"/>
      <w:bookmarkStart w:id="244" w:name="OLE_LINK85"/>
      <w:r>
        <w:rPr>
          <w:rFonts w:hint="eastAsia" w:ascii="仿宋_GB2312" w:hAnsi="宋体" w:eastAsia="仿宋_GB2312"/>
          <w:color w:val="auto"/>
          <w:sz w:val="28"/>
          <w:szCs w:val="28"/>
          <w:highlight w:val="none"/>
        </w:rPr>
        <w:t>农民工工资失信联合惩戒对象</w:t>
      </w:r>
      <w:bookmarkEnd w:id="243"/>
      <w:bookmarkEnd w:id="244"/>
      <w:r>
        <w:rPr>
          <w:rFonts w:hint="eastAsia" w:ascii="仿宋_GB2312" w:hAnsi="宋体" w:eastAsia="仿宋_GB2312"/>
          <w:color w:val="auto"/>
          <w:sz w:val="28"/>
          <w:szCs w:val="28"/>
          <w:highlight w:val="none"/>
        </w:rPr>
        <w:t>名单”的；</w:t>
      </w:r>
    </w:p>
    <w:p w14:paraId="74B0D0B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9B2359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35"/>
    <w:bookmarkEnd w:id="236"/>
    <w:bookmarkEnd w:id="237"/>
    <w:bookmarkEnd w:id="238"/>
    <w:p w14:paraId="03AC081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45" w:name="OLE_LINK130"/>
      <w:r>
        <w:rPr>
          <w:rFonts w:hint="eastAsia" w:ascii="仿宋_GB2312" w:hAnsi="宋体" w:eastAsia="仿宋_GB2312"/>
          <w:color w:val="auto"/>
          <w:sz w:val="28"/>
          <w:szCs w:val="28"/>
          <w:highlight w:val="none"/>
        </w:rPr>
        <w:t>国家企业信用信息公示系统网站</w:t>
      </w:r>
      <w:bookmarkEnd w:id="245"/>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46" w:name="OLE_LINK90"/>
      <w:bookmarkStart w:id="247" w:name="OLE_LINK89"/>
      <w:r>
        <w:rPr>
          <w:rStyle w:val="48"/>
          <w:rFonts w:hint="eastAsia" w:ascii="仿宋_GB2312" w:hAnsi="宋体" w:eastAsia="仿宋_GB2312"/>
          <w:color w:val="auto"/>
          <w:sz w:val="28"/>
          <w:szCs w:val="28"/>
          <w:highlight w:val="none"/>
        </w:rPr>
        <w:t>www.gsxt.gov.cn</w:t>
      </w:r>
      <w:bookmarkEnd w:id="246"/>
      <w:bookmarkEnd w:id="247"/>
      <w:r>
        <w:rPr>
          <w:rStyle w:val="48"/>
          <w:rFonts w:hint="eastAsia" w:ascii="仿宋_GB2312" w:hAnsi="宋体" w:eastAsia="仿宋_GB2312"/>
          <w:color w:val="auto"/>
          <w:sz w:val="28"/>
          <w:szCs w:val="28"/>
          <w:highlight w:val="none"/>
        </w:rPr>
        <w:t>）</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102BF7B1">
      <w:pPr>
        <w:adjustRightInd w:val="0"/>
        <w:snapToGrid w:val="0"/>
        <w:spacing w:line="560" w:lineRule="exact"/>
        <w:ind w:firstLine="560" w:firstLineChars="200"/>
        <w:rPr>
          <w:rFonts w:ascii="仿宋_GB2312" w:hAnsi="宋体" w:eastAsia="仿宋_GB2312"/>
          <w:color w:val="auto"/>
          <w:sz w:val="28"/>
          <w:szCs w:val="28"/>
          <w:highlight w:val="none"/>
        </w:rPr>
      </w:pPr>
      <w:bookmarkStart w:id="248" w:name="OLE_LINK121"/>
      <w:bookmarkStart w:id="249" w:name="OLE_LINK120"/>
      <w:bookmarkStart w:id="250" w:name="OLE_LINK122"/>
      <w:r>
        <w:rPr>
          <w:rFonts w:hint="eastAsia" w:ascii="仿宋_GB2312" w:hAnsi="宋体" w:eastAsia="仿宋_GB2312"/>
          <w:color w:val="auto"/>
          <w:sz w:val="28"/>
          <w:szCs w:val="28"/>
          <w:highlight w:val="none"/>
        </w:rPr>
        <w:t>①被列入“经营异常名录”或者“严重违法失信名单”的。</w:t>
      </w:r>
      <w:bookmarkEnd w:id="248"/>
      <w:bookmarkEnd w:id="249"/>
      <w:bookmarkEnd w:id="250"/>
    </w:p>
    <w:p w14:paraId="2F133A6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5169A97A">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51" w:name="OLE_LINK124"/>
      <w:bookmarkStart w:id="252"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471BB18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C39731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8BE14A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253" w:name="OLE_LINK108"/>
      <w:bookmarkStart w:id="254" w:name="OLE_LINK107"/>
      <w:r>
        <w:rPr>
          <w:rFonts w:hint="eastAsia" w:ascii="仿宋_GB2312" w:hAnsi="宋体" w:eastAsia="仿宋_GB2312"/>
          <w:color w:val="auto"/>
          <w:sz w:val="28"/>
          <w:szCs w:val="28"/>
          <w:highlight w:val="none"/>
        </w:rPr>
        <w:t>县级及以上有关行政主管部门限制投标资格且在限制期限内的</w:t>
      </w:r>
      <w:bookmarkEnd w:id="253"/>
      <w:bookmarkEnd w:id="254"/>
      <w:r>
        <w:rPr>
          <w:rFonts w:hint="eastAsia" w:ascii="仿宋_GB2312" w:hAnsi="宋体" w:eastAsia="仿宋_GB2312"/>
          <w:color w:val="auto"/>
          <w:sz w:val="28"/>
          <w:szCs w:val="28"/>
          <w:highlight w:val="none"/>
        </w:rPr>
        <w:t>；</w:t>
      </w:r>
    </w:p>
    <w:p w14:paraId="1ABA011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1"/>
    <w:bookmarkEnd w:id="252"/>
    <w:p w14:paraId="175DF1C1">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642678B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4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399316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5489C2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51528E0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242CA0C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062F78A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48"/>
          <w:rFonts w:hint="eastAsia" w:ascii="仿宋" w:hAnsi="仿宋" w:eastAsia="仿宋"/>
          <w:color w:val="auto"/>
          <w:sz w:val="28"/>
          <w:szCs w:val="28"/>
          <w:highlight w:val="none"/>
        </w:rPr>
        <w:t>www.gsxt.gov.cn）</w:t>
      </w:r>
      <w:r>
        <w:rPr>
          <w:rStyle w:val="48"/>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116141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255" w:name="OLE_LINK102"/>
      <w:bookmarkStart w:id="256" w:name="OLE_LINK100"/>
      <w:bookmarkStart w:id="257" w:name="OLE_LINK101"/>
      <w:r>
        <w:rPr>
          <w:rFonts w:hint="eastAsia" w:ascii="仿宋_GB2312" w:hAnsi="宋体" w:eastAsia="仿宋_GB2312"/>
          <w:color w:val="auto"/>
          <w:sz w:val="28"/>
          <w:szCs w:val="28"/>
          <w:highlight w:val="none"/>
        </w:rPr>
        <w:t>被列入“经营异常名录”或者“严重违法失信名单”的</w:t>
      </w:r>
      <w:bookmarkEnd w:id="255"/>
      <w:bookmarkEnd w:id="256"/>
      <w:bookmarkEnd w:id="257"/>
      <w:r>
        <w:rPr>
          <w:rFonts w:hint="eastAsia" w:ascii="仿宋_GB2312" w:hAnsi="宋体" w:eastAsia="仿宋_GB2312"/>
          <w:color w:val="auto"/>
          <w:sz w:val="28"/>
          <w:szCs w:val="28"/>
          <w:highlight w:val="none"/>
        </w:rPr>
        <w:t>。</w:t>
      </w:r>
    </w:p>
    <w:p w14:paraId="3923D30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258" w:name="OLE_LINK96"/>
      <w:bookmarkStart w:id="259"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4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258"/>
      <w:bookmarkEnd w:id="259"/>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2E1178A2">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260" w:name="OLE_LINK104"/>
      <w:bookmarkStart w:id="261" w:name="OLE_LINK106"/>
      <w:bookmarkStart w:id="262" w:name="OLE_LINK105"/>
      <w:r>
        <w:rPr>
          <w:rFonts w:hint="eastAsia" w:ascii="仿宋_GB2312" w:hAnsi="宋体" w:eastAsia="仿宋_GB2312"/>
          <w:color w:val="auto"/>
          <w:sz w:val="28"/>
          <w:szCs w:val="28"/>
          <w:highlight w:val="none"/>
        </w:rPr>
        <w:t>被列入“政府采购严重违法失信行为信息记录”的</w:t>
      </w:r>
      <w:bookmarkEnd w:id="260"/>
      <w:bookmarkEnd w:id="261"/>
      <w:bookmarkEnd w:id="262"/>
      <w:r>
        <w:rPr>
          <w:rFonts w:hint="eastAsia" w:ascii="仿宋_GB2312" w:hAnsi="宋体" w:eastAsia="仿宋_GB2312" w:cs="楷体"/>
          <w:color w:val="auto"/>
          <w:sz w:val="28"/>
          <w:szCs w:val="28"/>
          <w:highlight w:val="none"/>
        </w:rPr>
        <w:t>。</w:t>
      </w:r>
    </w:p>
    <w:p w14:paraId="6600B9F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22784C6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8465FE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0FE9CA3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F2BD8D">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AD7681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448F17B7">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72FC1A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BC3DE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031866B">
      <w:pPr>
        <w:wordWrap w:val="0"/>
        <w:adjustRightInd w:val="0"/>
        <w:snapToGrid w:val="0"/>
        <w:spacing w:line="560" w:lineRule="exact"/>
        <w:ind w:firstLine="560" w:firstLineChars="200"/>
        <w:rPr>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48"/>
          <w:rFonts w:hint="eastAsia" w:ascii="仿宋_GB2312" w:hAnsi="宋体" w:eastAsia="仿宋_GB2312"/>
          <w:color w:val="auto"/>
          <w:sz w:val="28"/>
          <w:szCs w:val="28"/>
          <w:highlight w:val="none"/>
        </w:rPr>
        <w:t>https://credit.ah.gov.cn/xinyong-fuwu/xvbahv/index.html</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011D27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C87C693">
      <w:pPr>
        <w:adjustRightInd w:val="0"/>
        <w:snapToGrid w:val="0"/>
        <w:spacing w:line="560" w:lineRule="exact"/>
        <w:ind w:firstLine="560" w:firstLineChars="200"/>
        <w:rPr>
          <w:rFonts w:ascii="仿宋" w:hAnsi="仿宋" w:eastAsia="仿宋"/>
          <w:color w:val="auto"/>
          <w:sz w:val="32"/>
          <w:szCs w:val="32"/>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89275AB">
      <w:pPr>
        <w:keepNext/>
        <w:keepLines/>
        <w:spacing w:before="200" w:after="200" w:line="600" w:lineRule="exact"/>
        <w:outlineLvl w:val="0"/>
        <w:rPr>
          <w:rFonts w:ascii="黑体" w:hAnsi="黑体" w:eastAsia="黑体"/>
          <w:b/>
          <w:bCs/>
          <w:color w:val="auto"/>
          <w:kern w:val="44"/>
          <w:sz w:val="36"/>
          <w:szCs w:val="28"/>
          <w:highlight w:val="none"/>
        </w:rPr>
      </w:pPr>
      <w:bookmarkStart w:id="263" w:name="_Toc95223549"/>
      <w:bookmarkStart w:id="264" w:name="OLE_LINK41"/>
      <w:bookmarkStart w:id="265" w:name="OLE_LINK31"/>
      <w:bookmarkStart w:id="266" w:name="OLE_LINK32"/>
      <w:r>
        <w:rPr>
          <w:rFonts w:hint="eastAsia" w:ascii="黑体" w:hAnsi="黑体" w:eastAsia="黑体"/>
          <w:b/>
          <w:bCs/>
          <w:color w:val="auto"/>
          <w:kern w:val="44"/>
          <w:sz w:val="36"/>
          <w:szCs w:val="28"/>
          <w:highlight w:val="none"/>
        </w:rPr>
        <w:t xml:space="preserve">附件2 </w:t>
      </w:r>
      <w:bookmarkStart w:id="267" w:name="OLE_LINK75"/>
      <w:bookmarkStart w:id="268" w:name="OLE_LINK74"/>
      <w:r>
        <w:rPr>
          <w:rFonts w:hint="eastAsia" w:ascii="黑体" w:hAnsi="黑体" w:eastAsia="黑体"/>
          <w:b/>
          <w:bCs/>
          <w:color w:val="auto"/>
          <w:kern w:val="44"/>
          <w:sz w:val="36"/>
          <w:szCs w:val="28"/>
          <w:highlight w:val="none"/>
        </w:rPr>
        <w:t>“信用中国”查询的严重失信行为</w:t>
      </w:r>
      <w:bookmarkStart w:id="269" w:name="OLE_LINK38"/>
      <w:bookmarkStart w:id="270" w:name="OLE_LINK39"/>
      <w:bookmarkStart w:id="271" w:name="OLE_LINK76"/>
      <w:bookmarkStart w:id="272" w:name="OLE_LINK40"/>
      <w:r>
        <w:rPr>
          <w:rFonts w:hint="eastAsia" w:ascii="黑体" w:hAnsi="黑体" w:eastAsia="黑体"/>
          <w:b/>
          <w:bCs/>
          <w:color w:val="auto"/>
          <w:kern w:val="44"/>
          <w:sz w:val="36"/>
          <w:szCs w:val="28"/>
          <w:highlight w:val="none"/>
        </w:rPr>
        <w:t>类别及判定依据</w:t>
      </w:r>
      <w:bookmarkEnd w:id="263"/>
      <w:bookmarkEnd w:id="267"/>
      <w:bookmarkEnd w:id="268"/>
      <w:bookmarkEnd w:id="269"/>
      <w:bookmarkEnd w:id="270"/>
      <w:bookmarkEnd w:id="271"/>
      <w:bookmarkEnd w:id="272"/>
    </w:p>
    <w:bookmarkEnd w:id="264"/>
    <w:bookmarkEnd w:id="265"/>
    <w:bookmarkEnd w:id="266"/>
    <w:p w14:paraId="2A35170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27684DD3">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FF04A0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072B11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2292924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A1372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9AD554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06F5396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820DF1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46B577E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C4393B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4ECF4E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6F7E34D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4AE22F24">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54F4089E">
      <w:pPr>
        <w:adjustRightInd w:val="0"/>
        <w:snapToGrid w:val="0"/>
        <w:spacing w:line="560" w:lineRule="exact"/>
        <w:ind w:firstLine="645"/>
        <w:jc w:val="left"/>
        <w:rPr>
          <w:rFonts w:ascii="仿宋_GB2312" w:hAnsi="宋体" w:eastAsia="仿宋_GB2312"/>
          <w:b/>
          <w:color w:val="auto"/>
          <w:sz w:val="28"/>
          <w:szCs w:val="28"/>
          <w:highlight w:val="none"/>
        </w:rPr>
      </w:pPr>
    </w:p>
    <w:p w14:paraId="52000D1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E37DB0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环境犯罪</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2DAAF15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建设项目环境影响评价</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8B57F7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竣工环保验收</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581874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5BFDD4B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923A2D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渗井</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大气污染物</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1288FC9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经营许可证</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0A46389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环境违法行为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FB5161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国家重点生态功能区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基本农田保护区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0B53A98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464889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28E4D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4BFE78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70028F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3FB7A08E">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73" w:name="OLE_LINK10"/>
      <w:bookmarkStart w:id="274"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273"/>
      <w:bookmarkEnd w:id="274"/>
      <w:r>
        <w:rPr>
          <w:rFonts w:hint="eastAsia" w:ascii="仿宋_GB2312" w:hAnsi="宋体" w:eastAsia="仿宋_GB2312"/>
          <w:b/>
          <w:color w:val="auto"/>
          <w:sz w:val="28"/>
          <w:szCs w:val="28"/>
          <w:highlight w:val="none"/>
        </w:rPr>
        <w:t>》、《</w:t>
      </w:r>
      <w:bookmarkStart w:id="275" w:name="OLE_LINK12"/>
      <w:bookmarkStart w:id="276" w:name="OLE_LINK11"/>
      <w:r>
        <w:rPr>
          <w:rFonts w:hint="eastAsia" w:ascii="仿宋_GB2312" w:hAnsi="宋体" w:eastAsia="仿宋_GB2312"/>
          <w:b/>
          <w:color w:val="auto"/>
          <w:sz w:val="28"/>
          <w:szCs w:val="28"/>
          <w:highlight w:val="none"/>
        </w:rPr>
        <w:t>企业环境信用评价办法（试行）</w:t>
      </w:r>
      <w:bookmarkEnd w:id="275"/>
      <w:bookmarkEnd w:id="276"/>
      <w:r>
        <w:rPr>
          <w:rFonts w:hint="eastAsia" w:ascii="仿宋_GB2312" w:hAnsi="宋体" w:eastAsia="仿宋_GB2312"/>
          <w:b/>
          <w:color w:val="auto"/>
          <w:sz w:val="28"/>
          <w:szCs w:val="28"/>
          <w:highlight w:val="none"/>
        </w:rPr>
        <w:t>》（环发〔2013〕150号）</w:t>
      </w:r>
    </w:p>
    <w:p w14:paraId="1C1E1B42">
      <w:pPr>
        <w:adjustRightInd w:val="0"/>
        <w:snapToGrid w:val="0"/>
        <w:spacing w:line="560" w:lineRule="exact"/>
        <w:ind w:firstLine="645"/>
        <w:jc w:val="left"/>
        <w:rPr>
          <w:rFonts w:ascii="仿宋_GB2312" w:hAnsi="宋体" w:eastAsia="仿宋_GB2312"/>
          <w:b/>
          <w:color w:val="auto"/>
          <w:sz w:val="28"/>
          <w:szCs w:val="28"/>
          <w:highlight w:val="none"/>
        </w:rPr>
      </w:pPr>
    </w:p>
    <w:p w14:paraId="40236DB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EA82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61C3DC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6DE316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6267DE8C">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AA10949">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56D43276">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5C9B5C5">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56B5FE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C339BE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54AB7F8E">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10C944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205C505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6BC5EB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678E212">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92C0D0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3CED7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1D259DA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29C41C2">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429BEB1B">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175F3E5F">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277" w:name="OLE_LINK13"/>
      <w:bookmarkStart w:id="278" w:name="OLE_LINK14"/>
      <w:r>
        <w:rPr>
          <w:rFonts w:hint="eastAsia" w:ascii="仿宋_GB2312" w:hAnsi="宋体" w:eastAsia="仿宋_GB2312"/>
          <w:b/>
          <w:color w:val="auto"/>
          <w:sz w:val="28"/>
          <w:szCs w:val="28"/>
          <w:highlight w:val="none"/>
        </w:rPr>
        <w:t>关于对公共资源交易领域严重失信主体开展联合惩戒的备忘录</w:t>
      </w:r>
      <w:bookmarkEnd w:id="277"/>
      <w:bookmarkEnd w:id="278"/>
      <w:r>
        <w:rPr>
          <w:rFonts w:hint="eastAsia" w:ascii="仿宋_GB2312" w:hAnsi="宋体" w:eastAsia="仿宋_GB2312"/>
          <w:b/>
          <w:color w:val="auto"/>
          <w:sz w:val="28"/>
          <w:szCs w:val="28"/>
          <w:highlight w:val="none"/>
        </w:rPr>
        <w:t>》（发改法规〔2018〕457号）</w:t>
      </w:r>
    </w:p>
    <w:p w14:paraId="208B5AA4">
      <w:pPr>
        <w:adjustRightInd w:val="0"/>
        <w:snapToGrid w:val="0"/>
        <w:spacing w:line="560" w:lineRule="exact"/>
        <w:ind w:firstLine="645"/>
        <w:jc w:val="left"/>
        <w:rPr>
          <w:rFonts w:ascii="仿宋_GB2312" w:hAnsi="宋体" w:eastAsia="仿宋_GB2312"/>
          <w:color w:val="auto"/>
          <w:sz w:val="28"/>
          <w:szCs w:val="28"/>
          <w:highlight w:val="none"/>
        </w:rPr>
      </w:pPr>
    </w:p>
    <w:p w14:paraId="2333961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6685686">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19E00217">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6DED2D3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7AF4B939">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3821E0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C97B457">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CE85A7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5E170D31">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18A209F">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1654BB62">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279" w:name="OLE_LINK16"/>
      <w:bookmarkStart w:id="280"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279"/>
      <w:bookmarkEnd w:id="280"/>
      <w:r>
        <w:rPr>
          <w:rFonts w:hint="eastAsia" w:ascii="仿宋_GB2312" w:hAnsi="Calibri" w:eastAsia="仿宋_GB2312"/>
          <w:b/>
          <w:color w:val="auto"/>
          <w:sz w:val="28"/>
          <w:szCs w:val="28"/>
          <w:highlight w:val="none"/>
        </w:rPr>
        <w:t>》（发改财金〔2018〕1704号）</w:t>
      </w:r>
    </w:p>
    <w:p w14:paraId="141DBE41">
      <w:pPr>
        <w:adjustRightInd w:val="0"/>
        <w:snapToGrid w:val="0"/>
        <w:spacing w:line="56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2A7FB085">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706C1A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363468C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2E905F19">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CB03A97">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1BA7E9F4">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B624A3C">
      <w:pPr>
        <w:ind w:firstLine="562" w:firstLineChars="200"/>
        <w:jc w:val="left"/>
        <w:rPr>
          <w:rFonts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281" w:name="OLE_LINK18"/>
      <w:bookmarkStart w:id="282" w:name="OLE_LINK17"/>
      <w:r>
        <w:rPr>
          <w:rFonts w:hint="eastAsia" w:ascii="仿宋_GB2312" w:hAnsi="Calibri" w:eastAsia="仿宋_GB2312"/>
          <w:b/>
          <w:color w:val="auto"/>
          <w:sz w:val="28"/>
          <w:szCs w:val="28"/>
          <w:highlight w:val="none"/>
        </w:rPr>
        <w:t>建筑市场信用管理暂行办法</w:t>
      </w:r>
      <w:bookmarkEnd w:id="281"/>
      <w:bookmarkEnd w:id="282"/>
      <w:r>
        <w:rPr>
          <w:rFonts w:hint="eastAsia" w:ascii="仿宋_GB2312" w:hAnsi="Calibri" w:eastAsia="仿宋_GB2312"/>
          <w:b/>
          <w:color w:val="auto"/>
          <w:sz w:val="28"/>
          <w:szCs w:val="28"/>
          <w:highlight w:val="none"/>
        </w:rPr>
        <w:t>》（建市〔2017〕241号）</w:t>
      </w:r>
    </w:p>
    <w:p w14:paraId="33990F58">
      <w:pPr>
        <w:adjustRightInd w:val="0"/>
        <w:snapToGrid w:val="0"/>
        <w:spacing w:line="560" w:lineRule="exact"/>
        <w:rPr>
          <w:rFonts w:ascii="仿宋_GB2312" w:hAnsi="宋体" w:eastAsia="仿宋_GB2312"/>
          <w:b/>
          <w:color w:val="auto"/>
          <w:sz w:val="28"/>
          <w:szCs w:val="28"/>
          <w:highlight w:val="none"/>
        </w:rPr>
      </w:pPr>
    </w:p>
    <w:p w14:paraId="4196238E">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283" w:name="OLE_LINK20"/>
      <w:bookmarkStart w:id="284" w:name="OLE_LINK19"/>
      <w:r>
        <w:rPr>
          <w:rFonts w:hint="eastAsia" w:ascii="仿宋_GB2312" w:hAnsi="宋体" w:eastAsia="仿宋_GB2312"/>
          <w:b/>
          <w:color w:val="auto"/>
          <w:sz w:val="28"/>
          <w:szCs w:val="28"/>
          <w:highlight w:val="none"/>
        </w:rPr>
        <w:t>政府采购严重失信行为</w:t>
      </w:r>
      <w:bookmarkEnd w:id="283"/>
      <w:bookmarkEnd w:id="284"/>
    </w:p>
    <w:p w14:paraId="43D721EC">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337EC375">
      <w:pPr>
        <w:adjustRightInd w:val="0"/>
        <w:snapToGrid w:val="0"/>
        <w:spacing w:line="560" w:lineRule="exact"/>
        <w:ind w:firstLine="562" w:firstLineChars="200"/>
        <w:jc w:val="left"/>
        <w:rPr>
          <w:rFonts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6A074A0">
      <w:pPr>
        <w:adjustRightInd w:val="0"/>
        <w:snapToGrid w:val="0"/>
        <w:spacing w:line="560" w:lineRule="exact"/>
        <w:rPr>
          <w:rFonts w:ascii="仿宋_GB2312" w:hAnsi="宋体" w:eastAsia="仿宋_GB2312"/>
          <w:b/>
          <w:color w:val="auto"/>
          <w:sz w:val="28"/>
          <w:szCs w:val="28"/>
          <w:highlight w:val="none"/>
        </w:rPr>
      </w:pPr>
    </w:p>
    <w:p w14:paraId="29400E83">
      <w:pPr>
        <w:pStyle w:val="36"/>
        <w:ind w:firstLine="281"/>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41ABE8EE">
      <w:pPr>
        <w:pStyle w:val="54"/>
        <w:rPr>
          <w:color w:val="auto"/>
          <w:highlight w:val="none"/>
        </w:rPr>
      </w:pPr>
    </w:p>
    <w:p w14:paraId="451F41FB">
      <w:pPr>
        <w:pStyle w:val="54"/>
        <w:rPr>
          <w:color w:val="auto"/>
          <w:highlight w:val="none"/>
        </w:rPr>
      </w:pPr>
    </w:p>
    <w:p w14:paraId="5FFAC834">
      <w:pPr>
        <w:pStyle w:val="54"/>
        <w:rPr>
          <w:color w:val="auto"/>
          <w:highlight w:val="none"/>
        </w:rPr>
      </w:pPr>
    </w:p>
    <w:p w14:paraId="57CF1F21">
      <w:pPr>
        <w:pStyle w:val="54"/>
        <w:rPr>
          <w:color w:val="auto"/>
          <w:highlight w:val="none"/>
        </w:rPr>
      </w:pPr>
    </w:p>
    <w:p w14:paraId="3DBBAB4F">
      <w:pPr>
        <w:pStyle w:val="54"/>
        <w:rPr>
          <w:color w:val="auto"/>
          <w:highlight w:val="none"/>
        </w:rPr>
      </w:pPr>
    </w:p>
    <w:p w14:paraId="1A33EBBE">
      <w:pPr>
        <w:pStyle w:val="54"/>
        <w:rPr>
          <w:color w:val="auto"/>
          <w:highlight w:val="none"/>
        </w:rPr>
      </w:pPr>
    </w:p>
    <w:p w14:paraId="08EE0EE5">
      <w:pPr>
        <w:pStyle w:val="54"/>
        <w:rPr>
          <w:color w:val="auto"/>
          <w:highlight w:val="none"/>
        </w:rPr>
      </w:pPr>
    </w:p>
    <w:p w14:paraId="23338191">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lang w:val="en-US" w:eastAsia="zh-CN"/>
        </w:rPr>
        <w:t xml:space="preserve">第七章 </w:t>
      </w:r>
      <w:r>
        <w:rPr>
          <w:rFonts w:hint="eastAsia" w:ascii="宋体"/>
          <w:b/>
          <w:color w:val="auto"/>
          <w:sz w:val="32"/>
          <w:szCs w:val="32"/>
          <w:highlight w:val="none"/>
        </w:rPr>
        <w:t>招标人、招标代理机构对本招标文件的确认</w:t>
      </w:r>
      <w:bookmarkEnd w:id="218"/>
      <w:bookmarkEnd w:id="219"/>
    </w:p>
    <w:p w14:paraId="5F2F53C1">
      <w:pPr>
        <w:spacing w:line="440" w:lineRule="exact"/>
        <w:rPr>
          <w:rFonts w:ascii="宋体"/>
          <w:color w:val="auto"/>
          <w:sz w:val="24"/>
          <w:highlight w:val="none"/>
          <w:u w:val="single"/>
        </w:rPr>
      </w:pPr>
    </w:p>
    <w:tbl>
      <w:tblPr>
        <w:tblStyle w:val="37"/>
        <w:tblW w:w="0" w:type="auto"/>
        <w:jc w:val="center"/>
        <w:tblLayout w:type="fixed"/>
        <w:tblCellMar>
          <w:top w:w="0" w:type="dxa"/>
          <w:left w:w="108" w:type="dxa"/>
          <w:bottom w:w="0" w:type="dxa"/>
          <w:right w:w="108" w:type="dxa"/>
        </w:tblCellMar>
      </w:tblPr>
      <w:tblGrid>
        <w:gridCol w:w="9374"/>
      </w:tblGrid>
      <w:tr w14:paraId="7FE0894B">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tcPr>
          <w:p w14:paraId="7989FC85">
            <w:pPr>
              <w:spacing w:line="440" w:lineRule="exact"/>
              <w:ind w:firstLine="560" w:firstLineChars="200"/>
              <w:rPr>
                <w:rFonts w:ascii="宋体" w:cs="宋体"/>
                <w:color w:val="auto"/>
                <w:sz w:val="28"/>
                <w:szCs w:val="28"/>
                <w:highlight w:val="none"/>
              </w:rPr>
            </w:pPr>
          </w:p>
          <w:p w14:paraId="7601DF96">
            <w:pPr>
              <w:spacing w:line="360" w:lineRule="auto"/>
              <w:ind w:firstLine="560" w:firstLineChars="200"/>
              <w:rPr>
                <w:rFonts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rPr>
              <w:t>滁州市公安局市局大楼民辅警理发服务项目</w:t>
            </w:r>
            <w:r>
              <w:rPr>
                <w:rFonts w:hint="eastAsia" w:ascii="宋体" w:cs="宋体"/>
                <w:color w:val="auto"/>
                <w:sz w:val="28"/>
                <w:szCs w:val="28"/>
                <w:highlight w:val="none"/>
              </w:rPr>
              <w:t>的招标文件进行确认。</w:t>
            </w:r>
          </w:p>
          <w:p w14:paraId="13DD3EC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招标单位：滁州市公安局</w:t>
            </w:r>
          </w:p>
          <w:p w14:paraId="43AE1AD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委托代理人：米主任 </w:t>
            </w:r>
          </w:p>
          <w:p w14:paraId="12E339D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联系电话：0550-3064711转2078</w:t>
            </w:r>
          </w:p>
          <w:p w14:paraId="5BFD302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（盖单位章）</w:t>
            </w:r>
          </w:p>
          <w:p w14:paraId="2CD10CB5">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2026年6月</w:t>
            </w:r>
          </w:p>
        </w:tc>
      </w:tr>
      <w:tr w14:paraId="745573B2">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tcPr>
          <w:p w14:paraId="3E4D6F7B">
            <w:pPr>
              <w:spacing w:line="440" w:lineRule="exact"/>
              <w:rPr>
                <w:rFonts w:ascii="宋体" w:cs="宋体"/>
                <w:color w:val="auto"/>
                <w:sz w:val="28"/>
                <w:szCs w:val="28"/>
                <w:highlight w:val="none"/>
              </w:rPr>
            </w:pPr>
          </w:p>
          <w:p w14:paraId="7D547AAF">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797E9B1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经办人：周晓培</w:t>
            </w:r>
          </w:p>
          <w:p w14:paraId="5873046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话：0550-3519512、18255055896</w:t>
            </w:r>
          </w:p>
          <w:p w14:paraId="2A684330">
            <w:pPr>
              <w:spacing w:line="520" w:lineRule="exact"/>
              <w:ind w:firstLine="6300" w:firstLineChars="2250"/>
              <w:rPr>
                <w:rFonts w:ascii="宋体" w:cs="宋体"/>
                <w:color w:val="auto"/>
                <w:sz w:val="28"/>
                <w:szCs w:val="28"/>
                <w:highlight w:val="none"/>
              </w:rPr>
            </w:pPr>
          </w:p>
          <w:p w14:paraId="199A1E52">
            <w:pPr>
              <w:pStyle w:val="2"/>
              <w:rPr>
                <w:color w:val="auto"/>
                <w:highlight w:val="none"/>
              </w:rPr>
            </w:pPr>
          </w:p>
          <w:p w14:paraId="69EE625B">
            <w:pPr>
              <w:spacing w:line="520" w:lineRule="exact"/>
              <w:ind w:firstLine="6580" w:firstLineChars="2350"/>
              <w:rPr>
                <w:rFonts w:ascii="宋体" w:cs="宋体"/>
                <w:color w:val="auto"/>
                <w:sz w:val="28"/>
                <w:szCs w:val="28"/>
                <w:highlight w:val="none"/>
              </w:rPr>
            </w:pPr>
          </w:p>
          <w:p w14:paraId="71E00EED">
            <w:pPr>
              <w:spacing w:line="520" w:lineRule="exact"/>
              <w:jc w:val="right"/>
              <w:rPr>
                <w:rFonts w:ascii="宋体" w:cs="宋体"/>
                <w:color w:val="auto"/>
                <w:sz w:val="28"/>
                <w:szCs w:val="28"/>
                <w:highlight w:val="none"/>
              </w:rPr>
            </w:pPr>
            <w:r>
              <w:rPr>
                <w:rFonts w:hint="eastAsia" w:ascii="宋体" w:cs="宋体"/>
                <w:color w:val="auto"/>
                <w:sz w:val="28"/>
                <w:szCs w:val="28"/>
                <w:highlight w:val="none"/>
              </w:rPr>
              <w:t>（盖单位章）</w:t>
            </w:r>
          </w:p>
          <w:p w14:paraId="5CE83B64">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2026年6月</w:t>
            </w:r>
          </w:p>
        </w:tc>
      </w:tr>
      <w:bookmarkEnd w:id="0"/>
    </w:tbl>
    <w:p w14:paraId="4DF360D0">
      <w:pPr>
        <w:rPr>
          <w:color w:val="auto"/>
          <w:highlight w:val="none"/>
        </w:rPr>
      </w:pPr>
    </w:p>
    <w:sectPr>
      <w:headerReference r:id="rId10" w:type="default"/>
      <w:footerReference r:id="rId11" w:type="default"/>
      <w:pgSz w:w="11906" w:h="16838"/>
      <w:pgMar w:top="1270" w:right="1020" w:bottom="1270" w:left="102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0000000000000000000"/>
    <w:charset w:val="00"/>
    <w:family w:val="swiss"/>
    <w:pitch w:val="default"/>
    <w:sig w:usb0="00000000" w:usb1="00000000" w:usb2="00000000" w:usb3="00000000" w:csb0="4001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7B58">
    <w:pPr>
      <w:pStyle w:val="2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EF31">
    <w:pPr>
      <w:pStyle w:val="26"/>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29F9B039">
    <w:pPr>
      <w:pStyle w:val="2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3281">
    <w:pPr>
      <w:pStyle w:val="26"/>
      <w:framePr w:wrap="around" w:vAnchor="text" w:hAnchor="margin" w:xAlign="center" w:y="1"/>
      <w:tabs>
        <w:tab w:val="clear" w:pos="4153"/>
        <w:tab w:val="clear" w:pos="8306"/>
      </w:tabs>
      <w:rPr>
        <w:rStyle w:val="41"/>
      </w:rPr>
    </w:pPr>
  </w:p>
  <w:p w14:paraId="1975DC7B">
    <w:pPr>
      <w:pStyle w:val="26"/>
      <w:tabs>
        <w:tab w:val="clear" w:pos="4153"/>
        <w:tab w:val="clear" w:pos="8306"/>
      </w:tabs>
      <w:rPr>
        <w:szCs w:val="21"/>
      </w:rPr>
    </w:pPr>
  </w:p>
  <w:p w14:paraId="6AA629EF">
    <w:pPr>
      <w:pStyle w:val="2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39640">
    <w:pPr>
      <w:pStyle w:val="26"/>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9D0D9">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C9D0D9">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41E7">
    <w:pPr>
      <w:pStyle w:val="26"/>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E4E64">
                          <w:pPr>
                            <w:pStyle w:val="2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0E4E64">
                    <w:pPr>
                      <w:pStyle w:val="2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4FB10">
    <w:pPr>
      <w:pStyle w:val="2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4D43">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83ED">
    <w:pPr>
      <w:pStyle w:val="27"/>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9A73">
    <w:pPr>
      <w:pStyle w:val="2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21"/>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4"/>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7"/>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4"/>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9"/>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5DE7"/>
    <w:rsid w:val="0000620B"/>
    <w:rsid w:val="0000682D"/>
    <w:rsid w:val="00007272"/>
    <w:rsid w:val="00007892"/>
    <w:rsid w:val="00011FD2"/>
    <w:rsid w:val="0001207D"/>
    <w:rsid w:val="00012CBB"/>
    <w:rsid w:val="00012CFA"/>
    <w:rsid w:val="00013187"/>
    <w:rsid w:val="000131BA"/>
    <w:rsid w:val="00014B17"/>
    <w:rsid w:val="000152FA"/>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519"/>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658"/>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5579"/>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AD8"/>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B32"/>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0DC"/>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5B60"/>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4BA3"/>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33E"/>
    <w:rsid w:val="004B1BB6"/>
    <w:rsid w:val="004B21D8"/>
    <w:rsid w:val="004B2282"/>
    <w:rsid w:val="004B3258"/>
    <w:rsid w:val="004B36C2"/>
    <w:rsid w:val="004B3765"/>
    <w:rsid w:val="004B39C1"/>
    <w:rsid w:val="004B3D77"/>
    <w:rsid w:val="004B46CA"/>
    <w:rsid w:val="004B4B38"/>
    <w:rsid w:val="004B6214"/>
    <w:rsid w:val="004B67D1"/>
    <w:rsid w:val="004B6863"/>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4F6D69"/>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3E5A"/>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48"/>
    <w:rsid w:val="0056185D"/>
    <w:rsid w:val="00561DE3"/>
    <w:rsid w:val="005623A4"/>
    <w:rsid w:val="00562825"/>
    <w:rsid w:val="00562CB9"/>
    <w:rsid w:val="00563E7F"/>
    <w:rsid w:val="005651DF"/>
    <w:rsid w:val="0056536A"/>
    <w:rsid w:val="0056585D"/>
    <w:rsid w:val="00566026"/>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4DC"/>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152"/>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28"/>
    <w:rsid w:val="006C119B"/>
    <w:rsid w:val="006C1DF0"/>
    <w:rsid w:val="006C208C"/>
    <w:rsid w:val="006C2803"/>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B79"/>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162"/>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19A9"/>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D88"/>
    <w:rsid w:val="007A2E94"/>
    <w:rsid w:val="007A38B9"/>
    <w:rsid w:val="007A3A13"/>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29A"/>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9DA"/>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43EA"/>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57D1"/>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4DA9"/>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4E"/>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279"/>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5E65"/>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D7D81"/>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5D6E"/>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21B1"/>
    <w:rsid w:val="00D6300D"/>
    <w:rsid w:val="00D63840"/>
    <w:rsid w:val="00D64361"/>
    <w:rsid w:val="00D64AAF"/>
    <w:rsid w:val="00D64ADE"/>
    <w:rsid w:val="00D64C44"/>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2B5"/>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976"/>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3AD7"/>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C2F"/>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56C5"/>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58D"/>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0E6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BCE"/>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611507"/>
    <w:rsid w:val="01727AD4"/>
    <w:rsid w:val="018C519F"/>
    <w:rsid w:val="01910A08"/>
    <w:rsid w:val="01A56261"/>
    <w:rsid w:val="01CE57B8"/>
    <w:rsid w:val="01F30A1B"/>
    <w:rsid w:val="02136A35"/>
    <w:rsid w:val="02263E9A"/>
    <w:rsid w:val="02276CDB"/>
    <w:rsid w:val="02602E58"/>
    <w:rsid w:val="026A14A8"/>
    <w:rsid w:val="0284108D"/>
    <w:rsid w:val="02846ED2"/>
    <w:rsid w:val="028C11CF"/>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A64C7"/>
    <w:rsid w:val="04BD2AAB"/>
    <w:rsid w:val="04C00E1E"/>
    <w:rsid w:val="04C90D1F"/>
    <w:rsid w:val="050138D2"/>
    <w:rsid w:val="05037796"/>
    <w:rsid w:val="05047743"/>
    <w:rsid w:val="05072DB3"/>
    <w:rsid w:val="051E0804"/>
    <w:rsid w:val="055C132D"/>
    <w:rsid w:val="05713E65"/>
    <w:rsid w:val="05777F14"/>
    <w:rsid w:val="057F7413"/>
    <w:rsid w:val="05903973"/>
    <w:rsid w:val="059302F0"/>
    <w:rsid w:val="05B55DC4"/>
    <w:rsid w:val="05C56ED2"/>
    <w:rsid w:val="05EB7E30"/>
    <w:rsid w:val="0600615C"/>
    <w:rsid w:val="0619721E"/>
    <w:rsid w:val="061B5170"/>
    <w:rsid w:val="062459A5"/>
    <w:rsid w:val="06304C93"/>
    <w:rsid w:val="06441AEE"/>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7443"/>
    <w:rsid w:val="0B5C5BE2"/>
    <w:rsid w:val="0B6B051B"/>
    <w:rsid w:val="0B6E6353"/>
    <w:rsid w:val="0B762476"/>
    <w:rsid w:val="0B7B2E88"/>
    <w:rsid w:val="0B8415DD"/>
    <w:rsid w:val="0B842ECF"/>
    <w:rsid w:val="0BA53A0C"/>
    <w:rsid w:val="0BA8462C"/>
    <w:rsid w:val="0BD10EF4"/>
    <w:rsid w:val="0BEC0639"/>
    <w:rsid w:val="0BED0F30"/>
    <w:rsid w:val="0BED19DF"/>
    <w:rsid w:val="0C130BB2"/>
    <w:rsid w:val="0C193B8E"/>
    <w:rsid w:val="0C1C4E30"/>
    <w:rsid w:val="0C2653A0"/>
    <w:rsid w:val="0C392862"/>
    <w:rsid w:val="0C403BDE"/>
    <w:rsid w:val="0C447B66"/>
    <w:rsid w:val="0C4B726D"/>
    <w:rsid w:val="0C563442"/>
    <w:rsid w:val="0C56723C"/>
    <w:rsid w:val="0C6172A8"/>
    <w:rsid w:val="0C782EF0"/>
    <w:rsid w:val="0C7B0EF4"/>
    <w:rsid w:val="0C7D0C73"/>
    <w:rsid w:val="0C8E44C1"/>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00541F"/>
    <w:rsid w:val="0F16254C"/>
    <w:rsid w:val="0F1E6594"/>
    <w:rsid w:val="0F295746"/>
    <w:rsid w:val="0F2B6888"/>
    <w:rsid w:val="0F4F5F19"/>
    <w:rsid w:val="0F547B71"/>
    <w:rsid w:val="0F590199"/>
    <w:rsid w:val="0F7936CC"/>
    <w:rsid w:val="0F882744"/>
    <w:rsid w:val="0F8F3081"/>
    <w:rsid w:val="0FA5195F"/>
    <w:rsid w:val="0FAD4701"/>
    <w:rsid w:val="0FD146C5"/>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49120C"/>
    <w:rsid w:val="125735A8"/>
    <w:rsid w:val="125E4649"/>
    <w:rsid w:val="12653E6A"/>
    <w:rsid w:val="127658D7"/>
    <w:rsid w:val="12864FA7"/>
    <w:rsid w:val="12957C2C"/>
    <w:rsid w:val="12CC7D65"/>
    <w:rsid w:val="12DE720E"/>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0A39"/>
    <w:rsid w:val="13A12FBB"/>
    <w:rsid w:val="13C44C6D"/>
    <w:rsid w:val="13F53078"/>
    <w:rsid w:val="13FD017F"/>
    <w:rsid w:val="1400703C"/>
    <w:rsid w:val="14024E31"/>
    <w:rsid w:val="140B464A"/>
    <w:rsid w:val="142F0857"/>
    <w:rsid w:val="1444680B"/>
    <w:rsid w:val="14473B09"/>
    <w:rsid w:val="14526E7B"/>
    <w:rsid w:val="145853B5"/>
    <w:rsid w:val="146BBA68"/>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AC459E"/>
    <w:rsid w:val="16BB08D6"/>
    <w:rsid w:val="16C33CD0"/>
    <w:rsid w:val="16C86EEE"/>
    <w:rsid w:val="16CF74AC"/>
    <w:rsid w:val="16D62899"/>
    <w:rsid w:val="16D86AD9"/>
    <w:rsid w:val="16E24DAF"/>
    <w:rsid w:val="16E478E9"/>
    <w:rsid w:val="16F21AF1"/>
    <w:rsid w:val="16F45869"/>
    <w:rsid w:val="17025136"/>
    <w:rsid w:val="17080CB3"/>
    <w:rsid w:val="17104E33"/>
    <w:rsid w:val="171E6442"/>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AF1F1B"/>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46E20"/>
    <w:rsid w:val="1B453F87"/>
    <w:rsid w:val="1B4A02FA"/>
    <w:rsid w:val="1B570174"/>
    <w:rsid w:val="1B6D0A69"/>
    <w:rsid w:val="1B7D2468"/>
    <w:rsid w:val="1B886580"/>
    <w:rsid w:val="1B97497A"/>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8D3DC1"/>
    <w:rsid w:val="1CCB47C0"/>
    <w:rsid w:val="1CE27F12"/>
    <w:rsid w:val="1CE65C54"/>
    <w:rsid w:val="1CF3330B"/>
    <w:rsid w:val="1D0C2883"/>
    <w:rsid w:val="1D3B1144"/>
    <w:rsid w:val="1D44297A"/>
    <w:rsid w:val="1D4E4561"/>
    <w:rsid w:val="1D703128"/>
    <w:rsid w:val="1D7C5FBA"/>
    <w:rsid w:val="1D81336E"/>
    <w:rsid w:val="1D835251"/>
    <w:rsid w:val="1D9F19C4"/>
    <w:rsid w:val="1DA575B0"/>
    <w:rsid w:val="1DAF24EA"/>
    <w:rsid w:val="1DB375C5"/>
    <w:rsid w:val="1DB46449"/>
    <w:rsid w:val="1DBC69B5"/>
    <w:rsid w:val="1DC332DD"/>
    <w:rsid w:val="1DD71A40"/>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896D6A"/>
    <w:rsid w:val="1FA51C58"/>
    <w:rsid w:val="1FA7649E"/>
    <w:rsid w:val="1FBE7B22"/>
    <w:rsid w:val="1FF7BA94"/>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9D5007"/>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2570"/>
    <w:rsid w:val="24A773D3"/>
    <w:rsid w:val="24B65FDB"/>
    <w:rsid w:val="24D825A9"/>
    <w:rsid w:val="24DB6D9D"/>
    <w:rsid w:val="24F904EE"/>
    <w:rsid w:val="25237319"/>
    <w:rsid w:val="25276E09"/>
    <w:rsid w:val="253311F6"/>
    <w:rsid w:val="253B3193"/>
    <w:rsid w:val="25552E9E"/>
    <w:rsid w:val="255866F6"/>
    <w:rsid w:val="256242E5"/>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12632"/>
    <w:rsid w:val="286D1F27"/>
    <w:rsid w:val="28924EE2"/>
    <w:rsid w:val="28975940"/>
    <w:rsid w:val="28A2738B"/>
    <w:rsid w:val="28A86838"/>
    <w:rsid w:val="28C4031B"/>
    <w:rsid w:val="28CB6760"/>
    <w:rsid w:val="28DA7C9C"/>
    <w:rsid w:val="28EC71CA"/>
    <w:rsid w:val="290B259E"/>
    <w:rsid w:val="291D0C4F"/>
    <w:rsid w:val="2924258A"/>
    <w:rsid w:val="29274E04"/>
    <w:rsid w:val="293F46A3"/>
    <w:rsid w:val="294029BB"/>
    <w:rsid w:val="29683511"/>
    <w:rsid w:val="296D1EE4"/>
    <w:rsid w:val="29944EB8"/>
    <w:rsid w:val="299C4433"/>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54F43"/>
    <w:rsid w:val="2BBE3714"/>
    <w:rsid w:val="2BBF02A4"/>
    <w:rsid w:val="2BD24D2D"/>
    <w:rsid w:val="2BDE71AB"/>
    <w:rsid w:val="2BEE51CA"/>
    <w:rsid w:val="2BF8505C"/>
    <w:rsid w:val="2C3B319A"/>
    <w:rsid w:val="2C3C1A6A"/>
    <w:rsid w:val="2C540D91"/>
    <w:rsid w:val="2C6537E2"/>
    <w:rsid w:val="2C6C7279"/>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BB358E"/>
    <w:rsid w:val="2FCB7EDC"/>
    <w:rsid w:val="2FD656B4"/>
    <w:rsid w:val="2FD951A4"/>
    <w:rsid w:val="2FE60F0B"/>
    <w:rsid w:val="2FF150C3"/>
    <w:rsid w:val="2FFE3400"/>
    <w:rsid w:val="2FFFC364"/>
    <w:rsid w:val="301B0290"/>
    <w:rsid w:val="303C4D07"/>
    <w:rsid w:val="30647164"/>
    <w:rsid w:val="306C3ED5"/>
    <w:rsid w:val="306C6C6A"/>
    <w:rsid w:val="306D3F93"/>
    <w:rsid w:val="30711C4D"/>
    <w:rsid w:val="308A649E"/>
    <w:rsid w:val="308E5A68"/>
    <w:rsid w:val="30A2226B"/>
    <w:rsid w:val="30BB2AFC"/>
    <w:rsid w:val="30C22649"/>
    <w:rsid w:val="30D90D23"/>
    <w:rsid w:val="30DC08E6"/>
    <w:rsid w:val="30E97669"/>
    <w:rsid w:val="311F65DE"/>
    <w:rsid w:val="312E022B"/>
    <w:rsid w:val="314221E6"/>
    <w:rsid w:val="314A45AB"/>
    <w:rsid w:val="314D7BF8"/>
    <w:rsid w:val="31534D0D"/>
    <w:rsid w:val="317118EE"/>
    <w:rsid w:val="318555E4"/>
    <w:rsid w:val="318A3760"/>
    <w:rsid w:val="31C84C92"/>
    <w:rsid w:val="31D163B5"/>
    <w:rsid w:val="31D976DD"/>
    <w:rsid w:val="31DE4220"/>
    <w:rsid w:val="31DE505D"/>
    <w:rsid w:val="31EA3699"/>
    <w:rsid w:val="3201528F"/>
    <w:rsid w:val="321B5F48"/>
    <w:rsid w:val="322F3FB8"/>
    <w:rsid w:val="32391589"/>
    <w:rsid w:val="324C06E6"/>
    <w:rsid w:val="324C4353"/>
    <w:rsid w:val="32537654"/>
    <w:rsid w:val="32586854"/>
    <w:rsid w:val="327775A4"/>
    <w:rsid w:val="32794A1C"/>
    <w:rsid w:val="327B7589"/>
    <w:rsid w:val="328B4E7C"/>
    <w:rsid w:val="32931F82"/>
    <w:rsid w:val="32B36180"/>
    <w:rsid w:val="32BB5035"/>
    <w:rsid w:val="32C43EEA"/>
    <w:rsid w:val="32CD6692"/>
    <w:rsid w:val="32D71710"/>
    <w:rsid w:val="32D94B0D"/>
    <w:rsid w:val="32E70612"/>
    <w:rsid w:val="32E91BA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C148CD"/>
    <w:rsid w:val="33D4718D"/>
    <w:rsid w:val="33E54418"/>
    <w:rsid w:val="33F07509"/>
    <w:rsid w:val="33F627C9"/>
    <w:rsid w:val="341A5E10"/>
    <w:rsid w:val="34272982"/>
    <w:rsid w:val="342804A8"/>
    <w:rsid w:val="343C7EFD"/>
    <w:rsid w:val="34472085"/>
    <w:rsid w:val="34572B3B"/>
    <w:rsid w:val="3474193F"/>
    <w:rsid w:val="347A4AA6"/>
    <w:rsid w:val="349D2A27"/>
    <w:rsid w:val="34BA5036"/>
    <w:rsid w:val="34BC5AFA"/>
    <w:rsid w:val="34D337DA"/>
    <w:rsid w:val="34D6600F"/>
    <w:rsid w:val="34E007B1"/>
    <w:rsid w:val="34EE34A0"/>
    <w:rsid w:val="34FA7F15"/>
    <w:rsid w:val="34FB24F0"/>
    <w:rsid w:val="352930DB"/>
    <w:rsid w:val="353B59DD"/>
    <w:rsid w:val="35534E88"/>
    <w:rsid w:val="355A14CA"/>
    <w:rsid w:val="35633752"/>
    <w:rsid w:val="3569521C"/>
    <w:rsid w:val="356D5CBB"/>
    <w:rsid w:val="35794E97"/>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7F9231C"/>
    <w:rsid w:val="38172D0E"/>
    <w:rsid w:val="3828002D"/>
    <w:rsid w:val="38317A04"/>
    <w:rsid w:val="38430BE0"/>
    <w:rsid w:val="384B5B0E"/>
    <w:rsid w:val="38591578"/>
    <w:rsid w:val="385B0E4C"/>
    <w:rsid w:val="385C66C2"/>
    <w:rsid w:val="38645F08"/>
    <w:rsid w:val="38697E97"/>
    <w:rsid w:val="387168C2"/>
    <w:rsid w:val="3885236D"/>
    <w:rsid w:val="3888121E"/>
    <w:rsid w:val="389B1BDF"/>
    <w:rsid w:val="38A1659F"/>
    <w:rsid w:val="38AF2F46"/>
    <w:rsid w:val="38C95821"/>
    <w:rsid w:val="38F02478"/>
    <w:rsid w:val="390239BE"/>
    <w:rsid w:val="39180C1C"/>
    <w:rsid w:val="392A1B36"/>
    <w:rsid w:val="392A34F7"/>
    <w:rsid w:val="392A4E38"/>
    <w:rsid w:val="392E20B7"/>
    <w:rsid w:val="393A6E69"/>
    <w:rsid w:val="395D0BF4"/>
    <w:rsid w:val="39675500"/>
    <w:rsid w:val="396B1563"/>
    <w:rsid w:val="39754190"/>
    <w:rsid w:val="39BF57BB"/>
    <w:rsid w:val="39CD2DB0"/>
    <w:rsid w:val="39D92970"/>
    <w:rsid w:val="39FE7012"/>
    <w:rsid w:val="3A0D5454"/>
    <w:rsid w:val="3A1172F4"/>
    <w:rsid w:val="3A23599A"/>
    <w:rsid w:val="3A255086"/>
    <w:rsid w:val="3A2E4C8D"/>
    <w:rsid w:val="3A35147E"/>
    <w:rsid w:val="3A443B62"/>
    <w:rsid w:val="3A446EBF"/>
    <w:rsid w:val="3A4B4EF0"/>
    <w:rsid w:val="3A514258"/>
    <w:rsid w:val="3A6802CC"/>
    <w:rsid w:val="3A684F47"/>
    <w:rsid w:val="3A6A4A9F"/>
    <w:rsid w:val="3A7D77A0"/>
    <w:rsid w:val="3A810023"/>
    <w:rsid w:val="3A860F49"/>
    <w:rsid w:val="3AA1177A"/>
    <w:rsid w:val="3ABC194A"/>
    <w:rsid w:val="3AF37A62"/>
    <w:rsid w:val="3AF61300"/>
    <w:rsid w:val="3AF92B9E"/>
    <w:rsid w:val="3AFB6916"/>
    <w:rsid w:val="3AFD73E8"/>
    <w:rsid w:val="3B381919"/>
    <w:rsid w:val="3B615DAA"/>
    <w:rsid w:val="3B944458"/>
    <w:rsid w:val="3B954675"/>
    <w:rsid w:val="3B9823B7"/>
    <w:rsid w:val="3BA40AA5"/>
    <w:rsid w:val="3BAF7463"/>
    <w:rsid w:val="3BB271C7"/>
    <w:rsid w:val="3BB557AB"/>
    <w:rsid w:val="3BBF5B96"/>
    <w:rsid w:val="3BC744EA"/>
    <w:rsid w:val="3BD60968"/>
    <w:rsid w:val="3C225816"/>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B21D4"/>
    <w:rsid w:val="3D8C367A"/>
    <w:rsid w:val="3DB039E8"/>
    <w:rsid w:val="3DB648AA"/>
    <w:rsid w:val="3DC01751"/>
    <w:rsid w:val="3DCF2188"/>
    <w:rsid w:val="3DD1570D"/>
    <w:rsid w:val="3DDE7492"/>
    <w:rsid w:val="3DF2026B"/>
    <w:rsid w:val="3DF80EEB"/>
    <w:rsid w:val="3DFA1107"/>
    <w:rsid w:val="3DFF04CC"/>
    <w:rsid w:val="3E24689A"/>
    <w:rsid w:val="3E557A55"/>
    <w:rsid w:val="3E5D2794"/>
    <w:rsid w:val="3E8134BC"/>
    <w:rsid w:val="3E864749"/>
    <w:rsid w:val="3E8D1F7B"/>
    <w:rsid w:val="3E9073D3"/>
    <w:rsid w:val="3E993583"/>
    <w:rsid w:val="3EAC582F"/>
    <w:rsid w:val="3EC80F65"/>
    <w:rsid w:val="3ED35D96"/>
    <w:rsid w:val="3EE0310F"/>
    <w:rsid w:val="3F21764F"/>
    <w:rsid w:val="3F270382"/>
    <w:rsid w:val="3F4D34B9"/>
    <w:rsid w:val="3F5C61BC"/>
    <w:rsid w:val="3F5E1222"/>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810BD"/>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23B0"/>
    <w:rsid w:val="44665E49"/>
    <w:rsid w:val="446C618F"/>
    <w:rsid w:val="448F024A"/>
    <w:rsid w:val="44B26298"/>
    <w:rsid w:val="44BE2E8F"/>
    <w:rsid w:val="44C465C9"/>
    <w:rsid w:val="44C86593"/>
    <w:rsid w:val="44D02189"/>
    <w:rsid w:val="44D73F50"/>
    <w:rsid w:val="44FC1D24"/>
    <w:rsid w:val="44FE1514"/>
    <w:rsid w:val="451008C2"/>
    <w:rsid w:val="451277B0"/>
    <w:rsid w:val="45246F22"/>
    <w:rsid w:val="452470E5"/>
    <w:rsid w:val="45280308"/>
    <w:rsid w:val="453606C6"/>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56910"/>
    <w:rsid w:val="46FC1214"/>
    <w:rsid w:val="47021DBA"/>
    <w:rsid w:val="470B38B4"/>
    <w:rsid w:val="471F2FD5"/>
    <w:rsid w:val="475D3DAD"/>
    <w:rsid w:val="479C5383"/>
    <w:rsid w:val="479F646B"/>
    <w:rsid w:val="47A56FB4"/>
    <w:rsid w:val="47AD7CF1"/>
    <w:rsid w:val="47B70069"/>
    <w:rsid w:val="47C73D3A"/>
    <w:rsid w:val="47D67F88"/>
    <w:rsid w:val="4803505C"/>
    <w:rsid w:val="480831B5"/>
    <w:rsid w:val="480D66CD"/>
    <w:rsid w:val="480F105A"/>
    <w:rsid w:val="48194880"/>
    <w:rsid w:val="481C1C7A"/>
    <w:rsid w:val="482849BA"/>
    <w:rsid w:val="483D056E"/>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9FC0F67"/>
    <w:rsid w:val="4A0D3F70"/>
    <w:rsid w:val="4A103FF4"/>
    <w:rsid w:val="4A1277D9"/>
    <w:rsid w:val="4A5D0A54"/>
    <w:rsid w:val="4A666565"/>
    <w:rsid w:val="4A7B66E4"/>
    <w:rsid w:val="4A7D5113"/>
    <w:rsid w:val="4A7F4FCB"/>
    <w:rsid w:val="4A812A30"/>
    <w:rsid w:val="4A89523C"/>
    <w:rsid w:val="4AA2290B"/>
    <w:rsid w:val="4AB019AF"/>
    <w:rsid w:val="4AC54E91"/>
    <w:rsid w:val="4AD5154D"/>
    <w:rsid w:val="4AEA3364"/>
    <w:rsid w:val="4AF73617"/>
    <w:rsid w:val="4B101F6A"/>
    <w:rsid w:val="4B49722A"/>
    <w:rsid w:val="4B593BC4"/>
    <w:rsid w:val="4B6A463C"/>
    <w:rsid w:val="4B902FB1"/>
    <w:rsid w:val="4B9E0E3F"/>
    <w:rsid w:val="4BB63B5B"/>
    <w:rsid w:val="4BB9615E"/>
    <w:rsid w:val="4BBEAF06"/>
    <w:rsid w:val="4BCC283D"/>
    <w:rsid w:val="4BD35E6D"/>
    <w:rsid w:val="4BDC1E4C"/>
    <w:rsid w:val="4BE1231B"/>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538E1"/>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2E6E63"/>
    <w:rsid w:val="4F506DD9"/>
    <w:rsid w:val="4F5A2E09"/>
    <w:rsid w:val="4F6264CF"/>
    <w:rsid w:val="4F6E6D3E"/>
    <w:rsid w:val="4F7F68E8"/>
    <w:rsid w:val="4F800657"/>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4972AB"/>
    <w:rsid w:val="5373169B"/>
    <w:rsid w:val="53747D16"/>
    <w:rsid w:val="5378497F"/>
    <w:rsid w:val="53C6061F"/>
    <w:rsid w:val="53E544DB"/>
    <w:rsid w:val="53F046E7"/>
    <w:rsid w:val="53F82EC8"/>
    <w:rsid w:val="540B1521"/>
    <w:rsid w:val="5415227F"/>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59425E"/>
    <w:rsid w:val="55663533"/>
    <w:rsid w:val="556F6CD4"/>
    <w:rsid w:val="558B0806"/>
    <w:rsid w:val="55944949"/>
    <w:rsid w:val="559C154A"/>
    <w:rsid w:val="55A21094"/>
    <w:rsid w:val="55B24181"/>
    <w:rsid w:val="55B96238"/>
    <w:rsid w:val="55DB63F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6553EC"/>
    <w:rsid w:val="577473DD"/>
    <w:rsid w:val="57911484"/>
    <w:rsid w:val="57BE00CF"/>
    <w:rsid w:val="57C33EC0"/>
    <w:rsid w:val="57CF104F"/>
    <w:rsid w:val="57CF47C9"/>
    <w:rsid w:val="57D939CD"/>
    <w:rsid w:val="57FB5468"/>
    <w:rsid w:val="57FF0946"/>
    <w:rsid w:val="58075B26"/>
    <w:rsid w:val="580A355F"/>
    <w:rsid w:val="580E4D1D"/>
    <w:rsid w:val="58127ED2"/>
    <w:rsid w:val="58172F6B"/>
    <w:rsid w:val="58281E5B"/>
    <w:rsid w:val="582C247D"/>
    <w:rsid w:val="583D29A8"/>
    <w:rsid w:val="58406187"/>
    <w:rsid w:val="58537A63"/>
    <w:rsid w:val="58643CC2"/>
    <w:rsid w:val="588075E9"/>
    <w:rsid w:val="588C2AEC"/>
    <w:rsid w:val="58B058C7"/>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8729AB"/>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8156DE"/>
    <w:rsid w:val="5A914348"/>
    <w:rsid w:val="5A9545B4"/>
    <w:rsid w:val="5AC73CC7"/>
    <w:rsid w:val="5ADF3707"/>
    <w:rsid w:val="5AE3249E"/>
    <w:rsid w:val="5AE56545"/>
    <w:rsid w:val="5AE92129"/>
    <w:rsid w:val="5AF102AB"/>
    <w:rsid w:val="5AFF99D0"/>
    <w:rsid w:val="5B163201"/>
    <w:rsid w:val="5B1A473F"/>
    <w:rsid w:val="5B2E3D47"/>
    <w:rsid w:val="5B37709F"/>
    <w:rsid w:val="5B6149A2"/>
    <w:rsid w:val="5B636D7E"/>
    <w:rsid w:val="5B7A6DEA"/>
    <w:rsid w:val="5B7E6A7C"/>
    <w:rsid w:val="5BA20303"/>
    <w:rsid w:val="5BB26726"/>
    <w:rsid w:val="5BB926FC"/>
    <w:rsid w:val="5BF54320"/>
    <w:rsid w:val="5C1633F6"/>
    <w:rsid w:val="5C246971"/>
    <w:rsid w:val="5C283EC9"/>
    <w:rsid w:val="5C4867F4"/>
    <w:rsid w:val="5C6737F1"/>
    <w:rsid w:val="5C9C18B0"/>
    <w:rsid w:val="5C9E7970"/>
    <w:rsid w:val="5CB36BF9"/>
    <w:rsid w:val="5CBD1826"/>
    <w:rsid w:val="5CC37F37"/>
    <w:rsid w:val="5CE60D7D"/>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6D2D99"/>
    <w:rsid w:val="5EA7453C"/>
    <w:rsid w:val="5EAE0F71"/>
    <w:rsid w:val="5EB23621"/>
    <w:rsid w:val="5ED27BE1"/>
    <w:rsid w:val="5ED35BB4"/>
    <w:rsid w:val="5ED75612"/>
    <w:rsid w:val="5EE25574"/>
    <w:rsid w:val="5EEF2358"/>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5FFF40FD"/>
    <w:rsid w:val="602676E1"/>
    <w:rsid w:val="602E4F74"/>
    <w:rsid w:val="603418A5"/>
    <w:rsid w:val="60366D51"/>
    <w:rsid w:val="604D4C6F"/>
    <w:rsid w:val="606807FF"/>
    <w:rsid w:val="60936B26"/>
    <w:rsid w:val="6098238E"/>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061880"/>
    <w:rsid w:val="621B3277"/>
    <w:rsid w:val="6228211F"/>
    <w:rsid w:val="6229771A"/>
    <w:rsid w:val="622C555D"/>
    <w:rsid w:val="623B7475"/>
    <w:rsid w:val="626478C2"/>
    <w:rsid w:val="626529F4"/>
    <w:rsid w:val="626C4988"/>
    <w:rsid w:val="62854B94"/>
    <w:rsid w:val="62A47FD8"/>
    <w:rsid w:val="62CE501D"/>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70581"/>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0E33AA"/>
    <w:rsid w:val="6717038D"/>
    <w:rsid w:val="671706D3"/>
    <w:rsid w:val="672F48CC"/>
    <w:rsid w:val="6730396A"/>
    <w:rsid w:val="67346B89"/>
    <w:rsid w:val="6751773B"/>
    <w:rsid w:val="675B574E"/>
    <w:rsid w:val="67801EB9"/>
    <w:rsid w:val="67A71109"/>
    <w:rsid w:val="67C25F5F"/>
    <w:rsid w:val="67C76B2D"/>
    <w:rsid w:val="67CE0D8B"/>
    <w:rsid w:val="67E759A9"/>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769F5"/>
    <w:rsid w:val="6AE85CC0"/>
    <w:rsid w:val="6AF7771D"/>
    <w:rsid w:val="6B036F9E"/>
    <w:rsid w:val="6B311795"/>
    <w:rsid w:val="6B4D0219"/>
    <w:rsid w:val="6BA17867"/>
    <w:rsid w:val="6BA8544F"/>
    <w:rsid w:val="6BB141CE"/>
    <w:rsid w:val="6BBA58AE"/>
    <w:rsid w:val="6BBE4C73"/>
    <w:rsid w:val="6BD45513"/>
    <w:rsid w:val="6BEF0C80"/>
    <w:rsid w:val="6BF41DBA"/>
    <w:rsid w:val="6BF57D00"/>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943EDD"/>
    <w:rsid w:val="6DB3108B"/>
    <w:rsid w:val="6DBD5004"/>
    <w:rsid w:val="6DC63E68"/>
    <w:rsid w:val="6DCF4F15"/>
    <w:rsid w:val="6DD447A6"/>
    <w:rsid w:val="6DDE4DD4"/>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950224"/>
    <w:rsid w:val="71AC2056"/>
    <w:rsid w:val="71C1345D"/>
    <w:rsid w:val="71C8684B"/>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1A4E8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672B20"/>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45E61"/>
    <w:rsid w:val="75F93477"/>
    <w:rsid w:val="76063D02"/>
    <w:rsid w:val="7631116A"/>
    <w:rsid w:val="76312C11"/>
    <w:rsid w:val="76345B3A"/>
    <w:rsid w:val="764346F2"/>
    <w:rsid w:val="76454D95"/>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951A25"/>
    <w:rsid w:val="77960CE5"/>
    <w:rsid w:val="779E1317"/>
    <w:rsid w:val="77CB650B"/>
    <w:rsid w:val="77CC2A1C"/>
    <w:rsid w:val="77CE4490"/>
    <w:rsid w:val="77E67A2B"/>
    <w:rsid w:val="77FF2032"/>
    <w:rsid w:val="78042DEB"/>
    <w:rsid w:val="78261305"/>
    <w:rsid w:val="784974F5"/>
    <w:rsid w:val="784B19A6"/>
    <w:rsid w:val="78540E39"/>
    <w:rsid w:val="785E1CB7"/>
    <w:rsid w:val="78681083"/>
    <w:rsid w:val="788B24B1"/>
    <w:rsid w:val="789079E5"/>
    <w:rsid w:val="7891016B"/>
    <w:rsid w:val="78A04C44"/>
    <w:rsid w:val="78C338C8"/>
    <w:rsid w:val="78E72828"/>
    <w:rsid w:val="78EA7B9F"/>
    <w:rsid w:val="79224F56"/>
    <w:rsid w:val="79336CA0"/>
    <w:rsid w:val="793A7966"/>
    <w:rsid w:val="793B1C09"/>
    <w:rsid w:val="7947274B"/>
    <w:rsid w:val="794B3FEA"/>
    <w:rsid w:val="79886469"/>
    <w:rsid w:val="79BA79F3"/>
    <w:rsid w:val="79BB215E"/>
    <w:rsid w:val="79D87646"/>
    <w:rsid w:val="79E82BC7"/>
    <w:rsid w:val="79EB6979"/>
    <w:rsid w:val="7A1067EC"/>
    <w:rsid w:val="7A17020B"/>
    <w:rsid w:val="7A192CE7"/>
    <w:rsid w:val="7A2E2EA3"/>
    <w:rsid w:val="7A3007C8"/>
    <w:rsid w:val="7A3231AD"/>
    <w:rsid w:val="7A3E28AA"/>
    <w:rsid w:val="7A4A77F3"/>
    <w:rsid w:val="7A5A72EE"/>
    <w:rsid w:val="7A772678"/>
    <w:rsid w:val="7A844288"/>
    <w:rsid w:val="7AA82540"/>
    <w:rsid w:val="7AA879CF"/>
    <w:rsid w:val="7AAC4F5C"/>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BF4208"/>
    <w:rsid w:val="7BC0312E"/>
    <w:rsid w:val="7BC40083"/>
    <w:rsid w:val="7BC62E25"/>
    <w:rsid w:val="7BD02203"/>
    <w:rsid w:val="7BD22006"/>
    <w:rsid w:val="7BE349AD"/>
    <w:rsid w:val="7BF62821"/>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9932BE"/>
    <w:rsid w:val="7C9B286D"/>
    <w:rsid w:val="7C9B7FF0"/>
    <w:rsid w:val="7CB53251"/>
    <w:rsid w:val="7CB62D19"/>
    <w:rsid w:val="7CD93821"/>
    <w:rsid w:val="7CD95805"/>
    <w:rsid w:val="7D0F17D2"/>
    <w:rsid w:val="7D13314E"/>
    <w:rsid w:val="7D172435"/>
    <w:rsid w:val="7D230DDA"/>
    <w:rsid w:val="7D365DD8"/>
    <w:rsid w:val="7D3A23FC"/>
    <w:rsid w:val="7D625FC7"/>
    <w:rsid w:val="7D650CA3"/>
    <w:rsid w:val="7D6A0419"/>
    <w:rsid w:val="7D6B7727"/>
    <w:rsid w:val="7D7A5D33"/>
    <w:rsid w:val="7D7B0C16"/>
    <w:rsid w:val="7DB12889"/>
    <w:rsid w:val="7DB52379"/>
    <w:rsid w:val="7DBC3708"/>
    <w:rsid w:val="7DD018F6"/>
    <w:rsid w:val="7DD4016C"/>
    <w:rsid w:val="7DEE5D3D"/>
    <w:rsid w:val="7DF804B8"/>
    <w:rsid w:val="7E167D92"/>
    <w:rsid w:val="7E1A50EB"/>
    <w:rsid w:val="7E1D2CB4"/>
    <w:rsid w:val="7E222BD7"/>
    <w:rsid w:val="7E24305B"/>
    <w:rsid w:val="7E290672"/>
    <w:rsid w:val="7E4266E2"/>
    <w:rsid w:val="7E4F632A"/>
    <w:rsid w:val="7E576F8D"/>
    <w:rsid w:val="7E6C2A49"/>
    <w:rsid w:val="7E6D4A02"/>
    <w:rsid w:val="7E722A66"/>
    <w:rsid w:val="7E794FBB"/>
    <w:rsid w:val="7E806AA4"/>
    <w:rsid w:val="7E8F4979"/>
    <w:rsid w:val="7E9C305C"/>
    <w:rsid w:val="7EA06B86"/>
    <w:rsid w:val="7EA26042"/>
    <w:rsid w:val="7EAF6879"/>
    <w:rsid w:val="7EB45D48"/>
    <w:rsid w:val="7EC17031"/>
    <w:rsid w:val="7ED95100"/>
    <w:rsid w:val="7EE06F82"/>
    <w:rsid w:val="7EEA7E01"/>
    <w:rsid w:val="7EF5B3D4"/>
    <w:rsid w:val="7F0417A2"/>
    <w:rsid w:val="7F360FA8"/>
    <w:rsid w:val="7F3D43D5"/>
    <w:rsid w:val="7F427C3D"/>
    <w:rsid w:val="7F517E80"/>
    <w:rsid w:val="7F7211CD"/>
    <w:rsid w:val="7F8B3961"/>
    <w:rsid w:val="7F8F3102"/>
    <w:rsid w:val="7F9C0E05"/>
    <w:rsid w:val="7F9F140C"/>
    <w:rsid w:val="7FA76140"/>
    <w:rsid w:val="7FC17096"/>
    <w:rsid w:val="7FE82E11"/>
    <w:rsid w:val="7FEE147C"/>
    <w:rsid w:val="7FF72589"/>
    <w:rsid w:val="7FF970F9"/>
    <w:rsid w:val="975F19A8"/>
    <w:rsid w:val="9FBB34FC"/>
    <w:rsid w:val="AD3FCC4D"/>
    <w:rsid w:val="B7F5515A"/>
    <w:rsid w:val="BAFB6887"/>
    <w:rsid w:val="BB7CFA91"/>
    <w:rsid w:val="BFBC62A3"/>
    <w:rsid w:val="BFF3CA4F"/>
    <w:rsid w:val="BFFD3B60"/>
    <w:rsid w:val="CFF8465D"/>
    <w:rsid w:val="D5DBFB25"/>
    <w:rsid w:val="D72FBAA9"/>
    <w:rsid w:val="D7B5A339"/>
    <w:rsid w:val="D97BEF41"/>
    <w:rsid w:val="DF7635DE"/>
    <w:rsid w:val="EF7CD1B2"/>
    <w:rsid w:val="EF7D2778"/>
    <w:rsid w:val="F7E344D5"/>
    <w:rsid w:val="F7E91D68"/>
    <w:rsid w:val="FC74D4FC"/>
    <w:rsid w:val="FEFF7193"/>
    <w:rsid w:val="FEFF9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8">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9">
    <w:name w:val="heading 4"/>
    <w:basedOn w:val="1"/>
    <w:next w:val="1"/>
    <w:link w:val="59"/>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10">
    <w:name w:val="heading 5"/>
    <w:basedOn w:val="1"/>
    <w:next w:val="1"/>
    <w:link w:val="60"/>
    <w:qFormat/>
    <w:uiPriority w:val="0"/>
    <w:pPr>
      <w:keepNext/>
      <w:keepLines/>
      <w:spacing w:before="280" w:after="290" w:line="376" w:lineRule="auto"/>
      <w:outlineLvl w:val="4"/>
    </w:pPr>
    <w:rPr>
      <w:b/>
      <w:bCs/>
      <w:sz w:val="28"/>
      <w:szCs w:val="28"/>
    </w:rPr>
  </w:style>
  <w:style w:type="paragraph" w:styleId="11">
    <w:name w:val="heading 6"/>
    <w:basedOn w:val="1"/>
    <w:next w:val="1"/>
    <w:link w:val="61"/>
    <w:qFormat/>
    <w:uiPriority w:val="0"/>
    <w:pPr>
      <w:keepNext/>
      <w:keepLines/>
      <w:spacing w:before="240" w:after="64" w:line="320" w:lineRule="auto"/>
      <w:outlineLvl w:val="5"/>
    </w:pPr>
    <w:rPr>
      <w:rFonts w:ascii="Cambria" w:hAnsi="Cambria"/>
      <w:b/>
      <w:bCs/>
      <w:sz w:val="24"/>
    </w:rPr>
  </w:style>
  <w:style w:type="paragraph" w:styleId="12">
    <w:name w:val="heading 7"/>
    <w:basedOn w:val="1"/>
    <w:next w:val="1"/>
    <w:link w:val="62"/>
    <w:qFormat/>
    <w:uiPriority w:val="0"/>
    <w:pPr>
      <w:keepNext/>
      <w:keepLines/>
      <w:spacing w:before="240" w:after="64" w:line="320" w:lineRule="auto"/>
      <w:outlineLvl w:val="6"/>
    </w:pPr>
    <w:rPr>
      <w:b/>
      <w:bCs/>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7"/>
    <w:qFormat/>
    <w:uiPriority w:val="0"/>
    <w:pPr>
      <w:ind w:left="420" w:firstLine="420" w:firstLineChars="200"/>
    </w:pPr>
  </w:style>
  <w:style w:type="paragraph" w:styleId="3">
    <w:name w:val="Body Text Indent"/>
    <w:basedOn w:val="1"/>
    <w:next w:val="4"/>
    <w:link w:val="56"/>
    <w:qFormat/>
    <w:uiPriority w:val="0"/>
    <w:pPr>
      <w:spacing w:after="120"/>
      <w:ind w:left="200" w:leftChars="200"/>
    </w:pPr>
  </w:style>
  <w:style w:type="paragraph" w:styleId="4">
    <w:name w:val="envelope return"/>
    <w:basedOn w:val="1"/>
    <w:next w:val="5"/>
    <w:qFormat/>
    <w:uiPriority w:val="0"/>
    <w:pPr>
      <w:snapToGrid w:val="0"/>
    </w:pPr>
    <w:rPr>
      <w:rFonts w:ascii="Arial" w:hAnsi="Arial"/>
    </w:rPr>
  </w:style>
  <w:style w:type="paragraph" w:styleId="5">
    <w:name w:val="Title"/>
    <w:basedOn w:val="1"/>
    <w:next w:val="1"/>
    <w:qFormat/>
    <w:uiPriority w:val="0"/>
    <w:pPr>
      <w:numPr>
        <w:ilvl w:val="0"/>
        <w:numId w:val="2"/>
      </w:numPr>
      <w:spacing w:line="360" w:lineRule="auto"/>
      <w:jc w:val="left"/>
      <w:outlineLvl w:val="0"/>
    </w:pPr>
    <w:rPr>
      <w:rFonts w:ascii="Cambria" w:hAnsi="Cambria"/>
      <w:b/>
      <w:bCs/>
      <w:sz w:val="28"/>
      <w:szCs w:val="32"/>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numPr>
        <w:ilvl w:val="0"/>
        <w:numId w:val="3"/>
      </w:numPr>
      <w:tabs>
        <w:tab w:val="left" w:pos="567"/>
      </w:tabs>
      <w:adjustRightInd w:val="0"/>
      <w:spacing w:line="300" w:lineRule="auto"/>
      <w:textAlignment w:val="baseline"/>
    </w:pPr>
    <w:rPr>
      <w:kern w:val="0"/>
      <w:sz w:val="28"/>
      <w:szCs w:val="20"/>
    </w:rPr>
  </w:style>
  <w:style w:type="paragraph" w:styleId="15">
    <w:name w:val="Normal Indent"/>
    <w:basedOn w:val="1"/>
    <w:qFormat/>
    <w:uiPriority w:val="0"/>
    <w:pPr>
      <w:adjustRightInd w:val="0"/>
      <w:spacing w:line="360" w:lineRule="atLeast"/>
      <w:ind w:firstLine="482"/>
      <w:textAlignment w:val="baseline"/>
    </w:pPr>
    <w:rPr>
      <w:kern w:val="0"/>
      <w:sz w:val="24"/>
      <w:szCs w:val="20"/>
    </w:rPr>
  </w:style>
  <w:style w:type="paragraph" w:styleId="16">
    <w:name w:val="annotation text"/>
    <w:basedOn w:val="1"/>
    <w:link w:val="63"/>
    <w:qFormat/>
    <w:uiPriority w:val="0"/>
    <w:pPr>
      <w:jc w:val="left"/>
    </w:pPr>
  </w:style>
  <w:style w:type="paragraph" w:styleId="17">
    <w:name w:val="Body Text"/>
    <w:basedOn w:val="1"/>
    <w:semiHidden/>
    <w:qFormat/>
    <w:uiPriority w:val="0"/>
    <w:pPr>
      <w:spacing w:after="120"/>
    </w:pPr>
  </w:style>
  <w:style w:type="paragraph" w:styleId="18">
    <w:name w:val="List 2"/>
    <w:basedOn w:val="1"/>
    <w:unhideWhenUsed/>
    <w:qFormat/>
    <w:uiPriority w:val="99"/>
    <w:pPr>
      <w:ind w:left="840" w:hanging="420"/>
    </w:pPr>
    <w:rPr>
      <w:sz w:val="24"/>
      <w:szCs w:val="20"/>
    </w:rPr>
  </w:style>
  <w:style w:type="paragraph" w:styleId="19">
    <w:name w:val="index 4"/>
    <w:basedOn w:val="1"/>
    <w:next w:val="1"/>
    <w:qFormat/>
    <w:uiPriority w:val="0"/>
    <w:pPr>
      <w:ind w:left="600" w:leftChars="600"/>
    </w:pPr>
  </w:style>
  <w:style w:type="paragraph" w:styleId="20">
    <w:name w:val="toc 3"/>
    <w:basedOn w:val="1"/>
    <w:next w:val="1"/>
    <w:qFormat/>
    <w:uiPriority w:val="39"/>
    <w:pPr>
      <w:tabs>
        <w:tab w:val="right" w:leader="dot" w:pos="9288"/>
      </w:tabs>
      <w:ind w:left="400" w:leftChars="400"/>
    </w:pPr>
    <w:rPr>
      <w:rFonts w:ascii="宋体"/>
    </w:rPr>
  </w:style>
  <w:style w:type="paragraph" w:styleId="21">
    <w:name w:val="Plain Text"/>
    <w:basedOn w:val="1"/>
    <w:next w:val="1"/>
    <w:link w:val="64"/>
    <w:qFormat/>
    <w:uiPriority w:val="99"/>
    <w:rPr>
      <w:rFonts w:ascii="宋体"/>
      <w:color w:val="000000"/>
      <w:szCs w:val="20"/>
      <w:u w:color="000000"/>
    </w:rPr>
  </w:style>
  <w:style w:type="paragraph" w:styleId="22">
    <w:name w:val="Date"/>
    <w:basedOn w:val="1"/>
    <w:next w:val="1"/>
    <w:link w:val="65"/>
    <w:qFormat/>
    <w:uiPriority w:val="0"/>
    <w:rPr>
      <w:rFonts w:ascii="Arial" w:hAnsi="Arial" w:eastAsia="仿宋_GB2312"/>
      <w:color w:val="000000"/>
      <w:sz w:val="32"/>
      <w:szCs w:val="20"/>
      <w:u w:color="000000"/>
    </w:rPr>
  </w:style>
  <w:style w:type="paragraph" w:styleId="23">
    <w:name w:val="Body Text Indent 2"/>
    <w:basedOn w:val="1"/>
    <w:link w:val="66"/>
    <w:qFormat/>
    <w:uiPriority w:val="0"/>
    <w:pPr>
      <w:spacing w:after="120" w:line="480" w:lineRule="auto"/>
      <w:ind w:left="420" w:leftChars="200"/>
    </w:pPr>
  </w:style>
  <w:style w:type="paragraph" w:styleId="24">
    <w:name w:val="endnote text"/>
    <w:basedOn w:val="1"/>
    <w:qFormat/>
    <w:uiPriority w:val="99"/>
    <w:pPr>
      <w:snapToGrid w:val="0"/>
    </w:pPr>
    <w:rPr>
      <w:rFonts w:ascii="仿宋" w:hAnsi="仿宋"/>
    </w:rPr>
  </w:style>
  <w:style w:type="paragraph" w:styleId="25">
    <w:name w:val="Balloon Text"/>
    <w:basedOn w:val="1"/>
    <w:link w:val="67"/>
    <w:qFormat/>
    <w:uiPriority w:val="0"/>
    <w:rPr>
      <w:sz w:val="18"/>
      <w:szCs w:val="18"/>
    </w:rPr>
  </w:style>
  <w:style w:type="paragraph" w:styleId="26">
    <w:name w:val="footer"/>
    <w:basedOn w:val="1"/>
    <w:link w:val="68"/>
    <w:qFormat/>
    <w:uiPriority w:val="0"/>
    <w:pPr>
      <w:tabs>
        <w:tab w:val="center" w:pos="4153"/>
        <w:tab w:val="right" w:pos="8306"/>
      </w:tabs>
      <w:snapToGrid w:val="0"/>
      <w:jc w:val="left"/>
    </w:pPr>
    <w:rPr>
      <w:sz w:val="18"/>
      <w:szCs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qFormat/>
    <w:uiPriority w:val="0"/>
    <w:pPr>
      <w:numPr>
        <w:ilvl w:val="0"/>
        <w:numId w:val="4"/>
      </w:numPr>
      <w:spacing w:line="360" w:lineRule="auto"/>
      <w:jc w:val="left"/>
      <w:outlineLvl w:val="1"/>
    </w:pPr>
    <w:rPr>
      <w:rFonts w:ascii="Calibri Light" w:hAnsi="Calibri Light"/>
      <w:bCs/>
      <w:kern w:val="28"/>
      <w:szCs w:val="32"/>
    </w:rPr>
  </w:style>
  <w:style w:type="paragraph" w:styleId="30">
    <w:name w:val="List"/>
    <w:basedOn w:val="1"/>
    <w:qFormat/>
    <w:uiPriority w:val="0"/>
    <w:pPr>
      <w:ind w:left="420" w:hanging="420"/>
    </w:pPr>
    <w:rPr>
      <w:rFonts w:ascii="Arial" w:hAnsi="Arial" w:eastAsia="楷体_GB2312"/>
      <w:sz w:val="28"/>
    </w:rPr>
  </w:style>
  <w:style w:type="paragraph" w:styleId="31">
    <w:name w:val="toc 6"/>
    <w:basedOn w:val="1"/>
    <w:next w:val="1"/>
    <w:qFormat/>
    <w:uiPriority w:val="0"/>
    <w:pPr>
      <w:autoSpaceDE w:val="0"/>
      <w:autoSpaceDN w:val="0"/>
      <w:ind w:left="1700"/>
      <w:jc w:val="left"/>
      <w:textAlignment w:val="baseline"/>
    </w:pPr>
    <w:rPr>
      <w:kern w:val="0"/>
      <w:sz w:val="18"/>
      <w:szCs w:val="18"/>
    </w:rPr>
  </w:style>
  <w:style w:type="paragraph" w:styleId="32">
    <w:name w:val="toc 2"/>
    <w:basedOn w:val="1"/>
    <w:next w:val="1"/>
    <w:qFormat/>
    <w:uiPriority w:val="39"/>
    <w:pPr>
      <w:ind w:left="200" w:leftChars="200"/>
    </w:p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jc w:val="center"/>
    </w:pPr>
    <w:rPr>
      <w:rFonts w:ascii="Arial" w:hAnsi="Arial" w:eastAsia="Arial" w:cs="Arial"/>
      <w:b/>
      <w:bCs/>
      <w:sz w:val="28"/>
    </w:rPr>
  </w:style>
  <w:style w:type="paragraph" w:styleId="35">
    <w:name w:val="annotation subject"/>
    <w:basedOn w:val="16"/>
    <w:next w:val="16"/>
    <w:link w:val="70"/>
    <w:qFormat/>
    <w:uiPriority w:val="0"/>
    <w:rPr>
      <w:b/>
      <w:bCs/>
    </w:rPr>
  </w:style>
  <w:style w:type="paragraph" w:styleId="36">
    <w:name w:val="Body Text First Indent"/>
    <w:basedOn w:val="17"/>
    <w:qFormat/>
    <w:uiPriority w:val="0"/>
    <w:pPr>
      <w:ind w:firstLine="420" w:firstLineChars="1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qFormat/>
    <w:uiPriority w:val="0"/>
  </w:style>
  <w:style w:type="character" w:styleId="42">
    <w:name w:val="FollowedHyperlink"/>
    <w:qFormat/>
    <w:uiPriority w:val="0"/>
    <w:rPr>
      <w:color w:val="333333"/>
      <w:u w:val="none"/>
    </w:rPr>
  </w:style>
  <w:style w:type="character" w:styleId="43">
    <w:name w:val="Emphasis"/>
    <w:qFormat/>
    <w:uiPriority w:val="20"/>
    <w:rPr>
      <w:i/>
      <w:iCs/>
    </w:rPr>
  </w:style>
  <w:style w:type="character" w:styleId="44">
    <w:name w:val="HTML Definition"/>
    <w:qFormat/>
    <w:uiPriority w:val="0"/>
  </w:style>
  <w:style w:type="character" w:styleId="45">
    <w:name w:val="HTML Typewriter"/>
    <w:qFormat/>
    <w:uiPriority w:val="0"/>
    <w:rPr>
      <w:rFonts w:ascii="monospace" w:hAnsi="monospace" w:eastAsia="monospace" w:cs="monospace"/>
      <w:sz w:val="20"/>
    </w:rPr>
  </w:style>
  <w:style w:type="character" w:styleId="46">
    <w:name w:val="HTML Acronym"/>
    <w:qFormat/>
    <w:uiPriority w:val="0"/>
  </w:style>
  <w:style w:type="character" w:styleId="47">
    <w:name w:val="HTML Variable"/>
    <w:qFormat/>
    <w:uiPriority w:val="0"/>
  </w:style>
  <w:style w:type="character" w:styleId="48">
    <w:name w:val="Hyperlink"/>
    <w:basedOn w:val="39"/>
    <w:qFormat/>
    <w:uiPriority w:val="99"/>
    <w:rPr>
      <w:color w:val="333333"/>
      <w:u w:val="none"/>
    </w:rPr>
  </w:style>
  <w:style w:type="character" w:styleId="49">
    <w:name w:val="HTML Code"/>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paragraph" w:customStyle="1" w:styleId="54">
    <w:name w:val="l正文"/>
    <w:qFormat/>
    <w:uiPriority w:val="0"/>
    <w:pPr>
      <w:widowControl w:val="0"/>
      <w:spacing w:line="300" w:lineRule="auto"/>
    </w:pPr>
    <w:rPr>
      <w:rFonts w:ascii="楷体_GB2312" w:hAnsi="Times" w:eastAsia="楷体_GB2312" w:cs="Times New Roman"/>
      <w:color w:val="FF0000"/>
      <w:kern w:val="2"/>
      <w:sz w:val="24"/>
      <w:szCs w:val="24"/>
      <w:lang w:val="en-US" w:eastAsia="zh-CN" w:bidi="ar-SA"/>
    </w:rPr>
  </w:style>
  <w:style w:type="paragraph" w:customStyle="1" w:styleId="55">
    <w:name w:val="正文文字 8"/>
    <w:basedOn w:val="1"/>
    <w:next w:val="1"/>
    <w:qFormat/>
    <w:uiPriority w:val="0"/>
    <w:pPr>
      <w:ind w:left="240"/>
    </w:pPr>
    <w:rPr>
      <w:sz w:val="16"/>
    </w:rPr>
  </w:style>
  <w:style w:type="character" w:customStyle="1" w:styleId="56">
    <w:name w:val="正文文本缩进 字符"/>
    <w:link w:val="3"/>
    <w:qFormat/>
    <w:uiPriority w:val="0"/>
    <w:rPr>
      <w:kern w:val="2"/>
      <w:sz w:val="21"/>
      <w:szCs w:val="24"/>
    </w:rPr>
  </w:style>
  <w:style w:type="character" w:customStyle="1" w:styleId="57">
    <w:name w:val="正文首行缩进 2 字符"/>
    <w:link w:val="2"/>
    <w:qFormat/>
    <w:uiPriority w:val="0"/>
  </w:style>
  <w:style w:type="character" w:customStyle="1" w:styleId="58">
    <w:name w:val="标题 1 字符"/>
    <w:link w:val="6"/>
    <w:qFormat/>
    <w:uiPriority w:val="0"/>
    <w:rPr>
      <w:b/>
      <w:bCs/>
      <w:kern w:val="44"/>
      <w:sz w:val="44"/>
      <w:szCs w:val="44"/>
    </w:rPr>
  </w:style>
  <w:style w:type="character" w:customStyle="1" w:styleId="59">
    <w:name w:val="标题 4 字符"/>
    <w:link w:val="9"/>
    <w:qFormat/>
    <w:locked/>
    <w:uiPriority w:val="0"/>
    <w:rPr>
      <w:rFonts w:ascii="Arial" w:hAnsi="Arial" w:eastAsia="黑体"/>
      <w:b/>
      <w:bCs/>
      <w:color w:val="000000"/>
      <w:sz w:val="28"/>
      <w:szCs w:val="28"/>
      <w:u w:val="none" w:color="000000"/>
      <w:lang w:val="en-US" w:eastAsia="zh-CN" w:bidi="ar-SA"/>
    </w:rPr>
  </w:style>
  <w:style w:type="character" w:customStyle="1" w:styleId="60">
    <w:name w:val="标题 5 字符"/>
    <w:link w:val="10"/>
    <w:semiHidden/>
    <w:qFormat/>
    <w:uiPriority w:val="0"/>
    <w:rPr>
      <w:b/>
      <w:bCs/>
      <w:kern w:val="2"/>
      <w:sz w:val="28"/>
      <w:szCs w:val="28"/>
    </w:rPr>
  </w:style>
  <w:style w:type="character" w:customStyle="1" w:styleId="61">
    <w:name w:val="标题 6 字符"/>
    <w:link w:val="11"/>
    <w:semiHidden/>
    <w:qFormat/>
    <w:uiPriority w:val="0"/>
    <w:rPr>
      <w:rFonts w:ascii="Cambria" w:hAnsi="Cambria" w:eastAsia="宋体" w:cs="Times New Roman"/>
      <w:b/>
      <w:bCs/>
      <w:kern w:val="2"/>
      <w:sz w:val="24"/>
      <w:szCs w:val="24"/>
    </w:rPr>
  </w:style>
  <w:style w:type="character" w:customStyle="1" w:styleId="62">
    <w:name w:val="标题 7 字符"/>
    <w:link w:val="12"/>
    <w:semiHidden/>
    <w:qFormat/>
    <w:uiPriority w:val="0"/>
    <w:rPr>
      <w:b/>
      <w:bCs/>
      <w:kern w:val="2"/>
      <w:sz w:val="24"/>
      <w:szCs w:val="24"/>
    </w:rPr>
  </w:style>
  <w:style w:type="character" w:customStyle="1" w:styleId="63">
    <w:name w:val="批注文字 字符"/>
    <w:link w:val="16"/>
    <w:qFormat/>
    <w:uiPriority w:val="0"/>
    <w:rPr>
      <w:kern w:val="2"/>
      <w:sz w:val="21"/>
      <w:szCs w:val="24"/>
    </w:rPr>
  </w:style>
  <w:style w:type="character" w:customStyle="1" w:styleId="64">
    <w:name w:val="纯文本 字符"/>
    <w:link w:val="21"/>
    <w:qFormat/>
    <w:uiPriority w:val="99"/>
    <w:rPr>
      <w:rFonts w:ascii="宋体" w:eastAsia="宋体"/>
      <w:color w:val="000000"/>
      <w:kern w:val="2"/>
      <w:sz w:val="21"/>
      <w:u w:val="none" w:color="000000"/>
      <w:lang w:val="en-US" w:eastAsia="zh-CN" w:bidi="ar-SA"/>
    </w:rPr>
  </w:style>
  <w:style w:type="character" w:customStyle="1" w:styleId="65">
    <w:name w:val="日期 字符"/>
    <w:link w:val="22"/>
    <w:qFormat/>
    <w:uiPriority w:val="0"/>
    <w:rPr>
      <w:rFonts w:ascii="Arial" w:hAnsi="Arial" w:eastAsia="仿宋_GB2312"/>
      <w:color w:val="000000"/>
      <w:kern w:val="2"/>
      <w:sz w:val="32"/>
      <w:u w:val="none" w:color="000000"/>
    </w:rPr>
  </w:style>
  <w:style w:type="character" w:customStyle="1" w:styleId="66">
    <w:name w:val="正文文本缩进 2 字符"/>
    <w:link w:val="23"/>
    <w:qFormat/>
    <w:uiPriority w:val="0"/>
    <w:rPr>
      <w:kern w:val="2"/>
      <w:sz w:val="21"/>
      <w:szCs w:val="24"/>
    </w:rPr>
  </w:style>
  <w:style w:type="character" w:customStyle="1" w:styleId="67">
    <w:name w:val="批注框文本 字符"/>
    <w:link w:val="25"/>
    <w:qFormat/>
    <w:uiPriority w:val="0"/>
    <w:rPr>
      <w:kern w:val="2"/>
      <w:sz w:val="18"/>
      <w:szCs w:val="18"/>
    </w:rPr>
  </w:style>
  <w:style w:type="character" w:customStyle="1" w:styleId="68">
    <w:name w:val="页脚 字符"/>
    <w:link w:val="26"/>
    <w:qFormat/>
    <w:locked/>
    <w:uiPriority w:val="0"/>
    <w:rPr>
      <w:kern w:val="2"/>
      <w:sz w:val="18"/>
      <w:szCs w:val="18"/>
    </w:rPr>
  </w:style>
  <w:style w:type="character" w:customStyle="1" w:styleId="69">
    <w:name w:val="页眉 字符"/>
    <w:link w:val="27"/>
    <w:qFormat/>
    <w:locked/>
    <w:uiPriority w:val="0"/>
    <w:rPr>
      <w:kern w:val="2"/>
      <w:sz w:val="18"/>
      <w:szCs w:val="18"/>
    </w:rPr>
  </w:style>
  <w:style w:type="character" w:customStyle="1" w:styleId="70">
    <w:name w:val="批注主题 字符"/>
    <w:link w:val="35"/>
    <w:qFormat/>
    <w:uiPriority w:val="0"/>
    <w:rPr>
      <w:b/>
      <w:bCs/>
      <w:kern w:val="2"/>
      <w:sz w:val="21"/>
      <w:szCs w:val="24"/>
    </w:rPr>
  </w:style>
  <w:style w:type="character" w:customStyle="1" w:styleId="71">
    <w:name w:val="font121"/>
    <w:qFormat/>
    <w:uiPriority w:val="0"/>
    <w:rPr>
      <w:rFonts w:hint="eastAsia" w:ascii="宋体" w:hAnsi="宋体" w:eastAsia="宋体" w:cs="宋体"/>
      <w:color w:val="000000"/>
      <w:sz w:val="24"/>
      <w:szCs w:val="24"/>
      <w:u w:val="none"/>
    </w:rPr>
  </w:style>
  <w:style w:type="character" w:customStyle="1" w:styleId="72">
    <w:name w:val="font141"/>
    <w:qFormat/>
    <w:uiPriority w:val="0"/>
    <w:rPr>
      <w:rFonts w:ascii="Arial" w:hAnsi="Arial" w:cs="Arial"/>
      <w:color w:val="000000"/>
      <w:sz w:val="24"/>
      <w:szCs w:val="24"/>
      <w:u w:val="none"/>
    </w:rPr>
  </w:style>
  <w:style w:type="character" w:customStyle="1" w:styleId="73">
    <w:name w:val="_37aak"/>
    <w:qFormat/>
    <w:uiPriority w:val="0"/>
  </w:style>
  <w:style w:type="character" w:customStyle="1" w:styleId="74">
    <w:name w:val="图表 Char"/>
    <w:link w:val="75"/>
    <w:qFormat/>
    <w:uiPriority w:val="0"/>
    <w:rPr>
      <w:kern w:val="2"/>
      <w:sz w:val="21"/>
      <w:szCs w:val="21"/>
    </w:rPr>
  </w:style>
  <w:style w:type="paragraph" w:customStyle="1" w:styleId="75">
    <w:name w:val="图表"/>
    <w:basedOn w:val="1"/>
    <w:next w:val="1"/>
    <w:link w:val="74"/>
    <w:qFormat/>
    <w:uiPriority w:val="0"/>
    <w:pPr>
      <w:jc w:val="center"/>
    </w:pPr>
    <w:rPr>
      <w:szCs w:val="21"/>
    </w:rPr>
  </w:style>
  <w:style w:type="character" w:customStyle="1" w:styleId="76">
    <w:name w:val="font01"/>
    <w:qFormat/>
    <w:uiPriority w:val="0"/>
    <w:rPr>
      <w:rFonts w:hint="eastAsia" w:ascii="宋体" w:hAnsi="宋体" w:eastAsia="宋体" w:cs="宋体"/>
      <w:color w:val="000000"/>
      <w:sz w:val="22"/>
      <w:szCs w:val="22"/>
      <w:u w:val="none"/>
    </w:rPr>
  </w:style>
  <w:style w:type="character" w:customStyle="1" w:styleId="77">
    <w:name w:val="hover4"/>
    <w:qFormat/>
    <w:uiPriority w:val="0"/>
    <w:rPr>
      <w:color w:val="2590EB"/>
      <w:shd w:val="clear" w:color="auto" w:fill="E9F4FD"/>
    </w:rPr>
  </w:style>
  <w:style w:type="character" w:customStyle="1" w:styleId="78">
    <w:name w:val="font101"/>
    <w:qFormat/>
    <w:uiPriority w:val="0"/>
    <w:rPr>
      <w:rFonts w:hint="eastAsia" w:ascii="宋体" w:hAnsi="宋体" w:eastAsia="宋体" w:cs="宋体"/>
      <w:color w:val="000000"/>
      <w:sz w:val="18"/>
      <w:szCs w:val="18"/>
      <w:u w:val="none"/>
    </w:rPr>
  </w:style>
  <w:style w:type="character" w:customStyle="1" w:styleId="79">
    <w:name w:val="font161"/>
    <w:qFormat/>
    <w:uiPriority w:val="0"/>
    <w:rPr>
      <w:rFonts w:hint="eastAsia" w:ascii="宋体" w:hAnsi="宋体" w:eastAsia="宋体" w:cs="宋体"/>
      <w:b/>
      <w:bCs/>
      <w:color w:val="333333"/>
      <w:sz w:val="27"/>
      <w:szCs w:val="27"/>
      <w:u w:val="none"/>
    </w:rPr>
  </w:style>
  <w:style w:type="character" w:customStyle="1" w:styleId="80">
    <w:name w:val="first-child"/>
    <w:qFormat/>
    <w:uiPriority w:val="0"/>
  </w:style>
  <w:style w:type="character" w:customStyle="1" w:styleId="81">
    <w:name w:val="【正文】 Char"/>
    <w:link w:val="82"/>
    <w:qFormat/>
    <w:uiPriority w:val="0"/>
    <w:rPr>
      <w:rFonts w:cs="DokChampa"/>
      <w:kern w:val="2"/>
      <w:sz w:val="24"/>
      <w:szCs w:val="22"/>
    </w:rPr>
  </w:style>
  <w:style w:type="paragraph" w:customStyle="1" w:styleId="82">
    <w:name w:val="【正文】"/>
    <w:basedOn w:val="1"/>
    <w:link w:val="81"/>
    <w:qFormat/>
    <w:uiPriority w:val="0"/>
    <w:pPr>
      <w:spacing w:line="360" w:lineRule="auto"/>
      <w:ind w:firstLine="480" w:firstLineChars="200"/>
    </w:pPr>
    <w:rPr>
      <w:sz w:val="24"/>
      <w:szCs w:val="22"/>
    </w:rPr>
  </w:style>
  <w:style w:type="character" w:customStyle="1" w:styleId="83">
    <w:name w:val="font131"/>
    <w:qFormat/>
    <w:uiPriority w:val="0"/>
    <w:rPr>
      <w:rFonts w:ascii="仿宋" w:hAnsi="仿宋" w:eastAsia="仿宋" w:cs="仿宋"/>
      <w:color w:val="000000"/>
      <w:sz w:val="24"/>
      <w:szCs w:val="24"/>
      <w:u w:val="none"/>
    </w:rPr>
  </w:style>
  <w:style w:type="character" w:customStyle="1" w:styleId="84">
    <w:name w:val="font181"/>
    <w:qFormat/>
    <w:uiPriority w:val="0"/>
    <w:rPr>
      <w:rFonts w:hint="eastAsia" w:ascii="宋体" w:hAnsi="宋体" w:eastAsia="宋体" w:cs="宋体"/>
      <w:color w:val="1A66B3"/>
      <w:sz w:val="18"/>
      <w:szCs w:val="18"/>
      <w:u w:val="none"/>
    </w:rPr>
  </w:style>
  <w:style w:type="character" w:customStyle="1" w:styleId="85">
    <w:name w:val="hover3"/>
    <w:qFormat/>
    <w:uiPriority w:val="0"/>
  </w:style>
  <w:style w:type="character" w:customStyle="1" w:styleId="86">
    <w:name w:val="font112"/>
    <w:qFormat/>
    <w:uiPriority w:val="0"/>
    <w:rPr>
      <w:rFonts w:ascii="Verdana" w:hAnsi="Verdana" w:cs="Verdana"/>
      <w:color w:val="000000"/>
      <w:sz w:val="18"/>
      <w:szCs w:val="18"/>
      <w:u w:val="none"/>
    </w:rPr>
  </w:style>
  <w:style w:type="character" w:customStyle="1" w:styleId="87">
    <w:name w:val="font81"/>
    <w:qFormat/>
    <w:uiPriority w:val="0"/>
    <w:rPr>
      <w:rFonts w:hint="default" w:ascii="Verdana" w:hAnsi="Verdana" w:cs="Verdana"/>
      <w:color w:val="000000"/>
      <w:sz w:val="18"/>
      <w:szCs w:val="18"/>
      <w:u w:val="none"/>
    </w:rPr>
  </w:style>
  <w:style w:type="character" w:customStyle="1" w:styleId="88">
    <w:name w:val="hover"/>
    <w:qFormat/>
    <w:uiPriority w:val="0"/>
    <w:rPr>
      <w:color w:val="2590EB"/>
      <w:shd w:val="clear" w:color="auto" w:fill="E9F4FD"/>
    </w:rPr>
  </w:style>
  <w:style w:type="character" w:customStyle="1" w:styleId="89">
    <w:name w:val="font41"/>
    <w:qFormat/>
    <w:uiPriority w:val="0"/>
    <w:rPr>
      <w:rFonts w:hint="eastAsia" w:ascii="宋体" w:hAnsi="宋体" w:eastAsia="宋体" w:cs="宋体"/>
      <w:color w:val="000000"/>
      <w:sz w:val="22"/>
      <w:szCs w:val="22"/>
      <w:u w:val="none"/>
    </w:rPr>
  </w:style>
  <w:style w:type="character" w:customStyle="1" w:styleId="90">
    <w:name w:val="hover2"/>
    <w:qFormat/>
    <w:uiPriority w:val="0"/>
    <w:rPr>
      <w:color w:val="2590EB"/>
    </w:rPr>
  </w:style>
  <w:style w:type="character" w:customStyle="1" w:styleId="91">
    <w:name w:val="hover1"/>
    <w:qFormat/>
    <w:uiPriority w:val="0"/>
    <w:rPr>
      <w:color w:val="2590EB"/>
    </w:rPr>
  </w:style>
  <w:style w:type="character" w:customStyle="1" w:styleId="92">
    <w:name w:val="first-child1"/>
    <w:qFormat/>
    <w:uiPriority w:val="0"/>
  </w:style>
  <w:style w:type="character" w:customStyle="1" w:styleId="93">
    <w:name w:val="selected"/>
    <w:qFormat/>
    <w:uiPriority w:val="0"/>
    <w:rPr>
      <w:shd w:val="clear" w:color="auto" w:fill="B00006"/>
    </w:rPr>
  </w:style>
  <w:style w:type="character" w:customStyle="1" w:styleId="94">
    <w:name w:val="gpa"/>
    <w:qFormat/>
    <w:uiPriority w:val="0"/>
    <w:rPr>
      <w:rFonts w:ascii="Arial" w:hAnsi="Arial" w:cs="Arial"/>
      <w:sz w:val="15"/>
      <w:szCs w:val="15"/>
    </w:rPr>
  </w:style>
  <w:style w:type="character" w:customStyle="1" w:styleId="95">
    <w:name w:val="apple-converted-space"/>
    <w:qFormat/>
    <w:uiPriority w:val="0"/>
  </w:style>
  <w:style w:type="character" w:customStyle="1" w:styleId="96">
    <w:name w:val="列出段落 Char"/>
    <w:link w:val="97"/>
    <w:qFormat/>
    <w:locked/>
    <w:uiPriority w:val="0"/>
    <w:rPr>
      <w:rFonts w:ascii="Calibri" w:hAnsi="Calibri" w:eastAsia="宋体"/>
      <w:kern w:val="2"/>
      <w:sz w:val="21"/>
      <w:szCs w:val="22"/>
      <w:lang w:val="en-US" w:eastAsia="zh-CN" w:bidi="ar-SA"/>
    </w:rPr>
  </w:style>
  <w:style w:type="paragraph" w:customStyle="1" w:styleId="97">
    <w:name w:val="List Paragraph1"/>
    <w:basedOn w:val="1"/>
    <w:link w:val="96"/>
    <w:qFormat/>
    <w:uiPriority w:val="0"/>
    <w:pPr>
      <w:spacing w:line="312" w:lineRule="auto"/>
      <w:ind w:firstLine="420" w:firstLineChars="200"/>
    </w:pPr>
    <w:rPr>
      <w:rFonts w:ascii="Calibri" w:hAnsi="Calibri"/>
      <w:szCs w:val="22"/>
    </w:rPr>
  </w:style>
  <w:style w:type="character" w:customStyle="1" w:styleId="98">
    <w:name w:val="displayarti"/>
    <w:qFormat/>
    <w:uiPriority w:val="0"/>
    <w:rPr>
      <w:color w:val="FFFFFF"/>
      <w:shd w:val="clear" w:color="auto" w:fill="A00000"/>
    </w:rPr>
  </w:style>
  <w:style w:type="character" w:customStyle="1" w:styleId="99">
    <w:name w:val="正文首行缩进 2 Char1"/>
    <w:qFormat/>
    <w:uiPriority w:val="0"/>
  </w:style>
  <w:style w:type="character" w:customStyle="1" w:styleId="100">
    <w:name w:val="layui-this"/>
    <w:qFormat/>
    <w:uiPriority w:val="0"/>
    <w:rPr>
      <w:bdr w:val="single" w:color="EEEEEE" w:sz="6" w:space="0"/>
      <w:shd w:val="clear" w:color="auto" w:fill="FFFFFF"/>
    </w:rPr>
  </w:style>
  <w:style w:type="character" w:customStyle="1" w:styleId="101">
    <w:name w:val="font151"/>
    <w:qFormat/>
    <w:uiPriority w:val="0"/>
    <w:rPr>
      <w:rFonts w:hint="default" w:ascii="Verdana" w:hAnsi="Verdana" w:cs="Verdana"/>
      <w:b/>
      <w:bCs/>
      <w:color w:val="333333"/>
      <w:sz w:val="27"/>
      <w:szCs w:val="27"/>
      <w:u w:val="none"/>
    </w:rPr>
  </w:style>
  <w:style w:type="character" w:customStyle="1" w:styleId="102">
    <w:name w:val="font171"/>
    <w:qFormat/>
    <w:uiPriority w:val="0"/>
    <w:rPr>
      <w:rFonts w:hint="eastAsia" w:ascii="宋体" w:hAnsi="宋体" w:eastAsia="宋体" w:cs="宋体"/>
      <w:color w:val="646464"/>
      <w:sz w:val="18"/>
      <w:szCs w:val="18"/>
      <w:u w:val="none"/>
    </w:rPr>
  </w:style>
  <w:style w:type="character" w:customStyle="1" w:styleId="103">
    <w:name w:val="hover7"/>
    <w:qFormat/>
    <w:uiPriority w:val="0"/>
    <w:rPr>
      <w:color w:val="315EFB"/>
    </w:rPr>
  </w:style>
  <w:style w:type="paragraph" w:customStyle="1" w:styleId="104">
    <w:name w:val="列表2"/>
    <w:basedOn w:val="1"/>
    <w:next w:val="1"/>
    <w:qFormat/>
    <w:uiPriority w:val="0"/>
    <w:pPr>
      <w:numPr>
        <w:ilvl w:val="0"/>
        <w:numId w:val="5"/>
      </w:numPr>
      <w:spacing w:line="200" w:lineRule="atLeast"/>
    </w:pPr>
    <w:rPr>
      <w:rFonts w:eastAsia="仿宋"/>
      <w:sz w:val="28"/>
    </w:rPr>
  </w:style>
  <w:style w:type="paragraph" w:customStyle="1" w:styleId="105">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标题4"/>
    <w:basedOn w:val="1"/>
    <w:qFormat/>
    <w:uiPriority w:val="0"/>
    <w:pPr>
      <w:numPr>
        <w:ilvl w:val="0"/>
        <w:numId w:val="6"/>
      </w:numPr>
      <w:spacing w:line="360" w:lineRule="auto"/>
      <w:ind w:left="720" w:leftChars="300"/>
      <w:jc w:val="left"/>
    </w:pPr>
    <w:rPr>
      <w:rFonts w:ascii="宋体" w:hAnsi="宋体"/>
      <w:sz w:val="18"/>
      <w:szCs w:val="18"/>
    </w:rPr>
  </w:style>
  <w:style w:type="paragraph" w:customStyle="1" w:styleId="107">
    <w:name w:val="Char"/>
    <w:basedOn w:val="1"/>
    <w:next w:val="1"/>
    <w:qFormat/>
    <w:uiPriority w:val="0"/>
    <w:pPr>
      <w:widowControl/>
      <w:spacing w:line="360" w:lineRule="auto"/>
      <w:jc w:val="left"/>
    </w:pPr>
    <w:rPr>
      <w:kern w:val="0"/>
      <w:szCs w:val="20"/>
      <w:lang w:eastAsia="en-US"/>
    </w:rPr>
  </w:style>
  <w:style w:type="paragraph" w:customStyle="1" w:styleId="108">
    <w:name w:val="样式1"/>
    <w:basedOn w:val="1"/>
    <w:qFormat/>
    <w:uiPriority w:val="0"/>
    <w:pPr>
      <w:spacing w:line="360" w:lineRule="auto"/>
      <w:jc w:val="center"/>
    </w:pPr>
    <w:rPr>
      <w:b/>
      <w:sz w:val="30"/>
      <w:szCs w:val="30"/>
    </w:rPr>
  </w:style>
  <w:style w:type="paragraph" w:customStyle="1" w:styleId="109">
    <w:name w:val="Char Char Char Char"/>
    <w:basedOn w:val="1"/>
    <w:qFormat/>
    <w:uiPriority w:val="0"/>
    <w:rPr>
      <w:rFonts w:ascii="Tahoma" w:hAnsi="Tahoma"/>
      <w:sz w:val="24"/>
      <w:szCs w:val="20"/>
    </w:rPr>
  </w:style>
  <w:style w:type="paragraph" w:customStyle="1" w:styleId="110">
    <w:name w:val="_Style 4"/>
    <w:basedOn w:val="1"/>
    <w:qFormat/>
    <w:uiPriority w:val="34"/>
    <w:pPr>
      <w:adjustRightInd w:val="0"/>
      <w:ind w:firstLine="420" w:firstLineChars="200"/>
      <w:jc w:val="left"/>
      <w:textAlignment w:val="baseline"/>
    </w:pPr>
    <w:rPr>
      <w:kern w:val="0"/>
      <w:szCs w:val="20"/>
    </w:rPr>
  </w:style>
  <w:style w:type="paragraph" w:customStyle="1" w:styleId="111">
    <w:name w:val="列出段落2"/>
    <w:basedOn w:val="1"/>
    <w:qFormat/>
    <w:uiPriority w:val="0"/>
    <w:pPr>
      <w:ind w:firstLine="420" w:firstLineChars="200"/>
    </w:pPr>
    <w:rPr>
      <w:rFonts w:ascii="Calibri" w:hAnsi="Calibri"/>
      <w:szCs w:val="22"/>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xl25"/>
    <w:basedOn w:val="1"/>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114">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Table Paragraph"/>
    <w:basedOn w:val="1"/>
    <w:qFormat/>
    <w:uiPriority w:val="1"/>
    <w:rPr>
      <w:rFonts w:ascii="宋体" w:hAnsi="宋体" w:cs="宋体"/>
      <w:lang w:val="zh-CN" w:bidi="zh-CN"/>
    </w:rPr>
  </w:style>
  <w:style w:type="paragraph" w:customStyle="1" w:styleId="116">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7">
    <w:name w:val="列出段落1"/>
    <w:basedOn w:val="1"/>
    <w:qFormat/>
    <w:uiPriority w:val="34"/>
    <w:pPr>
      <w:ind w:firstLine="420" w:firstLineChars="200"/>
    </w:pPr>
  </w:style>
  <w:style w:type="paragraph" w:customStyle="1" w:styleId="118">
    <w:name w:val="Char Char Char Char Char Char Char1 Char"/>
    <w:basedOn w:val="1"/>
    <w:qFormat/>
    <w:uiPriority w:val="0"/>
    <w:rPr>
      <w:rFonts w:ascii="Tahoma" w:hAnsi="Tahoma"/>
      <w:sz w:val="24"/>
      <w:szCs w:val="20"/>
    </w:rPr>
  </w:style>
  <w:style w:type="paragraph" w:styleId="119">
    <w:name w:val="List Paragraph"/>
    <w:basedOn w:val="1"/>
    <w:qFormat/>
    <w:uiPriority w:val="0"/>
    <w:pPr>
      <w:spacing w:line="360" w:lineRule="auto"/>
      <w:ind w:firstLine="420" w:firstLineChars="200"/>
    </w:pPr>
    <w:rPr>
      <w:rFonts w:ascii="宋体" w:hAnsi="宋体" w:cs="宋体"/>
      <w:sz w:val="24"/>
    </w:rPr>
  </w:style>
  <w:style w:type="paragraph" w:customStyle="1" w:styleId="120">
    <w:name w:val="List Paragraph2"/>
    <w:basedOn w:val="1"/>
    <w:qFormat/>
    <w:uiPriority w:val="0"/>
    <w:pPr>
      <w:spacing w:line="360" w:lineRule="auto"/>
      <w:ind w:firstLine="420"/>
    </w:pPr>
    <w:rPr>
      <w:color w:val="000000"/>
      <w:sz w:val="24"/>
      <w:szCs w:val="21"/>
    </w:rPr>
  </w:style>
  <w:style w:type="paragraph" w:customStyle="1" w:styleId="121">
    <w:name w:val="（无样式）"/>
    <w:basedOn w:val="1"/>
    <w:qFormat/>
    <w:uiPriority w:val="0"/>
    <w:pPr>
      <w:widowControl/>
      <w:numPr>
        <w:ilvl w:val="0"/>
        <w:numId w:val="7"/>
      </w:numPr>
      <w:spacing w:line="360" w:lineRule="auto"/>
      <w:ind w:firstLine="0"/>
    </w:pPr>
    <w:rPr>
      <w:sz w:val="24"/>
      <w:szCs w:val="20"/>
    </w:rPr>
  </w:style>
  <w:style w:type="paragraph" w:customStyle="1" w:styleId="122">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3">
    <w:name w:val="标题3-副本"/>
    <w:basedOn w:val="29"/>
    <w:qFormat/>
    <w:uiPriority w:val="0"/>
    <w:pPr>
      <w:numPr>
        <w:ilvl w:val="0"/>
        <w:numId w:val="0"/>
      </w:numPr>
      <w:ind w:left="840"/>
    </w:pPr>
  </w:style>
  <w:style w:type="paragraph" w:customStyle="1" w:styleId="12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25">
    <w:name w:val="_Style 2"/>
    <w:basedOn w:val="1"/>
    <w:qFormat/>
    <w:uiPriority w:val="0"/>
  </w:style>
  <w:style w:type="paragraph" w:customStyle="1" w:styleId="12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127">
    <w:name w:val="xl31"/>
    <w:basedOn w:val="1"/>
    <w:qFormat/>
    <w:uiPriority w:val="0"/>
    <w:pPr>
      <w:widowControl/>
      <w:spacing w:before="100" w:beforeAutospacing="1" w:after="100" w:afterAutospacing="1"/>
      <w:jc w:val="center"/>
    </w:pPr>
    <w:rPr>
      <w:b/>
      <w:bCs/>
      <w:kern w:val="0"/>
      <w:sz w:val="28"/>
      <w:szCs w:val="28"/>
    </w:rPr>
  </w:style>
  <w:style w:type="paragraph" w:customStyle="1" w:styleId="128">
    <w:name w:val="Char1"/>
    <w:basedOn w:val="1"/>
    <w:qFormat/>
    <w:uiPriority w:val="0"/>
  </w:style>
  <w:style w:type="table" w:customStyle="1" w:styleId="129">
    <w:name w:val="Table Normal"/>
    <w:unhideWhenUsed/>
    <w:qFormat/>
    <w:uiPriority w:val="0"/>
    <w:tblPr>
      <w:tblCellMar>
        <w:top w:w="0" w:type="dxa"/>
        <w:left w:w="0" w:type="dxa"/>
        <w:bottom w:w="0" w:type="dxa"/>
        <w:right w:w="0" w:type="dxa"/>
      </w:tblCellMar>
    </w:tblPr>
  </w:style>
  <w:style w:type="paragraph" w:customStyle="1" w:styleId="130">
    <w:name w:val="_Style 117"/>
    <w:basedOn w:val="1"/>
    <w:next w:val="1"/>
    <w:qFormat/>
    <w:uiPriority w:val="0"/>
    <w:pPr>
      <w:pBdr>
        <w:bottom w:val="single" w:color="auto" w:sz="6" w:space="1"/>
      </w:pBdr>
      <w:jc w:val="center"/>
    </w:pPr>
    <w:rPr>
      <w:rFonts w:ascii="Arial"/>
      <w:vanish/>
      <w:sz w:val="16"/>
    </w:rPr>
  </w:style>
  <w:style w:type="paragraph" w:customStyle="1" w:styleId="131">
    <w:name w:val="_Style 118"/>
    <w:basedOn w:val="1"/>
    <w:next w:val="1"/>
    <w:qFormat/>
    <w:uiPriority w:val="0"/>
    <w:pPr>
      <w:pBdr>
        <w:top w:val="single" w:color="auto" w:sz="6" w:space="1"/>
      </w:pBdr>
      <w:jc w:val="center"/>
    </w:pPr>
    <w:rPr>
      <w:rFonts w:ascii="Arial"/>
      <w:vanish/>
      <w:sz w:val="16"/>
    </w:rPr>
  </w:style>
  <w:style w:type="character" w:customStyle="1" w:styleId="132">
    <w:name w:val="num"/>
    <w:basedOn w:val="39"/>
    <w:qFormat/>
    <w:uiPriority w:val="0"/>
    <w:rPr>
      <w:b/>
      <w:bCs/>
      <w:color w:val="FF7800"/>
    </w:rPr>
  </w:style>
  <w:style w:type="character" w:customStyle="1" w:styleId="133">
    <w:name w:val="a-desc"/>
    <w:basedOn w:val="39"/>
    <w:qFormat/>
    <w:uiPriority w:val="0"/>
    <w:rPr>
      <w:color w:val="315EFB"/>
    </w:rPr>
  </w:style>
  <w:style w:type="character" w:customStyle="1" w:styleId="134">
    <w:name w:val="bg"/>
    <w:basedOn w:val="39"/>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qFormat/>
    <w:uiPriority w:val="0"/>
  </w:style>
  <w:style w:type="character" w:customStyle="1" w:styleId="138">
    <w:name w:val="del-btn"/>
    <w:basedOn w:val="39"/>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 w:type="paragraph" w:customStyle="1" w:styleId="151">
    <w:name w:val="正文不加"/>
    <w:basedOn w:val="1"/>
    <w:qFormat/>
    <w:uiPriority w:val="0"/>
    <w:pPr>
      <w:snapToGrid w:val="0"/>
      <w:spacing w:line="360" w:lineRule="auto"/>
      <w:ind w:firstLine="200" w:firstLineChars="200"/>
    </w:pPr>
    <w:rPr>
      <w:rFonts w:ascii="宋体"/>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18055</Words>
  <Characters>19530</Characters>
  <Lines>247</Lines>
  <Paragraphs>69</Paragraphs>
  <TotalTime>14</TotalTime>
  <ScaleCrop>false</ScaleCrop>
  <LinksUpToDate>false</LinksUpToDate>
  <CharactersWithSpaces>20875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2025-11-29T23:15:00Z</dcterms:created>
  <dc:creator>pzf</dc:creator>
  <cp:lastModifiedBy>Pim Pom丶</cp:lastModifiedBy>
  <cp:lastPrinted>2025-11-29T15:22:00Z</cp:lastPrinted>
  <dcterms:modified xsi:type="dcterms:W3CDTF">2026-06-10T08:19:43Z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07311383E66246799E5F68329811B32F_13</vt:lpwstr>
  </property>
  <property fmtid="{D5CDD505-2E9C-101B-9397-08002B2CF9AE}" pid="4" name="KSOTemplateDocerSaveRecord">
    <vt:lpwstr>eyJoZGlkIjoiMDk2MmQyNTdjMmYyM2I4Njk3YjVkOTliYjhhNDZiYTEiLCJ1c2VySWQiOiI0MDkyMjI1MTkifQ==</vt:lpwstr>
  </property>
</Properties>
</file>