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6E7343">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bookmarkStart w:id="289" w:name="_GoBack"/>
    </w:p>
    <w:p w14:paraId="5429BC22">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p>
    <w:p w14:paraId="13A22B32">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p>
    <w:p w14:paraId="080C4261">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bookmarkStart w:id="0" w:name="_Hlk9544796"/>
      <w:r>
        <w:rPr>
          <w:rFonts w:hint="eastAsia" w:ascii="宋体" w:hAnsi="宋体" w:eastAsia="宋体"/>
          <w:b/>
          <w:bCs/>
          <w:color w:val="auto"/>
          <w:sz w:val="52"/>
          <w:szCs w:val="52"/>
          <w:highlight w:val="none"/>
        </w:rPr>
        <w:t>安徽省政府采购项目</w:t>
      </w:r>
    </w:p>
    <w:p w14:paraId="29DB36C6">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rPr>
        <w:t>（服务类）</w:t>
      </w:r>
    </w:p>
    <w:p w14:paraId="6DD692F4">
      <w:pPr>
        <w:widowControl/>
        <w:jc w:val="center"/>
        <w:rPr>
          <w:rFonts w:hint="eastAsia"/>
          <w:color w:val="auto"/>
          <w:highlight w:val="none"/>
        </w:rPr>
      </w:pPr>
      <w:r>
        <w:rPr>
          <w:rFonts w:hint="eastAsia" w:ascii="宋体" w:hAnsi="宋体" w:eastAsia="宋体" w:cs="宋体"/>
          <w:b/>
          <w:bCs/>
          <w:color w:val="auto"/>
          <w:kern w:val="0"/>
          <w:sz w:val="52"/>
          <w:szCs w:val="52"/>
          <w:highlight w:val="none"/>
          <w:lang w:bidi="ar"/>
        </w:rPr>
        <w:t>（</w:t>
      </w:r>
      <w:r>
        <w:rPr>
          <w:rFonts w:hint="eastAsia" w:ascii="宋体" w:hAnsi="宋体" w:eastAsia="宋体" w:cs="宋体"/>
          <w:b/>
          <w:bCs/>
          <w:color w:val="auto"/>
          <w:kern w:val="0"/>
          <w:sz w:val="52"/>
          <w:szCs w:val="52"/>
          <w:highlight w:val="none"/>
          <w:lang w:eastAsia="zh-CN" w:bidi="ar"/>
        </w:rPr>
        <w:t>2025年</w:t>
      </w:r>
      <w:r>
        <w:rPr>
          <w:rFonts w:hint="eastAsia" w:ascii="宋体" w:hAnsi="宋体" w:eastAsia="宋体" w:cs="宋体"/>
          <w:b/>
          <w:bCs/>
          <w:color w:val="auto"/>
          <w:kern w:val="0"/>
          <w:sz w:val="52"/>
          <w:szCs w:val="52"/>
          <w:highlight w:val="none"/>
          <w:lang w:bidi="ar"/>
        </w:rPr>
        <w:t>版）</w:t>
      </w:r>
    </w:p>
    <w:p w14:paraId="2B504C4E">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1FBC7057">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03BA38D9">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0C7F0D65">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1CD6A7AE">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0435C3AC">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u w:val="single"/>
          <w:lang w:eastAsia="zh-CN"/>
        </w:rPr>
      </w:pPr>
      <w:r>
        <w:rPr>
          <w:rFonts w:hint="eastAsia" w:ascii="宋体" w:hAnsi="宋体" w:eastAsia="宋体"/>
          <w:b/>
          <w:color w:val="auto"/>
          <w:spacing w:val="20"/>
          <w:kern w:val="0"/>
          <w:sz w:val="32"/>
          <w:szCs w:val="32"/>
          <w:highlight w:val="none"/>
        </w:rPr>
        <w:t>项目名称：</w:t>
      </w:r>
      <w:r>
        <w:rPr>
          <w:rFonts w:hint="eastAsia" w:ascii="宋体" w:hAnsi="宋体" w:eastAsia="宋体"/>
          <w:b/>
          <w:color w:val="auto"/>
          <w:spacing w:val="20"/>
          <w:kern w:val="0"/>
          <w:sz w:val="32"/>
          <w:szCs w:val="32"/>
          <w:highlight w:val="none"/>
          <w:u w:val="single"/>
          <w:lang w:eastAsia="zh-CN"/>
        </w:rPr>
        <w:t>安徽省一体化数据基础平台滁州市级节点运维平台项目</w:t>
      </w:r>
    </w:p>
    <w:p w14:paraId="720A970B">
      <w:pPr>
        <w:tabs>
          <w:tab w:val="left" w:pos="2410"/>
        </w:tabs>
        <w:autoSpaceDE w:val="0"/>
        <w:autoSpaceDN w:val="0"/>
        <w:adjustRightInd w:val="0"/>
        <w:snapToGrid w:val="0"/>
        <w:spacing w:line="360" w:lineRule="auto"/>
        <w:ind w:firstLine="723" w:firstLineChars="200"/>
        <w:rPr>
          <w:rFonts w:hint="default" w:ascii="Arial" w:hAnsi="Arial" w:eastAsia="宋体" w:cs="Arial"/>
          <w:color w:val="auto"/>
          <w:sz w:val="21"/>
          <w:szCs w:val="21"/>
          <w:highlight w:val="none"/>
        </w:rPr>
      </w:pPr>
      <w:r>
        <w:rPr>
          <w:rFonts w:hint="eastAsia" w:ascii="宋体" w:hAnsi="宋体" w:eastAsia="宋体"/>
          <w:b/>
          <w:color w:val="auto"/>
          <w:spacing w:val="20"/>
          <w:kern w:val="0"/>
          <w:sz w:val="32"/>
          <w:szCs w:val="32"/>
          <w:highlight w:val="none"/>
        </w:rPr>
        <w:t>项目编号：</w:t>
      </w:r>
      <w:r>
        <w:rPr>
          <w:rFonts w:hint="eastAsia" w:ascii="宋体" w:hAnsi="宋体" w:eastAsia="宋体"/>
          <w:b/>
          <w:color w:val="auto"/>
          <w:spacing w:val="20"/>
          <w:kern w:val="0"/>
          <w:sz w:val="32"/>
          <w:szCs w:val="32"/>
          <w:highlight w:val="none"/>
          <w:u w:val="single"/>
          <w:lang w:eastAsia="zh-CN"/>
        </w:rPr>
        <w:t>czsjcg202508-020</w:t>
      </w:r>
    </w:p>
    <w:p w14:paraId="1224C77B">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lang w:eastAsia="zh-CN"/>
        </w:rPr>
      </w:pPr>
      <w:r>
        <w:rPr>
          <w:rFonts w:hint="eastAsia" w:ascii="宋体" w:hAnsi="宋体" w:eastAsia="宋体"/>
          <w:b/>
          <w:color w:val="auto"/>
          <w:spacing w:val="20"/>
          <w:kern w:val="0"/>
          <w:sz w:val="32"/>
          <w:szCs w:val="32"/>
          <w:highlight w:val="none"/>
        </w:rPr>
        <w:t>采 购 人：</w:t>
      </w:r>
      <w:r>
        <w:rPr>
          <w:rFonts w:hint="eastAsia" w:ascii="宋体" w:hAnsi="宋体" w:eastAsia="宋体"/>
          <w:b/>
          <w:color w:val="auto"/>
          <w:spacing w:val="20"/>
          <w:kern w:val="0"/>
          <w:sz w:val="32"/>
          <w:szCs w:val="32"/>
          <w:highlight w:val="none"/>
          <w:u w:val="single"/>
          <w:lang w:eastAsia="zh-CN"/>
        </w:rPr>
        <w:t>滁州市数据资源管理局</w:t>
      </w:r>
    </w:p>
    <w:p w14:paraId="21D05300">
      <w:pPr>
        <w:tabs>
          <w:tab w:val="left" w:pos="2410"/>
        </w:tabs>
        <w:autoSpaceDE w:val="0"/>
        <w:autoSpaceDN w:val="0"/>
        <w:adjustRightInd w:val="0"/>
        <w:snapToGrid w:val="0"/>
        <w:spacing w:line="360" w:lineRule="auto"/>
        <w:ind w:firstLine="723" w:firstLineChars="200"/>
        <w:rPr>
          <w:rFonts w:hint="eastAsia" w:ascii="宋体" w:hAnsi="宋体" w:eastAsia="宋体"/>
          <w:b/>
          <w:color w:val="auto"/>
          <w:spacing w:val="20"/>
          <w:kern w:val="0"/>
          <w:sz w:val="32"/>
          <w:szCs w:val="32"/>
          <w:highlight w:val="none"/>
          <w:u w:val="single"/>
          <w:lang w:eastAsia="zh-CN"/>
        </w:rPr>
      </w:pPr>
      <w:r>
        <w:rPr>
          <w:rFonts w:hint="eastAsia" w:ascii="宋体" w:hAnsi="宋体" w:eastAsia="宋体"/>
          <w:b/>
          <w:color w:val="auto"/>
          <w:spacing w:val="20"/>
          <w:kern w:val="0"/>
          <w:sz w:val="32"/>
          <w:szCs w:val="32"/>
          <w:highlight w:val="none"/>
        </w:rPr>
        <w:t>采购代理机构：</w:t>
      </w:r>
      <w:r>
        <w:rPr>
          <w:rFonts w:hint="eastAsia" w:ascii="宋体" w:hAnsi="宋体" w:eastAsia="宋体"/>
          <w:b/>
          <w:color w:val="auto"/>
          <w:spacing w:val="20"/>
          <w:kern w:val="0"/>
          <w:sz w:val="32"/>
          <w:szCs w:val="32"/>
          <w:highlight w:val="none"/>
          <w:u w:val="single"/>
          <w:lang w:eastAsia="zh-CN"/>
        </w:rPr>
        <w:t>滁州市政府采购中心</w:t>
      </w:r>
    </w:p>
    <w:p w14:paraId="52DB42B8">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44"/>
          <w:szCs w:val="44"/>
          <w:highlight w:val="none"/>
        </w:rPr>
      </w:pPr>
    </w:p>
    <w:p w14:paraId="51BFB000">
      <w:pPr>
        <w:tabs>
          <w:tab w:val="left" w:pos="2410"/>
        </w:tabs>
        <w:autoSpaceDE w:val="0"/>
        <w:autoSpaceDN w:val="0"/>
        <w:adjustRightInd w:val="0"/>
        <w:snapToGrid w:val="0"/>
        <w:spacing w:line="360" w:lineRule="auto"/>
        <w:jc w:val="center"/>
        <w:rPr>
          <w:rFonts w:hint="eastAsia" w:ascii="宋体" w:hAnsi="宋体" w:eastAsia="宋体"/>
          <w:b/>
          <w:color w:val="auto"/>
          <w:sz w:val="36"/>
          <w:highlight w:val="none"/>
        </w:rPr>
      </w:pPr>
      <w:r>
        <w:rPr>
          <w:rFonts w:hint="eastAsia" w:ascii="宋体" w:hAnsi="宋体" w:eastAsia="宋体"/>
          <w:b/>
          <w:color w:val="auto"/>
          <w:sz w:val="36"/>
          <w:highlight w:val="none"/>
          <w:u w:val="single"/>
          <w:lang w:eastAsia="zh-CN"/>
        </w:rPr>
        <w:t>2025</w:t>
      </w:r>
      <w:r>
        <w:rPr>
          <w:rFonts w:hint="eastAsia" w:ascii="宋体" w:hAnsi="宋体" w:eastAsia="宋体"/>
          <w:b/>
          <w:color w:val="auto"/>
          <w:sz w:val="36"/>
          <w:highlight w:val="none"/>
          <w:u w:val="single"/>
          <w:lang w:val="en-US" w:eastAsia="zh-CN"/>
        </w:rPr>
        <w:t xml:space="preserve"> </w:t>
      </w:r>
      <w:r>
        <w:rPr>
          <w:rFonts w:hint="eastAsia" w:ascii="宋体" w:hAnsi="宋体" w:eastAsia="宋体"/>
          <w:b/>
          <w:color w:val="auto"/>
          <w:sz w:val="36"/>
          <w:highlight w:val="none"/>
          <w:u w:val="none"/>
          <w:lang w:eastAsia="zh-CN"/>
        </w:rPr>
        <w:t>年</w:t>
      </w:r>
      <w:r>
        <w:rPr>
          <w:rFonts w:hint="eastAsia" w:ascii="宋体" w:hAnsi="宋体" w:eastAsia="宋体"/>
          <w:b/>
          <w:color w:val="auto"/>
          <w:sz w:val="36"/>
          <w:highlight w:val="none"/>
          <w:u w:val="single"/>
          <w:lang w:val="en-US" w:eastAsia="zh-CN"/>
        </w:rPr>
        <w:t xml:space="preserve"> 8 </w:t>
      </w:r>
      <w:r>
        <w:rPr>
          <w:rFonts w:hint="eastAsia" w:ascii="宋体" w:hAnsi="宋体" w:eastAsia="宋体"/>
          <w:b/>
          <w:color w:val="auto"/>
          <w:sz w:val="36"/>
          <w:highlight w:val="none"/>
          <w:u w:val="none"/>
        </w:rPr>
        <w:t>月</w:t>
      </w:r>
      <w:r>
        <w:rPr>
          <w:rFonts w:ascii="宋体" w:hAnsi="宋体" w:eastAsia="宋体"/>
          <w:b/>
          <w:color w:val="auto"/>
          <w:sz w:val="36"/>
          <w:highlight w:val="none"/>
        </w:rPr>
        <w:br w:type="page"/>
      </w:r>
    </w:p>
    <w:p w14:paraId="36BBF088">
      <w:pPr>
        <w:tabs>
          <w:tab w:val="left" w:pos="2410"/>
        </w:tabs>
        <w:autoSpaceDE w:val="0"/>
        <w:autoSpaceDN w:val="0"/>
        <w:adjustRightInd w:val="0"/>
        <w:snapToGrid w:val="0"/>
        <w:spacing w:line="360" w:lineRule="auto"/>
        <w:jc w:val="center"/>
        <w:rPr>
          <w:rFonts w:hint="eastAsia" w:ascii="宋体" w:hAnsi="宋体" w:eastAsia="宋体"/>
          <w:b/>
          <w:color w:val="auto"/>
          <w:sz w:val="28"/>
          <w:highlight w:val="none"/>
        </w:rPr>
      </w:pPr>
    </w:p>
    <w:p w14:paraId="6C225687">
      <w:pPr>
        <w:tabs>
          <w:tab w:val="left" w:pos="2410"/>
        </w:tabs>
        <w:autoSpaceDE w:val="0"/>
        <w:autoSpaceDN w:val="0"/>
        <w:adjustRightInd w:val="0"/>
        <w:snapToGrid w:val="0"/>
        <w:spacing w:line="60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目  录</w:t>
      </w:r>
    </w:p>
    <w:p w14:paraId="1BBDC952">
      <w:pPr>
        <w:pStyle w:val="25"/>
        <w:tabs>
          <w:tab w:val="right" w:leader="dot" w:pos="8306"/>
        </w:tabs>
        <w:spacing w:line="600" w:lineRule="exact"/>
        <w:jc w:val="center"/>
        <w:rPr>
          <w:rFonts w:hint="eastAsia" w:ascii="宋体" w:hAnsi="宋体" w:eastAsia="宋体" w:cs="宋体"/>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"1-2" \h \z \u </w:instrText>
      </w:r>
      <w:r>
        <w:rPr>
          <w:rFonts w:hint="eastAsia" w:ascii="宋体" w:hAnsi="宋体" w:eastAsia="宋体" w:cs="宋体"/>
          <w:b/>
          <w:color w:val="auto"/>
          <w:sz w:val="24"/>
          <w:szCs w:val="24"/>
          <w:highlight w:val="none"/>
        </w:rPr>
        <w:fldChar w:fldCharType="separate"/>
      </w:r>
      <w:r>
        <w:rPr>
          <w:color w:val="auto"/>
          <w:highlight w:val="none"/>
        </w:rPr>
        <w:fldChar w:fldCharType="begin"/>
      </w:r>
      <w:r>
        <w:rPr>
          <w:color w:val="auto"/>
          <w:highlight w:val="none"/>
        </w:rPr>
        <w:instrText xml:space="preserve"> HYPERLINK \l "_Toc32331" </w:instrText>
      </w:r>
      <w:r>
        <w:rPr>
          <w:color w:val="auto"/>
          <w:highlight w:val="none"/>
        </w:rPr>
        <w:fldChar w:fldCharType="separate"/>
      </w:r>
      <w:r>
        <w:rPr>
          <w:rFonts w:hint="eastAsia" w:ascii="宋体" w:hAnsi="宋体" w:eastAsia="宋体" w:cs="宋体"/>
          <w:color w:val="auto"/>
          <w:highlight w:val="none"/>
        </w:rPr>
        <w:t>第一章  投标邀请</w:t>
      </w:r>
      <w:r>
        <w:rPr>
          <w:rFonts w:hint="eastAsia" w:ascii="宋体" w:hAnsi="宋体" w:eastAsia="宋体" w:cs="宋体"/>
          <w:color w:val="auto"/>
          <w:highlight w:val="none"/>
        </w:rPr>
        <w:tab/>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p>
    <w:p w14:paraId="6BE917EF">
      <w:pPr>
        <w:pStyle w:val="25"/>
        <w:tabs>
          <w:tab w:val="right" w:leader="dot" w:pos="8306"/>
        </w:tabs>
        <w:spacing w:line="600" w:lineRule="exact"/>
        <w:jc w:val="center"/>
        <w:rPr>
          <w:rFonts w:hint="eastAsia" w:ascii="宋体" w:hAnsi="宋体" w:eastAsia="宋体" w:cs="宋体"/>
          <w:color w:val="auto"/>
          <w:highlight w:val="none"/>
        </w:rPr>
      </w:pPr>
      <w:r>
        <w:rPr>
          <w:color w:val="auto"/>
          <w:highlight w:val="none"/>
        </w:rPr>
        <w:fldChar w:fldCharType="begin"/>
      </w:r>
      <w:r>
        <w:rPr>
          <w:color w:val="auto"/>
          <w:highlight w:val="none"/>
        </w:rPr>
        <w:instrText xml:space="preserve"> HYPERLINK \l "_Toc8888" </w:instrText>
      </w:r>
      <w:r>
        <w:rPr>
          <w:color w:val="auto"/>
          <w:highlight w:val="none"/>
        </w:rPr>
        <w:fldChar w:fldCharType="separate"/>
      </w:r>
      <w:r>
        <w:rPr>
          <w:rFonts w:hint="eastAsia" w:ascii="宋体" w:hAnsi="宋体" w:eastAsia="宋体" w:cs="宋体"/>
          <w:color w:val="auto"/>
          <w:highlight w:val="none"/>
        </w:rPr>
        <w:t>第二章  投标人须知</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fldChar w:fldCharType="end"/>
      </w:r>
    </w:p>
    <w:p w14:paraId="51F26EC3">
      <w:pPr>
        <w:pStyle w:val="25"/>
        <w:tabs>
          <w:tab w:val="right" w:leader="dot" w:pos="8306"/>
        </w:tabs>
        <w:spacing w:line="600" w:lineRule="exact"/>
        <w:jc w:val="center"/>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"_Toc22605" </w:instrText>
      </w:r>
      <w:r>
        <w:rPr>
          <w:color w:val="auto"/>
          <w:highlight w:val="none"/>
        </w:rPr>
        <w:fldChar w:fldCharType="separate"/>
      </w:r>
      <w:r>
        <w:rPr>
          <w:rFonts w:hint="eastAsia" w:ascii="宋体" w:hAnsi="宋体" w:eastAsia="宋体" w:cs="宋体"/>
          <w:color w:val="auto"/>
          <w:highlight w:val="none"/>
        </w:rPr>
        <w:t>第三章  采购需求</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2</w:t>
      </w:r>
    </w:p>
    <w:p w14:paraId="175562A4">
      <w:pPr>
        <w:pStyle w:val="25"/>
        <w:tabs>
          <w:tab w:val="right" w:leader="dot" w:pos="8306"/>
        </w:tabs>
        <w:spacing w:line="600" w:lineRule="exact"/>
        <w:jc w:val="center"/>
        <w:rPr>
          <w:rFonts w:hint="eastAsia" w:ascii="宋体" w:hAnsi="宋体" w:eastAsia="宋体" w:cs="宋体"/>
          <w:color w:val="auto"/>
          <w:highlight w:val="none"/>
          <w:lang w:eastAsia="zh-CN"/>
        </w:rPr>
      </w:pPr>
      <w:r>
        <w:rPr>
          <w:color w:val="auto"/>
          <w:highlight w:val="none"/>
        </w:rPr>
        <w:fldChar w:fldCharType="begin"/>
      </w:r>
      <w:r>
        <w:rPr>
          <w:color w:val="auto"/>
          <w:highlight w:val="none"/>
        </w:rPr>
        <w:instrText xml:space="preserve"> HYPERLINK \l "_Toc30824" </w:instrText>
      </w:r>
      <w:r>
        <w:rPr>
          <w:color w:val="auto"/>
          <w:highlight w:val="none"/>
        </w:rPr>
        <w:fldChar w:fldCharType="separate"/>
      </w:r>
      <w:r>
        <w:rPr>
          <w:rFonts w:hint="eastAsia" w:ascii="宋体" w:hAnsi="宋体" w:eastAsia="宋体" w:cs="宋体"/>
          <w:color w:val="auto"/>
          <w:highlight w:val="none"/>
        </w:rPr>
        <w:t>第四章  评标方法和标准（综合评分法）</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1</w:t>
      </w:r>
    </w:p>
    <w:p w14:paraId="4441AD1F">
      <w:pPr>
        <w:pStyle w:val="25"/>
        <w:tabs>
          <w:tab w:val="right" w:leader="dot" w:pos="8306"/>
        </w:tabs>
        <w:spacing w:line="600" w:lineRule="exact"/>
        <w:jc w:val="center"/>
        <w:rPr>
          <w:rFonts w:hint="eastAsia" w:ascii="宋体" w:hAnsi="宋体" w:eastAsia="宋体" w:cs="宋体"/>
          <w:color w:val="auto"/>
          <w:szCs w:val="24"/>
          <w:highlight w:val="none"/>
          <w:lang w:eastAsia="zh-CN"/>
        </w:rPr>
      </w:pPr>
      <w:r>
        <w:rPr>
          <w:color w:val="auto"/>
          <w:highlight w:val="none"/>
        </w:rPr>
        <w:fldChar w:fldCharType="begin"/>
      </w:r>
      <w:r>
        <w:rPr>
          <w:color w:val="auto"/>
          <w:highlight w:val="none"/>
        </w:rPr>
        <w:instrText xml:space="preserve"> HYPERLINK \l "_Toc20405" </w:instrText>
      </w:r>
      <w:r>
        <w:rPr>
          <w:color w:val="auto"/>
          <w:highlight w:val="none"/>
        </w:rPr>
        <w:fldChar w:fldCharType="separate"/>
      </w:r>
      <w:r>
        <w:rPr>
          <w:rFonts w:hint="eastAsia" w:ascii="宋体" w:hAnsi="宋体" w:eastAsia="宋体" w:cs="宋体"/>
          <w:color w:val="auto"/>
          <w:highlight w:val="none"/>
        </w:rPr>
        <w:t>第五章  政府采购合同</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2</w:t>
      </w:r>
    </w:p>
    <w:p w14:paraId="23C15EC4">
      <w:pPr>
        <w:pStyle w:val="25"/>
        <w:tabs>
          <w:tab w:val="right" w:leader="dot" w:pos="8306"/>
        </w:tabs>
        <w:spacing w:line="600" w:lineRule="exact"/>
        <w:jc w:val="center"/>
        <w:rPr>
          <w:rFonts w:hint="eastAsia" w:ascii="宋体" w:hAnsi="宋体" w:eastAsia="宋体" w:cs="宋体"/>
          <w:color w:val="auto"/>
          <w:szCs w:val="24"/>
          <w:highlight w:val="none"/>
          <w:lang w:eastAsia="zh-CN"/>
        </w:rPr>
      </w:pPr>
      <w:r>
        <w:rPr>
          <w:color w:val="auto"/>
          <w:highlight w:val="none"/>
        </w:rPr>
        <w:fldChar w:fldCharType="begin"/>
      </w:r>
      <w:r>
        <w:rPr>
          <w:color w:val="auto"/>
          <w:highlight w:val="none"/>
        </w:rPr>
        <w:instrText xml:space="preserve"> HYPERLINK \l "_Toc13555" </w:instrText>
      </w:r>
      <w:r>
        <w:rPr>
          <w:color w:val="auto"/>
          <w:highlight w:val="none"/>
        </w:rPr>
        <w:fldChar w:fldCharType="separate"/>
      </w:r>
      <w:r>
        <w:rPr>
          <w:rFonts w:hint="eastAsia" w:ascii="宋体" w:hAnsi="宋体" w:eastAsia="宋体" w:cs="宋体"/>
          <w:color w:val="auto"/>
          <w:highlight w:val="none"/>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1</w:t>
      </w:r>
    </w:p>
    <w:p w14:paraId="7AAB4986">
      <w:pPr>
        <w:pStyle w:val="25"/>
        <w:tabs>
          <w:tab w:val="right" w:leader="dot" w:pos="8306"/>
        </w:tabs>
        <w:spacing w:line="600" w:lineRule="exact"/>
        <w:jc w:val="center"/>
        <w:rPr>
          <w:rFonts w:hint="eastAsia" w:ascii="宋体" w:hAnsi="宋体" w:eastAsia="宋体" w:cs="宋体"/>
          <w:color w:val="auto"/>
          <w:szCs w:val="24"/>
          <w:highlight w:val="none"/>
          <w:lang w:eastAsia="zh-CN"/>
        </w:rPr>
      </w:pPr>
      <w:r>
        <w:rPr>
          <w:color w:val="auto"/>
          <w:highlight w:val="none"/>
        </w:rPr>
        <w:fldChar w:fldCharType="begin"/>
      </w:r>
      <w:r>
        <w:rPr>
          <w:color w:val="auto"/>
          <w:highlight w:val="none"/>
        </w:rPr>
        <w:instrText xml:space="preserve"> HYPERLINK \l "_Toc20819" </w:instrText>
      </w:r>
      <w:r>
        <w:rPr>
          <w:color w:val="auto"/>
          <w:highlight w:val="none"/>
        </w:rPr>
        <w:fldChar w:fldCharType="separate"/>
      </w:r>
      <w:r>
        <w:rPr>
          <w:rFonts w:hint="eastAsia" w:ascii="宋体" w:hAnsi="宋体" w:eastAsia="宋体" w:cs="宋体"/>
          <w:color w:val="auto"/>
          <w:highlight w:val="none"/>
        </w:rPr>
        <w:t>第七章</w:t>
      </w:r>
      <w:r>
        <w:rPr>
          <w:rFonts w:hint="eastAsia" w:ascii="宋体" w:hAnsi="宋体" w:eastAsia="宋体" w:cs="宋体"/>
          <w:bCs/>
          <w:color w:val="auto"/>
          <w:highlight w:val="none"/>
        </w:rPr>
        <w:t xml:space="preserve">  政府采购</w:t>
      </w:r>
      <w:r>
        <w:rPr>
          <w:rFonts w:hint="eastAsia" w:ascii="宋体" w:hAnsi="宋体" w:eastAsia="宋体" w:cs="宋体"/>
          <w:color w:val="auto"/>
          <w:highlight w:val="none"/>
        </w:rPr>
        <w:t>供应</w:t>
      </w:r>
      <w:r>
        <w:rPr>
          <w:rFonts w:hint="eastAsia" w:ascii="宋体" w:hAnsi="宋体" w:eastAsia="宋体" w:cs="宋体"/>
          <w:bCs/>
          <w:color w:val="auto"/>
          <w:highlight w:val="none"/>
        </w:rPr>
        <w:t>商询问函和质疑函范本</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68</w:t>
      </w:r>
    </w:p>
    <w:p w14:paraId="4A220859">
      <w:pPr>
        <w:pStyle w:val="25"/>
        <w:tabs>
          <w:tab w:val="right" w:leader="dot" w:pos="8306"/>
        </w:tabs>
        <w:rPr>
          <w:rFonts w:hint="eastAsia" w:asciiTheme="minorEastAsia" w:hAnsiTheme="minorEastAsia"/>
          <w:b/>
          <w:color w:val="auto"/>
          <w:sz w:val="32"/>
          <w:highlight w:val="none"/>
        </w:rPr>
      </w:pPr>
      <w:r>
        <w:rPr>
          <w:rFonts w:hint="eastAsia" w:ascii="宋体" w:hAnsi="宋体" w:eastAsia="宋体" w:cs="宋体"/>
          <w:color w:val="auto"/>
          <w:szCs w:val="24"/>
          <w:highlight w:val="none"/>
        </w:rPr>
        <w:fldChar w:fldCharType="end"/>
      </w:r>
    </w:p>
    <w:p w14:paraId="2F79C94E">
      <w:pPr>
        <w:spacing w:line="360" w:lineRule="auto"/>
        <w:rPr>
          <w:rFonts w:hint="eastAsia" w:asciiTheme="minorEastAsia" w:hAnsiTheme="minorEastAsia" w:eastAsiaTheme="minorEastAsia"/>
          <w:b/>
          <w:color w:val="auto"/>
          <w:sz w:val="32"/>
          <w:highlight w:val="none"/>
        </w:rPr>
      </w:pPr>
    </w:p>
    <w:p w14:paraId="711B2AE8">
      <w:pPr>
        <w:spacing w:line="360" w:lineRule="auto"/>
        <w:jc w:val="center"/>
        <w:outlineLvl w:val="1"/>
        <w:rPr>
          <w:rFonts w:hint="eastAsia" w:asciiTheme="minorEastAsia" w:hAnsiTheme="minorEastAsia" w:eastAsiaTheme="minorEastAsia"/>
          <w:b/>
          <w:color w:val="auto"/>
          <w:sz w:val="28"/>
          <w:highlight w:val="none"/>
        </w:rPr>
        <w:sectPr>
          <w:headerReference r:id="rId3" w:type="default"/>
          <w:footerReference r:id="rId4" w:type="default"/>
          <w:pgSz w:w="11906" w:h="16838"/>
          <w:pgMar w:top="1134" w:right="1134" w:bottom="1134" w:left="1134" w:header="851" w:footer="992" w:gutter="0"/>
          <w:cols w:space="425" w:num="1"/>
          <w:docGrid w:type="lines" w:linePitch="312" w:charSpace="0"/>
        </w:sectPr>
      </w:pPr>
    </w:p>
    <w:p w14:paraId="7488B8C1">
      <w:pPr>
        <w:pStyle w:val="6"/>
        <w:pageBreakBefore w:val="0"/>
        <w:tabs>
          <w:tab w:val="left" w:pos="0"/>
          <w:tab w:val="left" w:pos="3165"/>
          <w:tab w:val="center" w:pos="4153"/>
        </w:tabs>
        <w:kinsoku/>
        <w:overflowPunct/>
        <w:topLinePunct w:val="0"/>
        <w:autoSpaceDE w:val="0"/>
        <w:autoSpaceDN w:val="0"/>
        <w:bidi w:val="0"/>
        <w:adjustRightInd w:val="0"/>
        <w:snapToGrid/>
        <w:spacing w:before="0" w:after="0" w:line="420" w:lineRule="exact"/>
        <w:jc w:val="center"/>
        <w:textAlignment w:val="auto"/>
        <w:rPr>
          <w:rFonts w:hint="eastAsia" w:asciiTheme="minorEastAsia" w:hAnsiTheme="minorEastAsia" w:eastAsiaTheme="minorEastAsia"/>
          <w:color w:val="auto"/>
          <w:sz w:val="28"/>
          <w:highlight w:val="none"/>
        </w:rPr>
      </w:pPr>
      <w:bookmarkStart w:id="1" w:name="_Toc32331"/>
      <w:r>
        <w:rPr>
          <w:rFonts w:hint="eastAsia" w:asciiTheme="minorEastAsia" w:hAnsiTheme="minorEastAsia" w:eastAsiaTheme="minorEastAsia"/>
          <w:color w:val="auto"/>
          <w:sz w:val="28"/>
          <w:highlight w:val="none"/>
        </w:rPr>
        <w:t xml:space="preserve">第一章 </w:t>
      </w:r>
      <w:r>
        <w:rPr>
          <w:rFonts w:asciiTheme="minorEastAsia" w:hAnsiTheme="minorEastAsia" w:eastAsiaTheme="minorEastAsia"/>
          <w:color w:val="auto"/>
          <w:sz w:val="28"/>
          <w:highlight w:val="none"/>
        </w:rPr>
        <w:t xml:space="preserve"> </w:t>
      </w:r>
      <w:bookmarkEnd w:id="1"/>
      <w:bookmarkStart w:id="2" w:name="_Toc35393790"/>
      <w:bookmarkStart w:id="3" w:name="_Toc35393621"/>
      <w:bookmarkStart w:id="4" w:name="_Toc28359002"/>
      <w:bookmarkStart w:id="5" w:name="_Toc28359079"/>
      <w:bookmarkStart w:id="6" w:name="_Hlk24379207"/>
      <w:r>
        <w:rPr>
          <w:rFonts w:asciiTheme="minorEastAsia" w:hAnsiTheme="minorEastAsia" w:eastAsiaTheme="minorEastAsia"/>
          <w:color w:val="auto"/>
          <w:sz w:val="28"/>
          <w:highlight w:val="none"/>
        </w:rPr>
        <w:t>投标邀请</w:t>
      </w:r>
    </w:p>
    <w:p w14:paraId="09311800">
      <w:pPr>
        <w:keepNext/>
        <w:keepLines/>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7B774FD3">
      <w:pPr>
        <w:keepNext/>
        <w:keepLines/>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安徽省一体化数据基础平台滁州市级节点运维平台项目</w:t>
      </w:r>
      <w:r>
        <w:rPr>
          <w:rFonts w:hint="eastAsia" w:ascii="宋体" w:hAnsi="宋体" w:eastAsia="宋体" w:cs="宋体"/>
          <w:color w:val="auto"/>
          <w:sz w:val="24"/>
          <w:szCs w:val="24"/>
          <w:highlight w:val="none"/>
        </w:rPr>
        <w:t>的潜在供应商应在滁州市公共资源交易中心网（http：//ggzy.chuzhou.gov.cn/）获取招标文件，并于202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日08点00分（北京时间）前递交投标文件。</w:t>
      </w:r>
    </w:p>
    <w:p w14:paraId="293D32F9">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bookmarkEnd w:id="2"/>
      <w:bookmarkEnd w:id="3"/>
      <w:bookmarkEnd w:id="4"/>
      <w:bookmarkEnd w:id="5"/>
    </w:p>
    <w:p w14:paraId="0F25B521">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 xml:space="preserve">：czsjcg202508-020 </w:t>
      </w:r>
    </w:p>
    <w:p w14:paraId="7A25EF0B">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bookmarkEnd w:id="6"/>
      <w:r>
        <w:rPr>
          <w:rFonts w:hint="eastAsia" w:ascii="宋体" w:hAnsi="宋体" w:eastAsia="宋体" w:cs="宋体"/>
          <w:color w:val="auto"/>
          <w:sz w:val="24"/>
          <w:szCs w:val="24"/>
          <w:highlight w:val="none"/>
          <w:lang w:eastAsia="zh-CN"/>
        </w:rPr>
        <w:t>安徽省一体化数据基础平台滁州市级节点运维平台项目</w:t>
      </w:r>
    </w:p>
    <w:p w14:paraId="454BBF2E">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lang w:val="en-US" w:eastAsia="zh-CN"/>
        </w:rPr>
        <w:t>1200000.00元</w:t>
      </w:r>
    </w:p>
    <w:p w14:paraId="2B3FFD24">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最高限价：1200000.00元，投标报价高于最高限价的，其投标文件按无效投标处理。</w:t>
      </w:r>
    </w:p>
    <w:p w14:paraId="64D35ABF">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按照全省一体化数据基础平台迭代工程建设要求，建设滁州市一体化运维平台，并将滁州市一体化运维平台门户集成至省一体化数据基础平台门户安全运维平台模块中。运维平台主要功能模块包括运维数据采集平台、资产管理子平台、全栈监控子平台、统一告警子平台、运维工作台等。通过主动采集、对接等方式获取到全市政务信创云、政务外网和一体化平台市级节点等区域的网络安全设备、服务器、存储设备、数据库、操作系统、中间件、业务系统、业务接口、应用软件等运维监控指标数据，并纳入平台进行统一监控、统一管理、统一分析，实现监控预警、故障发现、问题定位，完成工单的转派、处置等。按照运维平台省市对接规范将9类运维数据上报至省平台，完成省市互联互通。</w:t>
      </w:r>
    </w:p>
    <w:p w14:paraId="465160DC">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合同履行期限：本项目建设周期3个月（自合同签订之日计算），平台基本功能建设完成后开展项目初验，试运行期6个月（自初验合格之日计算）后开展项目终验。项目终验合格后需提供3年免费运维服务。</w:t>
      </w:r>
    </w:p>
    <w:p w14:paraId="34CDE25A">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p w14:paraId="792CF2FD">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bookmarkStart w:id="7" w:name="_Toc35393791"/>
      <w:bookmarkStart w:id="8" w:name="_Toc28359003"/>
      <w:bookmarkStart w:id="9" w:name="_Toc28359080"/>
      <w:bookmarkStart w:id="10" w:name="_Toc35393622"/>
      <w:r>
        <w:rPr>
          <w:rFonts w:hint="eastAsia" w:ascii="宋体" w:hAnsi="宋体" w:eastAsia="宋体" w:cs="宋体"/>
          <w:b/>
          <w:bCs/>
          <w:color w:val="auto"/>
          <w:sz w:val="24"/>
          <w:szCs w:val="24"/>
          <w:highlight w:val="none"/>
        </w:rPr>
        <w:t>二、申请人的资格要求：</w:t>
      </w:r>
      <w:bookmarkEnd w:id="7"/>
      <w:bookmarkEnd w:id="8"/>
      <w:bookmarkEnd w:id="9"/>
      <w:bookmarkEnd w:id="10"/>
    </w:p>
    <w:p w14:paraId="6F81B93B">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4E1D4C5B">
      <w:pPr>
        <w:pStyle w:val="28"/>
        <w:pageBreakBefore w:val="0"/>
        <w:kinsoku/>
        <w:overflowPunct/>
        <w:topLinePunct w:val="0"/>
        <w:bidi w:val="0"/>
        <w:snapToGrid/>
        <w:spacing w:before="0" w:beforeAutospacing="0" w:after="0" w:afterAutospacing="0" w:line="420" w:lineRule="exact"/>
        <w:ind w:firstLine="480" w:firstLineChars="200"/>
        <w:textAlignment w:val="auto"/>
        <w:rPr>
          <w:rFonts w:hint="eastAsia" w:ascii="宋体" w:hAnsi="宋体" w:eastAsia="宋体" w:cs="宋体"/>
          <w:color w:val="auto"/>
          <w:kern w:val="2"/>
          <w:szCs w:val="24"/>
          <w:highlight w:val="none"/>
          <w:lang w:eastAsia="zh-CN"/>
        </w:rPr>
      </w:pPr>
      <w:bookmarkStart w:id="11" w:name="_Toc28359081"/>
      <w:bookmarkStart w:id="12" w:name="_Toc28359004"/>
      <w:r>
        <w:rPr>
          <w:rFonts w:hint="eastAsia" w:ascii="宋体" w:hAnsi="宋体" w:eastAsia="宋体" w:cs="宋体"/>
          <w:color w:val="auto"/>
          <w:szCs w:val="24"/>
          <w:highlight w:val="none"/>
        </w:rPr>
        <w:t>2.落实政府采购政策需满足的资格要求：</w:t>
      </w:r>
      <w:r>
        <w:rPr>
          <w:rFonts w:hint="eastAsia" w:ascii="宋体" w:hAnsi="宋体" w:eastAsia="宋体" w:cs="宋体"/>
          <w:color w:val="auto"/>
          <w:kern w:val="2"/>
          <w:szCs w:val="24"/>
          <w:highlight w:val="none"/>
          <w:lang w:eastAsia="zh-CN"/>
        </w:rPr>
        <w:t>按照财政部、工业和信息化部制定的《政府采购促进中小企业发展管理办法》第六条第三款（按照本办法规定预留采购份额无法确保充分供应、充分竞争，或者存在可能影响政府采购目标实现的情形）之规定，本项目为非专门面向中小企业采购项目。若中小企业对此有质疑，可按以下渠道递交质疑：①以书面材料递交至采购人或采购代理机构处；②在滁州市公共资源交易中心网电子交易系统中进行质疑，具体操作步骤和程序请参见服务指南&gt;交易须知&gt;在线异议、质疑和投诉操作手册；</w:t>
      </w:r>
    </w:p>
    <w:p w14:paraId="6C3E45BF">
      <w:pPr>
        <w:pStyle w:val="28"/>
        <w:pageBreakBefore w:val="0"/>
        <w:kinsoku/>
        <w:overflowPunct/>
        <w:topLinePunct w:val="0"/>
        <w:bidi w:val="0"/>
        <w:snapToGrid/>
        <w:spacing w:before="0" w:beforeAutospacing="0" w:after="0" w:afterAutospacing="0" w:line="420" w:lineRule="exact"/>
        <w:ind w:firstLine="480" w:firstLineChars="20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rPr>
        <w:t>3.本项目的特定资格要求：</w:t>
      </w:r>
      <w:r>
        <w:rPr>
          <w:rFonts w:hint="eastAsia" w:ascii="宋体" w:hAnsi="宋体" w:eastAsia="宋体" w:cs="宋体"/>
          <w:color w:val="auto"/>
          <w:szCs w:val="24"/>
          <w:highlight w:val="none"/>
          <w:lang w:val="en-US" w:eastAsia="zh-CN"/>
        </w:rPr>
        <w:t>无；</w:t>
      </w:r>
    </w:p>
    <w:p w14:paraId="47232360">
      <w:pPr>
        <w:spacing w:line="430" w:lineRule="exact"/>
        <w:ind w:firstLine="480" w:firstLineChars="200"/>
        <w:rPr>
          <w:rFonts w:hint="eastAsia" w:ascii="宋体" w:hAnsi="宋体" w:eastAsia="宋体" w:cs="宋体"/>
          <w:color w:val="auto"/>
          <w:sz w:val="24"/>
          <w:szCs w:val="24"/>
          <w:highlight w:val="none"/>
        </w:rPr>
      </w:pPr>
      <w:bookmarkStart w:id="13" w:name="_Toc35393623"/>
      <w:bookmarkStart w:id="14" w:name="_Toc35393792"/>
      <w:r>
        <w:rPr>
          <w:rFonts w:hint="eastAsia" w:ascii="宋体" w:hAnsi="宋体" w:eastAsia="宋体" w:cs="宋体"/>
          <w:color w:val="auto"/>
          <w:sz w:val="24"/>
          <w:szCs w:val="24"/>
          <w:highlight w:val="none"/>
        </w:rPr>
        <w:t>4.信誉要求：投标人不得存在以下情形：</w:t>
      </w:r>
    </w:p>
    <w:p w14:paraId="0862CF12">
      <w:pPr>
        <w:spacing w:line="360" w:lineRule="auto"/>
        <w:ind w:firstLine="435"/>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①被列入“信用中国”网站“失信被执行人”的</w:t>
      </w:r>
      <w:r>
        <w:rPr>
          <w:rFonts w:hint="eastAsia" w:ascii="宋体" w:hAnsi="宋体" w:eastAsia="宋体" w:cs="宋体"/>
          <w:color w:val="auto"/>
          <w:sz w:val="24"/>
          <w:szCs w:val="24"/>
          <w:highlight w:val="none"/>
          <w:lang w:eastAsia="zh-CN" w:bidi="ar"/>
        </w:rPr>
        <w:t>；</w:t>
      </w:r>
    </w:p>
    <w:p w14:paraId="2AEC5A9C">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②被列入“信用中国”网站“重大税收违法失信主体”的；</w:t>
      </w:r>
    </w:p>
    <w:p w14:paraId="2A2ACF8C">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③被列入“信用中国”网站 “严重失信主体名单”的；</w:t>
      </w:r>
    </w:p>
    <w:p w14:paraId="75DF9776">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④在</w:t>
      </w:r>
      <w:bookmarkStart w:id="15" w:name="OLE_LINK128"/>
      <w:bookmarkStart w:id="16" w:name="OLE_LINK127"/>
      <w:bookmarkStart w:id="17" w:name="OLE_LINK129"/>
      <w:r>
        <w:rPr>
          <w:rFonts w:hint="eastAsia" w:ascii="宋体" w:hAnsi="宋体" w:eastAsia="宋体" w:cs="宋体"/>
          <w:color w:val="auto"/>
          <w:sz w:val="24"/>
          <w:szCs w:val="24"/>
          <w:highlight w:val="none"/>
          <w:lang w:bidi="ar"/>
        </w:rPr>
        <w:t>“信用中国”网站</w:t>
      </w:r>
      <w:bookmarkEnd w:id="15"/>
      <w:bookmarkEnd w:id="16"/>
      <w:bookmarkEnd w:id="17"/>
      <w:r>
        <w:rPr>
          <w:rFonts w:hint="eastAsia" w:ascii="宋体" w:hAnsi="宋体" w:eastAsia="宋体" w:cs="宋体"/>
          <w:color w:val="auto"/>
          <w:sz w:val="24"/>
          <w:szCs w:val="24"/>
          <w:highlight w:val="none"/>
          <w:lang w:bidi="ar"/>
        </w:rPr>
        <w:t>上披露的仍在公示期的严重失信行为(具体行为类别及判定依据见“信用中国”查询的严重失信行为类别及判定依据)的。</w:t>
      </w:r>
    </w:p>
    <w:p w14:paraId="00B08AF1">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⑤被列入国家企业信用信息公示系统网站“经营异常名录”或者“严重违法失信名单”的。</w:t>
      </w:r>
    </w:p>
    <w:p w14:paraId="5EC981C0">
      <w:pPr>
        <w:spacing w:line="360" w:lineRule="auto"/>
        <w:ind w:firstLine="435"/>
        <w:rPr>
          <w:rFonts w:hint="eastAsia" w:ascii="宋体" w:hAnsi="宋体" w:eastAsia="宋体" w:cs="宋体"/>
          <w:color w:val="auto"/>
          <w:sz w:val="24"/>
          <w:szCs w:val="24"/>
          <w:highlight w:val="none"/>
          <w:lang w:bidi="ar"/>
        </w:rPr>
      </w:pPr>
      <w:bookmarkStart w:id="18" w:name="OLE_LINK114"/>
      <w:bookmarkStart w:id="19" w:name="OLE_LINK113"/>
      <w:r>
        <w:rPr>
          <w:rFonts w:hint="eastAsia" w:ascii="宋体" w:hAnsi="宋体" w:eastAsia="宋体" w:cs="宋体"/>
          <w:color w:val="auto"/>
          <w:sz w:val="24"/>
          <w:szCs w:val="24"/>
          <w:highlight w:val="none"/>
          <w:lang w:bidi="ar"/>
        </w:rPr>
        <w:t>⑥</w:t>
      </w:r>
      <w:bookmarkEnd w:id="18"/>
      <w:bookmarkEnd w:id="19"/>
      <w:r>
        <w:rPr>
          <w:rFonts w:hint="eastAsia" w:ascii="宋体" w:hAnsi="宋体" w:eastAsia="宋体" w:cs="宋体"/>
          <w:color w:val="auto"/>
          <w:sz w:val="24"/>
          <w:szCs w:val="24"/>
          <w:highlight w:val="none"/>
          <w:lang w:bidi="ar"/>
        </w:rPr>
        <w:t>被列入中国政府采购网站“政府采购严重违法失信行为信息记录”的</w:t>
      </w:r>
      <w:r>
        <w:rPr>
          <w:rFonts w:hint="eastAsia" w:ascii="宋体" w:hAnsi="宋体" w:eastAsia="宋体" w:cs="宋体"/>
          <w:color w:val="auto"/>
          <w:sz w:val="24"/>
          <w:szCs w:val="24"/>
          <w:highlight w:val="none"/>
          <w:lang w:eastAsia="zh-CN" w:bidi="ar"/>
        </w:rPr>
        <w:t>。</w:t>
      </w:r>
    </w:p>
    <w:p w14:paraId="28C2B178">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⑦前三年有行贿犯罪行为的单位和个人</w:t>
      </w:r>
      <w:r>
        <w:rPr>
          <w:rFonts w:hint="eastAsia" w:ascii="宋体" w:hAnsi="宋体" w:eastAsia="宋体" w:cs="宋体"/>
          <w:color w:val="auto"/>
          <w:sz w:val="24"/>
          <w:szCs w:val="24"/>
          <w:highlight w:val="none"/>
          <w:lang w:eastAsia="zh-CN" w:bidi="ar"/>
        </w:rPr>
        <w:t>。</w:t>
      </w:r>
    </w:p>
    <w:p w14:paraId="3F7EB3E1">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5.供应商所属分公司、办事处等分支机构存在第4条信誉要求①-⑦项情形之一的，接受供应商参加本项目；</w:t>
      </w:r>
    </w:p>
    <w:p w14:paraId="7ABADD2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备注：第4、5条按照“关于联合惩戒失信行为加强信用查询管理的通知”查询或承诺。</w:t>
      </w:r>
    </w:p>
    <w:p w14:paraId="1BAD984C">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三、获取招标文件</w:t>
      </w:r>
      <w:bookmarkEnd w:id="11"/>
      <w:bookmarkEnd w:id="12"/>
      <w:bookmarkEnd w:id="13"/>
      <w:bookmarkEnd w:id="14"/>
    </w:p>
    <w:p w14:paraId="1A5AD595">
      <w:pPr>
        <w:pageBreakBefore w:val="0"/>
        <w:kinsoku/>
        <w:overflowPunct/>
        <w:topLinePunct w:val="0"/>
        <w:bidi w:val="0"/>
        <w:snapToGrid/>
        <w:spacing w:line="420" w:lineRule="exact"/>
        <w:ind w:firstLine="480" w:firstLineChars="200"/>
        <w:textAlignment w:val="auto"/>
        <w:rPr>
          <w:rFonts w:hint="eastAsia" w:ascii="宋体" w:hAnsi="宋体" w:eastAsia="宋体" w:cs="宋体"/>
          <w:iCs/>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lang w:eastAsia="zh-CN"/>
        </w:rPr>
        <w:t>2025年</w:t>
      </w:r>
      <w:r>
        <w:rPr>
          <w:rFonts w:hint="eastAsia" w:ascii="宋体" w:hAnsi="宋体" w:eastAsia="宋体" w:cs="宋体"/>
          <w:color w:val="auto"/>
          <w:sz w:val="24"/>
          <w:szCs w:val="24"/>
          <w:highlight w:val="none"/>
          <w:u w:val="single"/>
          <w:lang w:val="en-US" w:eastAsia="zh-CN"/>
        </w:rPr>
        <w:t>08</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u w:val="single"/>
          <w:lang w:val="en-US" w:eastAsia="zh-CN"/>
        </w:rPr>
        <w:t>2025年9月1日</w:t>
      </w:r>
      <w:r>
        <w:rPr>
          <w:rFonts w:hint="eastAsia" w:ascii="宋体" w:hAnsi="宋体" w:eastAsia="宋体" w:cs="宋体"/>
          <w:iCs/>
          <w:color w:val="auto"/>
          <w:sz w:val="24"/>
          <w:szCs w:val="24"/>
          <w:highlight w:val="none"/>
          <w:u w:val="single"/>
        </w:rPr>
        <w:t>（提供期限自本公告发布之日起不得少于5个工作日）</w:t>
      </w:r>
    </w:p>
    <w:p w14:paraId="47923CBE">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地点：滁州市公共资源交易中心网</w:t>
      </w:r>
    </w:p>
    <w:p w14:paraId="6EA207CE">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方式：网上下载</w:t>
      </w:r>
    </w:p>
    <w:p w14:paraId="40826502">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5DE33E39">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bookmarkStart w:id="20" w:name="_Toc28359082"/>
      <w:bookmarkStart w:id="21" w:name="_Toc28359005"/>
      <w:bookmarkStart w:id="22" w:name="_Toc35393624"/>
      <w:bookmarkStart w:id="23" w:name="_Toc35393793"/>
      <w:r>
        <w:rPr>
          <w:rFonts w:hint="eastAsia" w:ascii="宋体" w:hAnsi="宋体" w:eastAsia="宋体" w:cs="宋体"/>
          <w:b/>
          <w:bCs/>
          <w:color w:val="auto"/>
          <w:sz w:val="24"/>
          <w:szCs w:val="24"/>
          <w:highlight w:val="none"/>
        </w:rPr>
        <w:t>四、提交投标文件</w:t>
      </w:r>
      <w:bookmarkEnd w:id="20"/>
      <w:bookmarkEnd w:id="21"/>
      <w:r>
        <w:rPr>
          <w:rFonts w:hint="eastAsia" w:ascii="宋体" w:hAnsi="宋体" w:eastAsia="宋体" w:cs="宋体"/>
          <w:b/>
          <w:bCs/>
          <w:color w:val="auto"/>
          <w:sz w:val="24"/>
          <w:szCs w:val="24"/>
          <w:highlight w:val="none"/>
        </w:rPr>
        <w:t>截止时间、开标时间和地点</w:t>
      </w:r>
      <w:bookmarkEnd w:id="22"/>
      <w:bookmarkEnd w:id="23"/>
    </w:p>
    <w:p w14:paraId="3D1FD92B">
      <w:pPr>
        <w:pageBreakBefore w:val="0"/>
        <w:kinsoku/>
        <w:overflowPunct/>
        <w:topLinePunct w:val="0"/>
        <w:bidi w:val="0"/>
        <w:snapToGrid/>
        <w:spacing w:line="42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lang w:val="en-US" w:eastAsia="zh-CN"/>
        </w:rPr>
        <w:t>2025年9月1日</w:t>
      </w:r>
      <w:r>
        <w:rPr>
          <w:rFonts w:hint="eastAsia" w:ascii="宋体" w:hAnsi="宋体" w:eastAsia="宋体" w:cs="宋体"/>
          <w:bCs/>
          <w:color w:val="auto"/>
          <w:sz w:val="24"/>
          <w:szCs w:val="24"/>
          <w:highlight w:val="none"/>
          <w:u w:val="single"/>
        </w:rPr>
        <w:t>08点00分</w:t>
      </w:r>
      <w:r>
        <w:rPr>
          <w:rFonts w:hint="eastAsia" w:ascii="宋体" w:hAnsi="宋体" w:eastAsia="宋体" w:cs="宋体"/>
          <w:bCs/>
          <w:color w:val="auto"/>
          <w:sz w:val="24"/>
          <w:szCs w:val="24"/>
          <w:highlight w:val="none"/>
        </w:rPr>
        <w:t>（北京时间）</w:t>
      </w:r>
      <w:r>
        <w:rPr>
          <w:rFonts w:hint="eastAsia" w:ascii="宋体" w:hAnsi="宋体" w:eastAsia="宋体" w:cs="宋体"/>
          <w:iCs/>
          <w:color w:val="auto"/>
          <w:sz w:val="24"/>
          <w:szCs w:val="24"/>
          <w:highlight w:val="none"/>
          <w:u w:val="single"/>
        </w:rPr>
        <w:t>（自招标文件开始发出之日起至供应商提交投标文件截止之日止，不得少于20日）</w:t>
      </w:r>
    </w:p>
    <w:p w14:paraId="5451975C">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地点：</w:t>
      </w:r>
      <w:r>
        <w:rPr>
          <w:rFonts w:hint="eastAsia" w:ascii="宋体" w:hAnsi="宋体" w:eastAsia="宋体" w:cs="宋体"/>
          <w:color w:val="auto"/>
          <w:sz w:val="24"/>
          <w:szCs w:val="24"/>
          <w:highlight w:val="none"/>
        </w:rPr>
        <w:t>滁州市公共资源交易中心网</w:t>
      </w:r>
    </w:p>
    <w:p w14:paraId="0071DAEA">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bookmarkStart w:id="24" w:name="_Toc28359007"/>
      <w:bookmarkStart w:id="25" w:name="_Toc35393794"/>
      <w:bookmarkStart w:id="26" w:name="_Toc35393625"/>
      <w:bookmarkStart w:id="27" w:name="_Toc28359084"/>
      <w:r>
        <w:rPr>
          <w:rFonts w:hint="eastAsia" w:ascii="宋体" w:hAnsi="宋体" w:eastAsia="宋体" w:cs="宋体"/>
          <w:b/>
          <w:bCs/>
          <w:color w:val="auto"/>
          <w:sz w:val="24"/>
          <w:szCs w:val="24"/>
          <w:highlight w:val="none"/>
        </w:rPr>
        <w:t>五、公告期限</w:t>
      </w:r>
      <w:bookmarkEnd w:id="24"/>
      <w:bookmarkEnd w:id="25"/>
      <w:bookmarkEnd w:id="26"/>
      <w:bookmarkEnd w:id="27"/>
    </w:p>
    <w:p w14:paraId="5997BAAE">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自本公告发布之日起5个工作日。</w:t>
      </w:r>
    </w:p>
    <w:p w14:paraId="414F5FFC">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六、投标保证金金额及缴纳账户</w:t>
      </w:r>
    </w:p>
    <w:p w14:paraId="56802415">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bookmarkStart w:id="28" w:name="_Toc35393795"/>
      <w:bookmarkStart w:id="29" w:name="_Toc35393626"/>
      <w:r>
        <w:rPr>
          <w:rFonts w:hint="eastAsia" w:ascii="宋体" w:hAnsi="宋体" w:eastAsia="宋体" w:cs="宋体"/>
          <w:color w:val="auto"/>
          <w:sz w:val="24"/>
          <w:szCs w:val="24"/>
          <w:highlight w:val="none"/>
        </w:rPr>
        <w:t>是否要求投标人提交投标保证金：不要求。</w:t>
      </w:r>
    </w:p>
    <w:p w14:paraId="5488A687">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七、其他补充事宜</w:t>
      </w:r>
      <w:bookmarkEnd w:id="28"/>
      <w:bookmarkEnd w:id="29"/>
    </w:p>
    <w:p w14:paraId="156C63BB">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2.CA数字证书有关问题：安徽CA客服400-880-4959、0550-3019013（工作日），CFCA客服025-66085508、0550-3801669（工作日）；3.市场主体招标环节和投标环节系统使用问题：400-998-0000（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762E67EB">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2.请投标人登录滁州市公共资源交易中心网站查看参加本项目的程序。（具体操作步骤和程序请参见服务指南&gt;交易须知&gt;投标人填写投标信息、下载文件及网上提问操作手册）。</w:t>
      </w:r>
    </w:p>
    <w:p w14:paraId="30DCB1F9">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采用不见面开标（远程解密)方式，开标时投标人无须至开标现场进行解密，开标采取远程解密方式解密投标文件，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以本项目网上招投标系统解密倒计时为准，至完成投标文件解密时间，不得超过60分钟，否则投标文件将被拒绝；</w:t>
      </w:r>
    </w:p>
    <w:p w14:paraId="250CECDB">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p w14:paraId="4F19AE6E">
      <w:pPr>
        <w:pageBreakBefore w:val="0"/>
        <w:kinsoku/>
        <w:overflowPunct/>
        <w:topLinePunct w:val="0"/>
        <w:bidi w:val="0"/>
        <w:snapToGrid/>
        <w:spacing w:line="420" w:lineRule="exact"/>
        <w:ind w:firstLine="437"/>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八、对本次招标提出询问，请按以下方式联系</w:t>
      </w:r>
    </w:p>
    <w:p w14:paraId="43022A38">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34C14EFD">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lang w:eastAsia="zh-CN"/>
        </w:rPr>
        <w:t>滁州市数据资源管理局</w:t>
      </w:r>
    </w:p>
    <w:p w14:paraId="45534EF9">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eastAsia="zh-CN"/>
        </w:rPr>
        <w:t>滁州市政务新区</w:t>
      </w:r>
    </w:p>
    <w:p w14:paraId="3D958FEB">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eastAsia="zh-CN"/>
        </w:rPr>
        <w:t xml:space="preserve">张运 </w:t>
      </w:r>
    </w:p>
    <w:p w14:paraId="0F7BA100">
      <w:pPr>
        <w:pageBreakBefore w:val="0"/>
        <w:kinsoku/>
        <w:wordWrap w:val="0"/>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lang w:val="en-US" w:eastAsia="zh-CN"/>
        </w:rPr>
        <w:t xml:space="preserve">18005506538 </w:t>
      </w:r>
    </w:p>
    <w:p w14:paraId="06384CA2">
      <w:pPr>
        <w:pageBreakBefore w:val="0"/>
        <w:kinsoku/>
        <w:overflowPunct/>
        <w:topLinePunct w:val="0"/>
        <w:bidi w:val="0"/>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3D94A722">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lang w:eastAsia="zh-CN"/>
        </w:rPr>
        <w:t>滁州市政府采购中心</w:t>
      </w:r>
    </w:p>
    <w:p w14:paraId="65F08146">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滁州市龙蟠大道109号房产大厦</w:t>
      </w:r>
      <w:r>
        <w:rPr>
          <w:rFonts w:hint="eastAsia" w:ascii="宋体" w:hAnsi="宋体" w:eastAsia="宋体" w:cs="宋体"/>
          <w:color w:val="auto"/>
          <w:sz w:val="24"/>
          <w:szCs w:val="24"/>
          <w:highlight w:val="none"/>
          <w:u w:val="single"/>
          <w:lang w:val="en-US" w:eastAsia="zh-CN"/>
        </w:rPr>
        <w:t>二</w:t>
      </w:r>
      <w:r>
        <w:rPr>
          <w:rFonts w:hint="eastAsia" w:ascii="宋体" w:hAnsi="宋体" w:eastAsia="宋体" w:cs="宋体"/>
          <w:color w:val="auto"/>
          <w:sz w:val="24"/>
          <w:szCs w:val="24"/>
          <w:highlight w:val="none"/>
          <w:u w:val="single"/>
        </w:rPr>
        <w:t>楼</w:t>
      </w:r>
    </w:p>
    <w:p w14:paraId="5EFCC931">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eastAsia="zh-CN"/>
        </w:rPr>
        <w:t>王芳</w:t>
      </w:r>
    </w:p>
    <w:p w14:paraId="626D7643">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lang w:eastAsia="zh-CN"/>
        </w:rPr>
        <w:t>0550-3519519、18955055067</w:t>
      </w:r>
    </w:p>
    <w:p w14:paraId="13F94E90">
      <w:pPr>
        <w:pageBreakBefore w:val="0"/>
        <w:widowControl/>
        <w:kinsoku/>
        <w:overflowPunct/>
        <w:topLinePunct w:val="0"/>
        <w:bidi w:val="0"/>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3.政府采购监督管理部门信息</w:t>
      </w:r>
    </w:p>
    <w:p w14:paraId="1FE0F04E">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滁州市公共资源交易监督管理局</w:t>
      </w:r>
    </w:p>
    <w:p w14:paraId="64D71BE4">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滁州市龙蟠大道109号房产大厦三楼</w:t>
      </w:r>
    </w:p>
    <w:p w14:paraId="7234A467">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0550-3801656</w:t>
      </w:r>
    </w:p>
    <w:p w14:paraId="194773C0">
      <w:pPr>
        <w:jc w:val="left"/>
        <w:rPr>
          <w:rFonts w:hint="eastAsia" w:ascii="宋体" w:hAnsi="宋体" w:eastAsia="宋体"/>
          <w:color w:val="auto"/>
          <w:sz w:val="24"/>
          <w:szCs w:val="18"/>
          <w:highlight w:val="none"/>
        </w:rPr>
      </w:pPr>
      <w:r>
        <w:rPr>
          <w:rFonts w:ascii="宋体" w:hAnsi="宋体" w:eastAsia="宋体"/>
          <w:color w:val="auto"/>
          <w:sz w:val="24"/>
          <w:szCs w:val="18"/>
          <w:highlight w:val="none"/>
        </w:rPr>
        <w:br w:type="page"/>
      </w:r>
    </w:p>
    <w:p w14:paraId="35D1A4F6">
      <w:pPr>
        <w:spacing w:line="360" w:lineRule="auto"/>
        <w:jc w:val="center"/>
        <w:outlineLvl w:val="0"/>
        <w:rPr>
          <w:rFonts w:hint="eastAsia" w:asciiTheme="minorEastAsia" w:hAnsiTheme="minorEastAsia" w:eastAsiaTheme="minorEastAsia"/>
          <w:b/>
          <w:color w:val="auto"/>
          <w:sz w:val="28"/>
          <w:highlight w:val="none"/>
        </w:rPr>
      </w:pPr>
      <w:bookmarkStart w:id="30" w:name="_Toc8888"/>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30"/>
    </w:p>
    <w:p w14:paraId="3850C1D8">
      <w:pPr>
        <w:spacing w:line="360" w:lineRule="auto"/>
        <w:jc w:val="center"/>
        <w:outlineLvl w:val="1"/>
        <w:rPr>
          <w:rFonts w:hint="eastAsia" w:asciiTheme="minorEastAsia" w:hAnsiTheme="minorEastAsia" w:eastAsiaTheme="minorEastAsia"/>
          <w:b/>
          <w:color w:val="auto"/>
          <w:sz w:val="24"/>
          <w:highlight w:val="none"/>
        </w:rPr>
      </w:pPr>
      <w:bookmarkStart w:id="31" w:name="_Toc13589"/>
      <w:bookmarkStart w:id="32" w:name="_Toc7178"/>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31"/>
      <w:bookmarkEnd w:id="32"/>
    </w:p>
    <w:p w14:paraId="28A48BAD">
      <w:pPr>
        <w:spacing w:line="360" w:lineRule="auto"/>
        <w:ind w:firstLine="435"/>
        <w:rPr>
          <w:rFonts w:hint="eastAsia"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32"/>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2033"/>
        <w:gridCol w:w="5621"/>
      </w:tblGrid>
      <w:tr w14:paraId="34D3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579BFAA4">
            <w:pPr>
              <w:pStyle w:val="52"/>
              <w:keepNext w:val="0"/>
              <w:keepLines w:val="0"/>
              <w:widowControl w:val="0"/>
              <w:suppressLineNumbers w:val="0"/>
              <w:spacing w:before="0" w:beforeAutospacing="0" w:after="0" w:afterAutospacing="0" w:line="440" w:lineRule="exact"/>
              <w:ind w:left="0" w:right="0"/>
              <w:rPr>
                <w:rFonts w:hint="eastAsia"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174" w:type="pct"/>
            <w:vAlign w:val="center"/>
          </w:tcPr>
          <w:p w14:paraId="6EF584D9">
            <w:pPr>
              <w:pStyle w:val="52"/>
              <w:keepNext w:val="0"/>
              <w:keepLines w:val="0"/>
              <w:widowControl w:val="0"/>
              <w:suppressLineNumbers w:val="0"/>
              <w:spacing w:before="0" w:beforeAutospacing="0" w:after="0" w:afterAutospacing="0" w:line="440" w:lineRule="exact"/>
              <w:ind w:left="0" w:right="0"/>
              <w:rPr>
                <w:rFonts w:hint="eastAsia"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246" w:type="pct"/>
            <w:vAlign w:val="center"/>
          </w:tcPr>
          <w:p w14:paraId="51C8BB0F">
            <w:pPr>
              <w:pStyle w:val="52"/>
              <w:keepNext w:val="0"/>
              <w:keepLines w:val="0"/>
              <w:widowControl w:val="0"/>
              <w:suppressLineNumbers w:val="0"/>
              <w:spacing w:before="0" w:beforeAutospacing="0" w:after="0" w:afterAutospacing="0" w:line="440" w:lineRule="exact"/>
              <w:ind w:left="0" w:right="0"/>
              <w:rPr>
                <w:rFonts w:hint="eastAsia"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4A82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4B7F2FAF">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5</w:t>
            </w:r>
            <w:r>
              <w:rPr>
                <w:rFonts w:hint="default" w:ascii="宋体" w:hAnsi="宋体" w:eastAsia="宋体"/>
                <w:bCs/>
                <w:color w:val="auto"/>
                <w:kern w:val="2"/>
                <w:highlight w:val="none"/>
              </w:rPr>
              <w:t>.</w:t>
            </w:r>
            <w:r>
              <w:rPr>
                <w:rFonts w:hint="eastAsia" w:ascii="宋体" w:hAnsi="宋体" w:eastAsia="宋体"/>
                <w:bCs/>
                <w:color w:val="auto"/>
                <w:kern w:val="2"/>
                <w:highlight w:val="none"/>
              </w:rPr>
              <w:t>2</w:t>
            </w:r>
          </w:p>
        </w:tc>
        <w:tc>
          <w:tcPr>
            <w:tcW w:w="1174" w:type="pct"/>
            <w:vAlign w:val="center"/>
          </w:tcPr>
          <w:p w14:paraId="593013C8">
            <w:pPr>
              <w:pStyle w:val="52"/>
              <w:keepNext w:val="0"/>
              <w:keepLines w:val="0"/>
              <w:widowControl w:val="0"/>
              <w:suppressLineNumbers w:val="0"/>
              <w:spacing w:before="0" w:beforeAutospacing="0" w:after="0" w:afterAutospacing="0" w:line="440" w:lineRule="exact"/>
              <w:ind w:left="0" w:right="0"/>
              <w:jc w:val="left"/>
              <w:rPr>
                <w:rFonts w:hint="eastAsia" w:ascii="宋体" w:hAnsi="宋体" w:eastAsia="宋体"/>
                <w:b w:val="0"/>
                <w:color w:val="auto"/>
                <w:sz w:val="24"/>
                <w:highlight w:val="none"/>
              </w:rPr>
            </w:pPr>
            <w:r>
              <w:rPr>
                <w:rFonts w:hint="eastAsia" w:ascii="宋体" w:hAnsi="宋体" w:eastAsia="宋体"/>
                <w:b w:val="0"/>
                <w:color w:val="auto"/>
                <w:kern w:val="2"/>
                <w:sz w:val="24"/>
                <w:szCs w:val="22"/>
                <w:highlight w:val="none"/>
              </w:rPr>
              <w:t>现场考察或标前答疑会</w:t>
            </w:r>
          </w:p>
        </w:tc>
        <w:tc>
          <w:tcPr>
            <w:tcW w:w="3246" w:type="pct"/>
            <w:vAlign w:val="center"/>
          </w:tcPr>
          <w:p w14:paraId="045CDA03">
            <w:pPr>
              <w:keepNext w:val="0"/>
              <w:keepLines w:val="0"/>
              <w:suppressLineNumbers w:val="0"/>
              <w:spacing w:before="0" w:beforeAutospacing="0" w:after="0" w:afterAutospacing="0" w:line="440" w:lineRule="exact"/>
              <w:ind w:left="0" w:right="0"/>
              <w:rPr>
                <w:rFonts w:hint="eastAsia" w:ascii="宋体" w:hAnsi="宋体" w:eastAsia="宋体"/>
                <w:bCs/>
                <w:color w:val="auto"/>
                <w:sz w:val="24"/>
                <w:szCs w:val="20"/>
                <w:highlight w:val="none"/>
              </w:rPr>
            </w:pPr>
            <w:r>
              <w:rPr>
                <w:rFonts w:hint="eastAsia" w:ascii="宋体" w:hAnsi="宋体" w:eastAsia="宋体"/>
                <w:bCs/>
                <w:color w:val="auto"/>
                <w:sz w:val="24"/>
                <w:szCs w:val="24"/>
                <w:highlight w:val="none"/>
              </w:rPr>
              <w:t>☑</w:t>
            </w:r>
            <w:r>
              <w:rPr>
                <w:rFonts w:hint="eastAsia" w:ascii="宋体" w:hAnsi="宋体" w:eastAsia="宋体"/>
                <w:color w:val="auto"/>
                <w:sz w:val="24"/>
                <w:szCs w:val="20"/>
                <w:highlight w:val="none"/>
              </w:rPr>
              <w:t>不组织或不召开</w:t>
            </w:r>
          </w:p>
          <w:p w14:paraId="0C9E3BFA">
            <w:pPr>
              <w:keepNext w:val="0"/>
              <w:keepLines w:val="0"/>
              <w:suppressLineNumbers w:val="0"/>
              <w:spacing w:before="0" w:beforeAutospacing="0" w:after="0" w:afterAutospacing="0" w:line="440" w:lineRule="exact"/>
              <w:ind w:left="0" w:right="0"/>
              <w:rPr>
                <w:rFonts w:hint="eastAsia" w:ascii="宋体" w:hAnsi="宋体" w:eastAsia="宋体"/>
                <w:bCs/>
                <w:color w:val="auto"/>
                <w:sz w:val="24"/>
                <w:szCs w:val="20"/>
                <w:highlight w:val="none"/>
              </w:rPr>
            </w:pPr>
            <w:r>
              <w:rPr>
                <w:rFonts w:hint="eastAsia" w:ascii="宋体" w:hAnsi="宋体" w:eastAsia="宋体"/>
                <w:color w:val="auto"/>
                <w:sz w:val="24"/>
                <w:szCs w:val="20"/>
                <w:highlight w:val="none"/>
              </w:rPr>
              <w:t>□</w:t>
            </w:r>
            <w:r>
              <w:rPr>
                <w:rFonts w:hint="eastAsia" w:ascii="宋体" w:hAnsi="宋体" w:eastAsia="宋体"/>
                <w:bCs/>
                <w:color w:val="auto"/>
                <w:sz w:val="24"/>
                <w:szCs w:val="20"/>
                <w:highlight w:val="none"/>
              </w:rPr>
              <w:t>统一组织或统一召开</w:t>
            </w:r>
          </w:p>
          <w:p w14:paraId="59946B3D">
            <w:pPr>
              <w:keepNext w:val="0"/>
              <w:keepLines w:val="0"/>
              <w:suppressLineNumbers w:val="0"/>
              <w:spacing w:before="0" w:beforeAutospacing="0" w:after="0" w:afterAutospacing="0" w:line="440" w:lineRule="exact"/>
              <w:ind w:left="0" w:right="0"/>
              <w:rPr>
                <w:rFonts w:hint="eastAsia" w:ascii="宋体" w:hAnsi="宋体" w:eastAsia="宋体"/>
                <w:bCs/>
                <w:color w:val="auto"/>
                <w:sz w:val="24"/>
                <w:szCs w:val="20"/>
                <w:highlight w:val="none"/>
                <w:u w:val="single"/>
              </w:rPr>
            </w:pPr>
            <w:r>
              <w:rPr>
                <w:rFonts w:hint="eastAsia" w:ascii="宋体" w:hAnsi="宋体" w:eastAsia="宋体"/>
                <w:bCs/>
                <w:color w:val="auto"/>
                <w:sz w:val="24"/>
                <w:szCs w:val="20"/>
                <w:highlight w:val="none"/>
              </w:rPr>
              <w:t>时间：</w:t>
            </w:r>
            <w:r>
              <w:rPr>
                <w:rFonts w:hint="eastAsia" w:ascii="宋体" w:hAnsi="宋体" w:eastAsia="宋体"/>
                <w:bCs/>
                <w:color w:val="auto"/>
                <w:sz w:val="24"/>
                <w:szCs w:val="20"/>
                <w:highlight w:val="none"/>
                <w:u w:val="single"/>
              </w:rPr>
              <w:t>/</w:t>
            </w:r>
            <w:r>
              <w:rPr>
                <w:rFonts w:hint="eastAsia" w:ascii="宋体" w:hAnsi="宋体" w:eastAsia="宋体"/>
                <w:bCs/>
                <w:color w:val="auto"/>
                <w:sz w:val="24"/>
                <w:szCs w:val="20"/>
                <w:highlight w:val="none"/>
              </w:rPr>
              <w:t>年</w:t>
            </w:r>
            <w:r>
              <w:rPr>
                <w:rFonts w:hint="eastAsia" w:ascii="宋体" w:hAnsi="宋体" w:eastAsia="宋体"/>
                <w:bCs/>
                <w:color w:val="auto"/>
                <w:sz w:val="24"/>
                <w:szCs w:val="20"/>
                <w:highlight w:val="none"/>
                <w:u w:val="single"/>
              </w:rPr>
              <w:t>/</w:t>
            </w:r>
            <w:r>
              <w:rPr>
                <w:rFonts w:hint="eastAsia" w:ascii="宋体" w:hAnsi="宋体" w:eastAsia="宋体"/>
                <w:bCs/>
                <w:color w:val="auto"/>
                <w:sz w:val="24"/>
                <w:szCs w:val="20"/>
                <w:highlight w:val="none"/>
              </w:rPr>
              <w:t>月</w:t>
            </w:r>
            <w:r>
              <w:rPr>
                <w:rFonts w:hint="eastAsia" w:ascii="宋体" w:hAnsi="宋体" w:eastAsia="宋体"/>
                <w:bCs/>
                <w:color w:val="auto"/>
                <w:sz w:val="24"/>
                <w:szCs w:val="20"/>
                <w:highlight w:val="none"/>
                <w:u w:val="single"/>
              </w:rPr>
              <w:t>/</w:t>
            </w:r>
            <w:r>
              <w:rPr>
                <w:rFonts w:hint="eastAsia" w:ascii="宋体" w:hAnsi="宋体" w:eastAsia="宋体"/>
                <w:bCs/>
                <w:color w:val="auto"/>
                <w:sz w:val="24"/>
                <w:szCs w:val="20"/>
                <w:highlight w:val="none"/>
              </w:rPr>
              <w:t>日</w:t>
            </w:r>
            <w:r>
              <w:rPr>
                <w:rFonts w:hint="eastAsia" w:ascii="宋体" w:hAnsi="宋体" w:eastAsia="宋体"/>
                <w:bCs/>
                <w:color w:val="auto"/>
                <w:sz w:val="24"/>
                <w:szCs w:val="20"/>
                <w:highlight w:val="none"/>
                <w:u w:val="single"/>
              </w:rPr>
              <w:t>/</w:t>
            </w:r>
            <w:r>
              <w:rPr>
                <w:rFonts w:hint="eastAsia" w:ascii="宋体" w:hAnsi="宋体" w:eastAsia="宋体"/>
                <w:bCs/>
                <w:color w:val="auto"/>
                <w:sz w:val="24"/>
                <w:szCs w:val="20"/>
                <w:highlight w:val="none"/>
              </w:rPr>
              <w:t>时</w:t>
            </w:r>
            <w:r>
              <w:rPr>
                <w:rFonts w:hint="eastAsia" w:ascii="宋体" w:hAnsi="宋体" w:eastAsia="宋体"/>
                <w:bCs/>
                <w:color w:val="auto"/>
                <w:sz w:val="24"/>
                <w:szCs w:val="20"/>
                <w:highlight w:val="none"/>
                <w:u w:val="single"/>
              </w:rPr>
              <w:t>/</w:t>
            </w:r>
            <w:r>
              <w:rPr>
                <w:rFonts w:hint="eastAsia" w:ascii="宋体" w:hAnsi="宋体" w:eastAsia="宋体"/>
                <w:bCs/>
                <w:color w:val="auto"/>
                <w:sz w:val="24"/>
                <w:szCs w:val="20"/>
                <w:highlight w:val="none"/>
              </w:rPr>
              <w:t>分</w:t>
            </w:r>
          </w:p>
          <w:p w14:paraId="3609A7CF">
            <w:pPr>
              <w:keepNext w:val="0"/>
              <w:keepLines w:val="0"/>
              <w:suppressLineNumbers w:val="0"/>
              <w:spacing w:before="0" w:beforeAutospacing="0" w:after="0" w:afterAutospacing="0" w:line="440" w:lineRule="exact"/>
              <w:ind w:left="0" w:right="0"/>
              <w:rPr>
                <w:rFonts w:hint="eastAsia" w:ascii="宋体" w:hAnsi="宋体" w:eastAsia="宋体"/>
                <w:bCs/>
                <w:color w:val="auto"/>
                <w:sz w:val="24"/>
                <w:szCs w:val="20"/>
                <w:highlight w:val="none"/>
                <w:u w:val="single"/>
              </w:rPr>
            </w:pPr>
            <w:r>
              <w:rPr>
                <w:rFonts w:hint="eastAsia" w:ascii="宋体" w:hAnsi="宋体" w:eastAsia="宋体"/>
                <w:bCs/>
                <w:color w:val="auto"/>
                <w:sz w:val="24"/>
                <w:szCs w:val="20"/>
                <w:highlight w:val="none"/>
              </w:rPr>
              <w:t>地点：</w:t>
            </w:r>
            <w:r>
              <w:rPr>
                <w:rFonts w:hint="eastAsia" w:ascii="宋体" w:hAnsi="宋体" w:eastAsia="宋体"/>
                <w:bCs/>
                <w:color w:val="auto"/>
                <w:sz w:val="24"/>
                <w:szCs w:val="20"/>
                <w:highlight w:val="none"/>
                <w:u w:val="single"/>
              </w:rPr>
              <w:t>/</w:t>
            </w:r>
          </w:p>
          <w:p w14:paraId="6B047E06">
            <w:pPr>
              <w:keepNext w:val="0"/>
              <w:keepLines w:val="0"/>
              <w:suppressLineNumbers w:val="0"/>
              <w:spacing w:before="0" w:beforeAutospacing="0" w:after="0" w:afterAutospacing="0" w:line="440" w:lineRule="exact"/>
              <w:ind w:left="0" w:right="0"/>
              <w:rPr>
                <w:rFonts w:hint="eastAsia" w:ascii="宋体" w:hAnsi="宋体" w:eastAsia="宋体"/>
                <w:bCs/>
                <w:color w:val="auto"/>
                <w:sz w:val="24"/>
                <w:szCs w:val="20"/>
                <w:highlight w:val="none"/>
                <w:u w:val="single"/>
              </w:rPr>
            </w:pPr>
            <w:r>
              <w:rPr>
                <w:rFonts w:hint="eastAsia" w:ascii="宋体" w:hAnsi="宋体" w:eastAsia="宋体"/>
                <w:bCs/>
                <w:color w:val="auto"/>
                <w:sz w:val="24"/>
                <w:szCs w:val="20"/>
                <w:highlight w:val="none"/>
              </w:rPr>
              <w:t>联系人及联系电话：</w:t>
            </w:r>
            <w:r>
              <w:rPr>
                <w:rFonts w:hint="eastAsia" w:ascii="宋体" w:hAnsi="宋体" w:eastAsia="宋体"/>
                <w:bCs/>
                <w:color w:val="auto"/>
                <w:sz w:val="24"/>
                <w:szCs w:val="20"/>
                <w:highlight w:val="none"/>
                <w:u w:val="single"/>
              </w:rPr>
              <w:t>/</w:t>
            </w:r>
            <w:r>
              <w:rPr>
                <w:rFonts w:hint="default" w:ascii="宋体" w:hAnsi="宋体" w:eastAsia="宋体"/>
                <w:bCs/>
                <w:color w:val="auto"/>
                <w:sz w:val="24"/>
                <w:szCs w:val="20"/>
                <w:highlight w:val="none"/>
                <w:u w:val="single"/>
              </w:rPr>
              <w:t xml:space="preserve"> </w:t>
            </w:r>
          </w:p>
          <w:p w14:paraId="7E2DC659">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Cs w:val="0"/>
                <w:color w:val="auto"/>
                <w:sz w:val="24"/>
                <w:highlight w:val="none"/>
              </w:rPr>
              <w:t>注：如投标人未参加采购人统一组织的现场考察或采购人统一召开的标前答疑会，视同放弃现场考察或标前答疑会，由此引起的一切责任由投标人自行承担。</w:t>
            </w:r>
          </w:p>
        </w:tc>
      </w:tr>
      <w:tr w14:paraId="05C1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0280517A">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6</w:t>
            </w:r>
            <w:r>
              <w:rPr>
                <w:rFonts w:hint="default" w:ascii="宋体" w:hAnsi="宋体" w:eastAsia="宋体"/>
                <w:bCs/>
                <w:color w:val="auto"/>
                <w:kern w:val="2"/>
                <w:highlight w:val="none"/>
              </w:rPr>
              <w:t>.1</w:t>
            </w:r>
          </w:p>
        </w:tc>
        <w:tc>
          <w:tcPr>
            <w:tcW w:w="1174" w:type="pct"/>
            <w:vAlign w:val="center"/>
          </w:tcPr>
          <w:p w14:paraId="38AF70E1">
            <w:pPr>
              <w:pStyle w:val="52"/>
              <w:keepNext w:val="0"/>
              <w:keepLines w:val="0"/>
              <w:widowControl w:val="0"/>
              <w:suppressLineNumbers w:val="0"/>
              <w:spacing w:before="0" w:beforeAutospacing="0" w:after="0" w:afterAutospacing="0" w:line="440" w:lineRule="exact"/>
              <w:ind w:left="0" w:right="0"/>
              <w:jc w:val="left"/>
              <w:rPr>
                <w:rFonts w:hint="eastAsia" w:ascii="宋体" w:hAnsi="宋体" w:eastAsia="宋体"/>
                <w:b w:val="0"/>
                <w:color w:val="auto"/>
                <w:sz w:val="24"/>
                <w:highlight w:val="none"/>
              </w:rPr>
            </w:pPr>
            <w:r>
              <w:rPr>
                <w:rFonts w:hint="eastAsia" w:ascii="宋体" w:hAnsi="宋体" w:eastAsia="宋体" w:cs="宋体"/>
                <w:b w:val="0"/>
                <w:bCs w:val="0"/>
                <w:color w:val="auto"/>
                <w:sz w:val="24"/>
                <w:szCs w:val="24"/>
                <w:highlight w:val="none"/>
                <w:lang w:bidi="ar"/>
              </w:rPr>
              <w:t>网上询问截止时间</w:t>
            </w:r>
          </w:p>
        </w:tc>
        <w:tc>
          <w:tcPr>
            <w:tcW w:w="3246" w:type="pct"/>
            <w:vAlign w:val="center"/>
          </w:tcPr>
          <w:p w14:paraId="5DA6AA69">
            <w:pPr>
              <w:keepNext w:val="0"/>
              <w:keepLines w:val="0"/>
              <w:widowControl/>
              <w:suppressLineNumbers w:val="0"/>
              <w:spacing w:before="0" w:beforeAutospacing="0" w:after="0" w:afterAutospacing="0" w:line="440" w:lineRule="exact"/>
              <w:ind w:left="0" w:right="0"/>
              <w:jc w:val="left"/>
              <w:rPr>
                <w:rFonts w:hint="eastAsia" w:ascii="宋体" w:hAnsi="宋体" w:eastAsia="宋体"/>
                <w:color w:val="auto"/>
                <w:sz w:val="24"/>
                <w:szCs w:val="20"/>
                <w:highlight w:val="none"/>
              </w:rPr>
            </w:pPr>
            <w:r>
              <w:rPr>
                <w:rFonts w:hint="eastAsia" w:ascii="宋体" w:hAnsi="宋体" w:eastAsia="宋体" w:cs="宋体"/>
                <w:color w:val="auto"/>
                <w:sz w:val="24"/>
                <w:szCs w:val="20"/>
                <w:highlight w:val="none"/>
                <w:u w:val="single"/>
              </w:rPr>
              <w:t>202</w:t>
            </w:r>
            <w:r>
              <w:rPr>
                <w:rFonts w:hint="eastAsia" w:ascii="宋体" w:hAnsi="宋体" w:eastAsia="宋体" w:cs="宋体"/>
                <w:color w:val="auto"/>
                <w:sz w:val="24"/>
                <w:szCs w:val="20"/>
                <w:highlight w:val="none"/>
                <w:u w:val="single"/>
                <w:lang w:val="en-US" w:eastAsia="zh-CN"/>
              </w:rPr>
              <w:t>5</w:t>
            </w:r>
            <w:r>
              <w:rPr>
                <w:rFonts w:hint="eastAsia" w:ascii="宋体" w:hAnsi="宋体" w:eastAsia="宋体" w:cs="宋体"/>
                <w:color w:val="auto"/>
                <w:sz w:val="24"/>
                <w:szCs w:val="20"/>
                <w:highlight w:val="none"/>
              </w:rPr>
              <w:t>年</w:t>
            </w:r>
            <w:r>
              <w:rPr>
                <w:rFonts w:hint="eastAsia" w:ascii="宋体" w:hAnsi="宋体" w:eastAsia="宋体" w:cs="宋体"/>
                <w:color w:val="auto"/>
                <w:sz w:val="24"/>
                <w:szCs w:val="20"/>
                <w:highlight w:val="none"/>
                <w:u w:val="single"/>
                <w:lang w:val="en-US" w:eastAsia="zh-CN"/>
              </w:rPr>
              <w:t xml:space="preserve"> 08</w:t>
            </w:r>
            <w:r>
              <w:rPr>
                <w:rFonts w:hint="eastAsia" w:ascii="宋体" w:hAnsi="宋体" w:eastAsia="宋体" w:cs="宋体"/>
                <w:color w:val="auto"/>
                <w:sz w:val="24"/>
                <w:szCs w:val="20"/>
                <w:highlight w:val="none"/>
              </w:rPr>
              <w:t>月</w:t>
            </w:r>
            <w:r>
              <w:rPr>
                <w:rFonts w:hint="eastAsia" w:ascii="宋体" w:hAnsi="宋体" w:eastAsia="宋体" w:cs="宋体"/>
                <w:color w:val="auto"/>
                <w:sz w:val="24"/>
                <w:szCs w:val="20"/>
                <w:highlight w:val="none"/>
                <w:u w:val="single"/>
                <w:lang w:val="en-US" w:eastAsia="zh-CN"/>
              </w:rPr>
              <w:t xml:space="preserve"> 18 </w:t>
            </w:r>
            <w:r>
              <w:rPr>
                <w:rFonts w:hint="eastAsia" w:ascii="宋体" w:hAnsi="宋体" w:eastAsia="宋体" w:cs="宋体"/>
                <w:color w:val="auto"/>
                <w:sz w:val="24"/>
                <w:szCs w:val="20"/>
                <w:highlight w:val="none"/>
              </w:rPr>
              <w:t>日</w:t>
            </w:r>
            <w:r>
              <w:rPr>
                <w:rFonts w:hint="eastAsia" w:ascii="宋体" w:hAnsi="宋体" w:eastAsia="宋体" w:cs="宋体"/>
                <w:color w:val="auto"/>
                <w:sz w:val="24"/>
                <w:szCs w:val="20"/>
                <w:highlight w:val="none"/>
                <w:u w:val="single"/>
              </w:rPr>
              <w:t>17</w:t>
            </w:r>
            <w:r>
              <w:rPr>
                <w:rFonts w:hint="eastAsia" w:ascii="宋体" w:hAnsi="宋体" w:eastAsia="宋体" w:cs="宋体"/>
                <w:color w:val="auto"/>
                <w:sz w:val="24"/>
                <w:szCs w:val="20"/>
                <w:highlight w:val="none"/>
              </w:rPr>
              <w:t>时</w:t>
            </w:r>
            <w:r>
              <w:rPr>
                <w:rFonts w:hint="eastAsia" w:ascii="宋体" w:hAnsi="宋体" w:eastAsia="宋体" w:cs="宋体"/>
                <w:color w:val="auto"/>
                <w:sz w:val="24"/>
                <w:szCs w:val="20"/>
                <w:highlight w:val="none"/>
                <w:u w:val="single"/>
              </w:rPr>
              <w:t>30</w:t>
            </w:r>
            <w:r>
              <w:rPr>
                <w:rFonts w:hint="eastAsia" w:ascii="宋体" w:hAnsi="宋体" w:eastAsia="宋体" w:cs="宋体"/>
                <w:color w:val="auto"/>
                <w:sz w:val="24"/>
                <w:szCs w:val="20"/>
                <w:highlight w:val="none"/>
              </w:rPr>
              <w:t>分</w:t>
            </w:r>
          </w:p>
        </w:tc>
      </w:tr>
      <w:tr w14:paraId="4F6A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69831C61">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7</w:t>
            </w:r>
            <w:r>
              <w:rPr>
                <w:rFonts w:hint="default" w:ascii="宋体" w:hAnsi="宋体" w:eastAsia="宋体"/>
                <w:bCs/>
                <w:color w:val="auto"/>
                <w:kern w:val="2"/>
                <w:highlight w:val="none"/>
              </w:rPr>
              <w:t>.1</w:t>
            </w:r>
          </w:p>
        </w:tc>
        <w:tc>
          <w:tcPr>
            <w:tcW w:w="1174" w:type="pct"/>
            <w:vAlign w:val="center"/>
          </w:tcPr>
          <w:p w14:paraId="4003DBCA">
            <w:pPr>
              <w:pStyle w:val="52"/>
              <w:keepNext w:val="0"/>
              <w:keepLines w:val="0"/>
              <w:widowControl w:val="0"/>
              <w:suppressLineNumbers w:val="0"/>
              <w:spacing w:before="0" w:beforeAutospacing="0" w:after="0" w:afterAutospacing="0" w:line="440" w:lineRule="exact"/>
              <w:ind w:left="0" w:right="0"/>
              <w:jc w:val="left"/>
              <w:rPr>
                <w:rFonts w:hint="eastAsia"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246" w:type="pct"/>
            <w:vAlign w:val="center"/>
          </w:tcPr>
          <w:p w14:paraId="56571F2B">
            <w:pPr>
              <w:pStyle w:val="52"/>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hint="default" w:ascii="宋体" w:hAnsi="宋体" w:eastAsia="宋体"/>
                <w:b w:val="0"/>
                <w:color w:val="auto"/>
                <w:sz w:val="24"/>
                <w:highlight w:val="none"/>
              </w:rPr>
              <w:t>不分包     □分为</w:t>
            </w:r>
            <w:r>
              <w:rPr>
                <w:rFonts w:hint="default"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rPr>
              <w:t>/</w:t>
            </w:r>
            <w:r>
              <w:rPr>
                <w:rFonts w:hint="default" w:ascii="宋体" w:hAnsi="宋体" w:eastAsia="宋体"/>
                <w:b w:val="0"/>
                <w:color w:val="auto"/>
                <w:sz w:val="24"/>
                <w:highlight w:val="none"/>
                <w:u w:val="single"/>
              </w:rPr>
              <w:t xml:space="preserve"> </w:t>
            </w:r>
            <w:r>
              <w:rPr>
                <w:rFonts w:hint="default" w:ascii="宋体" w:hAnsi="宋体" w:eastAsia="宋体"/>
                <w:b w:val="0"/>
                <w:color w:val="auto"/>
                <w:sz w:val="24"/>
                <w:highlight w:val="none"/>
              </w:rPr>
              <w:t>个包</w:t>
            </w:r>
          </w:p>
          <w:p w14:paraId="270656F2">
            <w:pPr>
              <w:keepNext w:val="0"/>
              <w:keepLines w:val="0"/>
              <w:suppressLineNumbers w:val="0"/>
              <w:adjustRightInd w:val="0"/>
              <w:snapToGrid w:val="0"/>
              <w:spacing w:before="0" w:beforeAutospacing="0" w:after="0" w:afterAutospacing="0" w:line="440" w:lineRule="exact"/>
              <w:ind w:left="0" w:right="0"/>
              <w:rPr>
                <w:rFonts w:hint="default"/>
                <w:color w:val="auto"/>
                <w:szCs w:val="20"/>
                <w:highlight w:val="none"/>
                <w:lang w:val="en-US" w:eastAsia="zh-CN"/>
              </w:rPr>
            </w:pPr>
            <w:r>
              <w:rPr>
                <w:rFonts w:hint="eastAsia" w:ascii="宋体" w:hAnsi="宋体" w:eastAsia="宋体"/>
                <w:b w:val="0"/>
                <w:color w:val="auto"/>
                <w:sz w:val="24"/>
                <w:szCs w:val="20"/>
                <w:highlight w:val="none"/>
              </w:rPr>
              <w:t>投标人对多个包进行投标的中标</w:t>
            </w:r>
            <w:r>
              <w:rPr>
                <w:rFonts w:hint="default" w:ascii="宋体" w:hAnsi="宋体" w:eastAsia="宋体"/>
                <w:b w:val="0"/>
                <w:color w:val="auto"/>
                <w:sz w:val="24"/>
                <w:szCs w:val="20"/>
                <w:highlight w:val="none"/>
              </w:rPr>
              <w:t>包</w:t>
            </w:r>
            <w:r>
              <w:rPr>
                <w:rFonts w:hint="eastAsia" w:ascii="宋体" w:hAnsi="宋体" w:eastAsia="宋体"/>
                <w:b w:val="0"/>
                <w:color w:val="auto"/>
                <w:sz w:val="24"/>
                <w:szCs w:val="20"/>
                <w:highlight w:val="none"/>
              </w:rPr>
              <w:t>数规定：</w:t>
            </w:r>
            <w:r>
              <w:rPr>
                <w:rFonts w:hint="eastAsia" w:ascii="宋体" w:hAnsi="宋体" w:eastAsia="宋体"/>
                <w:b w:val="0"/>
                <w:bCs w:val="0"/>
                <w:color w:val="auto"/>
                <w:sz w:val="24"/>
                <w:szCs w:val="18"/>
                <w:highlight w:val="none"/>
                <w:u w:val="single"/>
              </w:rPr>
              <w:t xml:space="preserve"> </w:t>
            </w:r>
            <w:r>
              <w:rPr>
                <w:rFonts w:hint="default" w:ascii="宋体" w:hAnsi="宋体" w:eastAsia="宋体"/>
                <w:b w:val="0"/>
                <w:bCs w:val="0"/>
                <w:color w:val="auto"/>
                <w:sz w:val="24"/>
                <w:szCs w:val="18"/>
                <w:highlight w:val="none"/>
                <w:u w:val="single"/>
              </w:rPr>
              <w:t xml:space="preserve">   </w:t>
            </w:r>
            <w:r>
              <w:rPr>
                <w:rFonts w:hint="eastAsia" w:ascii="宋体" w:hAnsi="宋体" w:eastAsia="宋体"/>
                <w:b w:val="0"/>
                <w:bCs w:val="0"/>
                <w:color w:val="auto"/>
                <w:sz w:val="24"/>
                <w:szCs w:val="18"/>
                <w:highlight w:val="none"/>
                <w:u w:val="single"/>
              </w:rPr>
              <w:t xml:space="preserve">/ </w:t>
            </w:r>
            <w:r>
              <w:rPr>
                <w:rFonts w:hint="default" w:ascii="宋体" w:hAnsi="宋体" w:eastAsia="宋体"/>
                <w:b w:val="0"/>
                <w:bCs w:val="0"/>
                <w:color w:val="auto"/>
                <w:sz w:val="24"/>
                <w:szCs w:val="18"/>
                <w:highlight w:val="none"/>
                <w:u w:val="single"/>
              </w:rPr>
              <w:t xml:space="preserve">  </w:t>
            </w:r>
          </w:p>
        </w:tc>
      </w:tr>
      <w:tr w14:paraId="6523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79" w:type="pct"/>
            <w:vAlign w:val="center"/>
          </w:tcPr>
          <w:p w14:paraId="0541FD02">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10</w:t>
            </w:r>
            <w:r>
              <w:rPr>
                <w:rFonts w:hint="default" w:ascii="宋体" w:hAnsi="宋体" w:eastAsia="宋体"/>
                <w:bCs/>
                <w:color w:val="auto"/>
                <w:kern w:val="2"/>
                <w:highlight w:val="none"/>
              </w:rPr>
              <w:t>.1</w:t>
            </w:r>
          </w:p>
        </w:tc>
        <w:tc>
          <w:tcPr>
            <w:tcW w:w="1174" w:type="pct"/>
            <w:vAlign w:val="center"/>
          </w:tcPr>
          <w:p w14:paraId="613B66E4">
            <w:pPr>
              <w:pStyle w:val="52"/>
              <w:keepNext w:val="0"/>
              <w:keepLines w:val="0"/>
              <w:widowControl w:val="0"/>
              <w:suppressLineNumbers w:val="0"/>
              <w:spacing w:before="0" w:beforeAutospacing="0" w:after="0" w:afterAutospacing="0" w:line="440" w:lineRule="exact"/>
              <w:ind w:left="0" w:right="0"/>
              <w:jc w:val="left"/>
              <w:rPr>
                <w:rFonts w:hint="eastAsia"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246" w:type="pct"/>
            <w:vAlign w:val="center"/>
          </w:tcPr>
          <w:p w14:paraId="0AB7866B">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不收取</w:t>
            </w:r>
          </w:p>
        </w:tc>
      </w:tr>
      <w:tr w14:paraId="7124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02504304">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11</w:t>
            </w:r>
            <w:r>
              <w:rPr>
                <w:rFonts w:hint="default" w:ascii="宋体" w:hAnsi="宋体" w:eastAsia="宋体"/>
                <w:bCs/>
                <w:color w:val="auto"/>
                <w:kern w:val="2"/>
                <w:highlight w:val="none"/>
              </w:rPr>
              <w:t>.1</w:t>
            </w:r>
          </w:p>
        </w:tc>
        <w:tc>
          <w:tcPr>
            <w:tcW w:w="1174" w:type="pct"/>
            <w:vAlign w:val="center"/>
          </w:tcPr>
          <w:p w14:paraId="31C3C4FD">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246" w:type="pct"/>
            <w:vAlign w:val="center"/>
          </w:tcPr>
          <w:p w14:paraId="20091818">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u w:val="single"/>
              </w:rPr>
              <w:t>90</w:t>
            </w:r>
            <w:r>
              <w:rPr>
                <w:rFonts w:hint="eastAsia" w:ascii="宋体" w:hAnsi="宋体" w:eastAsia="宋体"/>
                <w:b w:val="0"/>
                <w:color w:val="auto"/>
                <w:sz w:val="24"/>
                <w:highlight w:val="none"/>
              </w:rPr>
              <w:t>日历日</w:t>
            </w:r>
          </w:p>
        </w:tc>
      </w:tr>
      <w:tr w14:paraId="1AE8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2127198E">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13</w:t>
            </w:r>
            <w:r>
              <w:rPr>
                <w:rFonts w:hint="default" w:ascii="宋体" w:hAnsi="宋体" w:eastAsia="宋体"/>
                <w:bCs/>
                <w:color w:val="auto"/>
                <w:kern w:val="2"/>
                <w:highlight w:val="none"/>
              </w:rPr>
              <w:t>.</w:t>
            </w:r>
            <w:r>
              <w:rPr>
                <w:rFonts w:hint="eastAsia" w:ascii="宋体" w:hAnsi="宋体" w:eastAsia="宋体"/>
                <w:bCs/>
                <w:color w:val="auto"/>
                <w:kern w:val="2"/>
                <w:highlight w:val="none"/>
              </w:rPr>
              <w:t>1</w:t>
            </w:r>
          </w:p>
        </w:tc>
        <w:tc>
          <w:tcPr>
            <w:tcW w:w="1174" w:type="pct"/>
            <w:vAlign w:val="center"/>
          </w:tcPr>
          <w:p w14:paraId="285C487D">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246" w:type="pct"/>
            <w:vAlign w:val="center"/>
          </w:tcPr>
          <w:p w14:paraId="4AA17BE5">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color w:val="auto"/>
                <w:sz w:val="24"/>
                <w:szCs w:val="20"/>
                <w:highlight w:val="none"/>
              </w:rPr>
              <w:t>投标截止时间后</w:t>
            </w:r>
            <w:r>
              <w:rPr>
                <w:rFonts w:hint="eastAsia" w:ascii="宋体" w:hAnsi="宋体" w:eastAsia="宋体"/>
                <w:bCs/>
                <w:color w:val="auto"/>
                <w:kern w:val="0"/>
                <w:sz w:val="24"/>
                <w:szCs w:val="28"/>
                <w:highlight w:val="none"/>
              </w:rPr>
              <w:t>60分钟内（以本项目网上招投标系统解密倒计时为准）</w:t>
            </w:r>
          </w:p>
        </w:tc>
      </w:tr>
      <w:tr w14:paraId="2770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799EF98F">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14.1</w:t>
            </w:r>
          </w:p>
        </w:tc>
        <w:tc>
          <w:tcPr>
            <w:tcW w:w="1174" w:type="pct"/>
            <w:vAlign w:val="center"/>
          </w:tcPr>
          <w:p w14:paraId="657AE675">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246" w:type="pct"/>
            <w:vAlign w:val="center"/>
          </w:tcPr>
          <w:p w14:paraId="7ADC5F0E">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bCs w:val="0"/>
                <w:color w:val="auto"/>
                <w:sz w:val="24"/>
                <w:highlight w:val="none"/>
              </w:rPr>
            </w:pPr>
            <w:r>
              <w:rPr>
                <w:rFonts w:hint="eastAsia"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采购人审查</w:t>
            </w:r>
          </w:p>
          <w:p w14:paraId="2C639217">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u w:val="single"/>
              </w:rPr>
            </w:pPr>
            <w:r>
              <w:rPr>
                <w:rFonts w:hint="default"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22AF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562565AB">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17</w:t>
            </w:r>
            <w:r>
              <w:rPr>
                <w:rFonts w:hint="default" w:ascii="宋体" w:hAnsi="宋体" w:eastAsia="宋体"/>
                <w:bCs/>
                <w:color w:val="auto"/>
                <w:kern w:val="2"/>
                <w:highlight w:val="none"/>
              </w:rPr>
              <w:t>.2</w:t>
            </w:r>
          </w:p>
        </w:tc>
        <w:tc>
          <w:tcPr>
            <w:tcW w:w="1174" w:type="pct"/>
            <w:vAlign w:val="center"/>
          </w:tcPr>
          <w:p w14:paraId="51D68247">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246" w:type="pct"/>
            <w:vAlign w:val="center"/>
          </w:tcPr>
          <w:p w14:paraId="6230244D">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u w:val="single"/>
              </w:rPr>
            </w:pPr>
            <w:r>
              <w:rPr>
                <w:rFonts w:hint="default" w:ascii="宋体" w:hAnsi="宋体" w:eastAsia="宋体"/>
                <w:b w:val="0"/>
                <w:bCs w:val="0"/>
                <w:color w:val="auto"/>
                <w:sz w:val="24"/>
                <w:szCs w:val="24"/>
                <w:highlight w:val="none"/>
              </w:rPr>
              <w:t>□</w:t>
            </w:r>
            <w:r>
              <w:rPr>
                <w:rFonts w:hint="eastAsia" w:ascii="宋体" w:hAnsi="宋体" w:eastAsia="宋体"/>
                <w:b w:val="0"/>
                <w:color w:val="auto"/>
                <w:sz w:val="24"/>
                <w:highlight w:val="none"/>
              </w:rPr>
              <w:t>最低评标价法</w:t>
            </w:r>
          </w:p>
          <w:p w14:paraId="55EB4B71">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bCs w:val="0"/>
                <w:color w:val="auto"/>
                <w:sz w:val="24"/>
                <w:szCs w:val="24"/>
                <w:highlight w:val="none"/>
              </w:rPr>
              <w:t>☑</w:t>
            </w:r>
            <w:r>
              <w:rPr>
                <w:rFonts w:hint="eastAsia" w:ascii="宋体" w:hAnsi="宋体" w:eastAsia="宋体"/>
                <w:b w:val="0"/>
                <w:color w:val="auto"/>
                <w:sz w:val="24"/>
                <w:highlight w:val="none"/>
              </w:rPr>
              <w:t>综合评分法</w:t>
            </w:r>
          </w:p>
        </w:tc>
      </w:tr>
      <w:tr w14:paraId="3208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69A68104">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17</w:t>
            </w:r>
            <w:r>
              <w:rPr>
                <w:rFonts w:hint="default" w:ascii="宋体" w:hAnsi="宋体" w:eastAsia="宋体"/>
                <w:bCs/>
                <w:color w:val="auto"/>
                <w:kern w:val="2"/>
                <w:highlight w:val="none"/>
              </w:rPr>
              <w:t>.3</w:t>
            </w:r>
          </w:p>
        </w:tc>
        <w:tc>
          <w:tcPr>
            <w:tcW w:w="2162" w:type="dxa"/>
            <w:vAlign w:val="center"/>
          </w:tcPr>
          <w:p w14:paraId="43BA30B0">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i/>
                <w:color w:val="auto"/>
                <w:sz w:val="24"/>
                <w:highlight w:val="none"/>
              </w:rPr>
            </w:pPr>
            <w:r>
              <w:rPr>
                <w:rFonts w:hint="eastAsia" w:ascii="宋体" w:hAnsi="宋体" w:eastAsia="宋体"/>
                <w:b w:val="0"/>
                <w:color w:val="auto"/>
                <w:sz w:val="24"/>
                <w:highlight w:val="none"/>
              </w:rPr>
              <w:t>报价扣除</w:t>
            </w:r>
            <w:r>
              <w:rPr>
                <w:rFonts w:hint="eastAsia" w:ascii="宋体" w:hAnsi="宋体" w:eastAsia="宋体"/>
                <w:b w:val="0"/>
                <w:i/>
                <w:color w:val="auto"/>
                <w:sz w:val="24"/>
                <w:highlight w:val="none"/>
              </w:rPr>
              <w:t>（非专门面向中小企业采购项目适用）</w:t>
            </w:r>
          </w:p>
        </w:tc>
        <w:tc>
          <w:tcPr>
            <w:tcW w:w="5977" w:type="dxa"/>
            <w:vAlign w:val="center"/>
          </w:tcPr>
          <w:p w14:paraId="6814AA38">
            <w:pPr>
              <w:pStyle w:val="52"/>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（1）</w:t>
            </w:r>
            <w:r>
              <w:rPr>
                <w:rFonts w:hint="default"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对小型和微型企业产品的价格给予10%的扣除后参与评审；其评审价=投标报价*90%</w:t>
            </w:r>
            <w:r>
              <w:rPr>
                <w:rFonts w:hint="eastAsia" w:ascii="宋体" w:hAnsi="宋体" w:eastAsia="宋体"/>
                <w:b w:val="0"/>
                <w:color w:val="auto"/>
                <w:sz w:val="24"/>
                <w:highlight w:val="none"/>
              </w:rPr>
              <w:t>。</w:t>
            </w:r>
          </w:p>
          <w:p w14:paraId="4EC525E9">
            <w:pPr>
              <w:pStyle w:val="52"/>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hint="default"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316D3ABB">
            <w:pPr>
              <w:pStyle w:val="52"/>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hint="default"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49FCD0E6">
            <w:pPr>
              <w:pStyle w:val="52"/>
              <w:keepNext w:val="0"/>
              <w:keepLines w:val="0"/>
              <w:widowControl w:val="0"/>
              <w:suppressLineNumbers w:val="0"/>
              <w:spacing w:before="0" w:beforeAutospacing="0" w:after="0" w:afterAutospacing="0" w:line="360" w:lineRule="auto"/>
              <w:ind w:left="0" w:right="0"/>
              <w:jc w:val="both"/>
              <w:rPr>
                <w:rFonts w:hint="default"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联合体投标的，小型、微型企业的协议合同金额占联合体协议合同总金额30%以上的，价格给予联合体4%的扣除后参与评审；其评审价=投标报价*96%；联合体各方均为小型、微型企业的，联合体视同为小型、微型企业，其评审价按（1）款执行</w:t>
            </w:r>
            <w:r>
              <w:rPr>
                <w:rFonts w:hint="eastAsia" w:ascii="宋体" w:hAnsi="宋体" w:eastAsia="宋体"/>
                <w:b w:val="0"/>
                <w:color w:val="auto"/>
                <w:sz w:val="24"/>
                <w:highlight w:val="none"/>
              </w:rPr>
              <w:t>。</w:t>
            </w:r>
          </w:p>
          <w:p w14:paraId="3625E792">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允许大中型企业向一家或者多家小微企业分包的，对于分包意向协议约定小微企业的合同份额占到合同总金额30%以上的，给予大中型企业的投标报价按照4%标准扣除后的价格参与评审；其评审价=投标报价*96%</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6B19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250BDA8C">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21</w:t>
            </w:r>
            <w:r>
              <w:rPr>
                <w:rFonts w:hint="default" w:ascii="宋体" w:hAnsi="宋体" w:eastAsia="宋体"/>
                <w:bCs/>
                <w:color w:val="auto"/>
                <w:kern w:val="2"/>
                <w:highlight w:val="none"/>
              </w:rPr>
              <w:t>.</w:t>
            </w:r>
            <w:r>
              <w:rPr>
                <w:rFonts w:hint="eastAsia" w:ascii="宋体" w:hAnsi="宋体" w:eastAsia="宋体"/>
                <w:bCs/>
                <w:color w:val="auto"/>
                <w:kern w:val="2"/>
                <w:highlight w:val="none"/>
              </w:rPr>
              <w:t>1</w:t>
            </w:r>
          </w:p>
        </w:tc>
        <w:tc>
          <w:tcPr>
            <w:tcW w:w="1174" w:type="pct"/>
            <w:vAlign w:val="center"/>
          </w:tcPr>
          <w:p w14:paraId="60F4CCF7">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hint="default"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hint="default" w:ascii="宋体" w:hAnsi="宋体" w:eastAsia="宋体"/>
                <w:b w:val="0"/>
                <w:color w:val="auto"/>
                <w:sz w:val="24"/>
                <w:highlight w:val="none"/>
              </w:rPr>
              <w:t>数量</w:t>
            </w:r>
          </w:p>
        </w:tc>
        <w:tc>
          <w:tcPr>
            <w:tcW w:w="3246" w:type="pct"/>
            <w:vAlign w:val="center"/>
          </w:tcPr>
          <w:p w14:paraId="41F5CC62">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评标委员会推荐3名中标候选人。</w:t>
            </w:r>
          </w:p>
        </w:tc>
      </w:tr>
      <w:tr w14:paraId="08EA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51DC2ED0">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21</w:t>
            </w:r>
            <w:r>
              <w:rPr>
                <w:rFonts w:hint="default" w:ascii="宋体" w:hAnsi="宋体" w:eastAsia="宋体"/>
                <w:bCs/>
                <w:color w:val="auto"/>
                <w:kern w:val="2"/>
                <w:highlight w:val="none"/>
              </w:rPr>
              <w:t>.</w:t>
            </w:r>
            <w:r>
              <w:rPr>
                <w:rFonts w:hint="eastAsia" w:ascii="宋体" w:hAnsi="宋体" w:eastAsia="宋体"/>
                <w:bCs/>
                <w:color w:val="auto"/>
                <w:kern w:val="2"/>
                <w:highlight w:val="none"/>
              </w:rPr>
              <w:t>2</w:t>
            </w:r>
          </w:p>
        </w:tc>
        <w:tc>
          <w:tcPr>
            <w:tcW w:w="1174" w:type="pct"/>
            <w:vAlign w:val="center"/>
          </w:tcPr>
          <w:p w14:paraId="03154482">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246" w:type="pct"/>
            <w:vAlign w:val="center"/>
          </w:tcPr>
          <w:p w14:paraId="25321711">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A8"/>
            </w:r>
            <w:r>
              <w:rPr>
                <w:rFonts w:hint="eastAsia" w:asciiTheme="minorEastAsia" w:hAnsiTheme="minorEastAsia" w:eastAsiaTheme="minorEastAsia"/>
                <w:color w:val="auto"/>
                <w:kern w:val="0"/>
                <w:sz w:val="24"/>
                <w:szCs w:val="24"/>
                <w:highlight w:val="none"/>
              </w:rPr>
              <w:t>采购人委托评标委员会确定</w:t>
            </w:r>
          </w:p>
          <w:p w14:paraId="46F3F2E6">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Theme="minorEastAsia" w:hAnsiTheme="minorEastAsia" w:eastAsiaTheme="minorEastAsia"/>
                <w:b w:val="0"/>
                <w:bCs w:val="0"/>
                <w:color w:val="auto"/>
                <w:kern w:val="2"/>
                <w:sz w:val="24"/>
                <w:szCs w:val="24"/>
                <w:highlight w:val="none"/>
              </w:rPr>
              <w:t>☑采购人确定</w:t>
            </w:r>
          </w:p>
        </w:tc>
      </w:tr>
      <w:tr w14:paraId="2F3B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79" w:type="pct"/>
            <w:vAlign w:val="center"/>
          </w:tcPr>
          <w:p w14:paraId="4DB83FE3">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default" w:ascii="宋体" w:hAnsi="宋体" w:eastAsia="宋体"/>
                <w:bCs/>
                <w:color w:val="auto"/>
                <w:kern w:val="2"/>
                <w:highlight w:val="none"/>
              </w:rPr>
              <w:t>2</w:t>
            </w:r>
            <w:r>
              <w:rPr>
                <w:rFonts w:hint="eastAsia" w:ascii="宋体" w:hAnsi="宋体" w:eastAsia="宋体"/>
                <w:bCs/>
                <w:color w:val="auto"/>
                <w:kern w:val="2"/>
                <w:highlight w:val="none"/>
              </w:rPr>
              <w:t>3</w:t>
            </w:r>
            <w:r>
              <w:rPr>
                <w:rFonts w:hint="default" w:ascii="宋体" w:hAnsi="宋体" w:eastAsia="宋体"/>
                <w:bCs/>
                <w:color w:val="auto"/>
                <w:kern w:val="2"/>
                <w:highlight w:val="none"/>
              </w:rPr>
              <w:t>.3</w:t>
            </w:r>
          </w:p>
        </w:tc>
        <w:tc>
          <w:tcPr>
            <w:tcW w:w="1174" w:type="pct"/>
            <w:vAlign w:val="center"/>
          </w:tcPr>
          <w:p w14:paraId="411BED8C">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随中标结果公告同时公告的内容</w:t>
            </w:r>
          </w:p>
        </w:tc>
        <w:tc>
          <w:tcPr>
            <w:tcW w:w="3246" w:type="pct"/>
            <w:vAlign w:val="center"/>
          </w:tcPr>
          <w:p w14:paraId="5EAA20B5">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（1）中小企业声明函</w:t>
            </w:r>
            <w:r>
              <w:rPr>
                <w:rFonts w:hint="eastAsia" w:ascii="宋体" w:hAnsi="宋体" w:eastAsia="宋体"/>
                <w:b w:val="0"/>
                <w:i/>
                <w:iCs/>
                <w:color w:val="auto"/>
                <w:sz w:val="24"/>
                <w:highlight w:val="none"/>
              </w:rPr>
              <w:t>（如有）</w:t>
            </w:r>
            <w:r>
              <w:rPr>
                <w:rFonts w:hint="eastAsia" w:ascii="宋体" w:hAnsi="宋体" w:eastAsia="宋体"/>
                <w:b w:val="0"/>
                <w:color w:val="auto"/>
                <w:sz w:val="24"/>
                <w:highlight w:val="none"/>
              </w:rPr>
              <w:t>；</w:t>
            </w:r>
          </w:p>
          <w:p w14:paraId="446FB5D6">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i/>
                <w:color w:val="auto"/>
                <w:sz w:val="24"/>
                <w:highlight w:val="none"/>
              </w:rPr>
            </w:pPr>
            <w:r>
              <w:rPr>
                <w:rFonts w:hint="eastAsia" w:ascii="宋体" w:hAnsi="宋体" w:eastAsia="宋体"/>
                <w:b w:val="0"/>
                <w:color w:val="auto"/>
                <w:sz w:val="24"/>
                <w:highlight w:val="none"/>
              </w:rPr>
              <w:t>（2）残疾人福利性单位声明函</w:t>
            </w:r>
            <w:r>
              <w:rPr>
                <w:rFonts w:hint="eastAsia" w:ascii="宋体" w:hAnsi="宋体" w:eastAsia="宋体"/>
                <w:b w:val="0"/>
                <w:i/>
                <w:iCs/>
                <w:color w:val="auto"/>
                <w:sz w:val="24"/>
                <w:highlight w:val="none"/>
              </w:rPr>
              <w:t>（如有）</w:t>
            </w:r>
            <w:r>
              <w:rPr>
                <w:rFonts w:hint="eastAsia" w:ascii="宋体" w:hAnsi="宋体" w:eastAsia="宋体"/>
                <w:b w:val="0"/>
                <w:color w:val="auto"/>
                <w:sz w:val="24"/>
                <w:highlight w:val="none"/>
              </w:rPr>
              <w:t>；</w:t>
            </w:r>
          </w:p>
          <w:p w14:paraId="3A45DFE0">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bCs w:val="0"/>
                <w:color w:val="auto"/>
                <w:sz w:val="24"/>
                <w:szCs w:val="24"/>
                <w:highlight w:val="none"/>
              </w:rPr>
            </w:pPr>
            <w:r>
              <w:rPr>
                <w:rFonts w:hint="eastAsia" w:ascii="宋体" w:hAnsi="宋体" w:eastAsia="宋体"/>
                <w:b w:val="0"/>
                <w:color w:val="auto"/>
                <w:sz w:val="24"/>
                <w:highlight w:val="none"/>
              </w:rPr>
              <w:t>（3）中标（成交）供应商的评审总得分</w:t>
            </w:r>
            <w:r>
              <w:rPr>
                <w:rFonts w:hint="eastAsia" w:ascii="宋体" w:hAnsi="宋体" w:eastAsia="宋体"/>
                <w:b w:val="0"/>
                <w:i/>
                <w:iCs/>
                <w:color w:val="auto"/>
                <w:sz w:val="24"/>
                <w:highlight w:val="none"/>
              </w:rPr>
              <w:t>。</w:t>
            </w:r>
          </w:p>
        </w:tc>
      </w:tr>
      <w:tr w14:paraId="2D9D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6C7DAA4E">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24</w:t>
            </w:r>
            <w:r>
              <w:rPr>
                <w:rFonts w:hint="default" w:ascii="宋体" w:hAnsi="宋体" w:eastAsia="宋体"/>
                <w:bCs/>
                <w:color w:val="auto"/>
                <w:kern w:val="2"/>
                <w:highlight w:val="none"/>
              </w:rPr>
              <w:t>.1</w:t>
            </w:r>
          </w:p>
        </w:tc>
        <w:tc>
          <w:tcPr>
            <w:tcW w:w="1174" w:type="pct"/>
            <w:vAlign w:val="center"/>
          </w:tcPr>
          <w:p w14:paraId="3F57A9F6">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246" w:type="pct"/>
            <w:vAlign w:val="center"/>
          </w:tcPr>
          <w:p w14:paraId="67AABE8F">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hint="default"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4386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03C4F146">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25</w:t>
            </w:r>
            <w:r>
              <w:rPr>
                <w:rFonts w:hint="default" w:ascii="宋体" w:hAnsi="宋体" w:eastAsia="宋体"/>
                <w:bCs/>
                <w:color w:val="auto"/>
                <w:kern w:val="2"/>
                <w:highlight w:val="none"/>
              </w:rPr>
              <w:t>.1</w:t>
            </w:r>
          </w:p>
        </w:tc>
        <w:tc>
          <w:tcPr>
            <w:tcW w:w="1174" w:type="pct"/>
            <w:vAlign w:val="center"/>
          </w:tcPr>
          <w:p w14:paraId="0F1D9F1E">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246" w:type="pct"/>
            <w:vAlign w:val="center"/>
          </w:tcPr>
          <w:p w14:paraId="7B7F7A8A">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color w:val="auto"/>
                <w:sz w:val="24"/>
                <w:szCs w:val="24"/>
                <w:highlight w:val="none"/>
              </w:rPr>
              <w:t>交易</w:t>
            </w:r>
            <w:r>
              <w:rPr>
                <w:rFonts w:hint="eastAsia" w:asciiTheme="minorEastAsia" w:hAnsiTheme="minorEastAsia" w:eastAsiaTheme="minorEastAsia"/>
                <w:color w:val="auto"/>
                <w:kern w:val="0"/>
                <w:sz w:val="24"/>
                <w:szCs w:val="24"/>
                <w:highlight w:val="none"/>
              </w:rPr>
              <w:t>系统查看</w:t>
            </w:r>
          </w:p>
          <w:p w14:paraId="06A0F177">
            <w:pPr>
              <w:pStyle w:val="52"/>
              <w:keepNext w:val="0"/>
              <w:keepLines w:val="0"/>
              <w:widowControl w:val="0"/>
              <w:suppressLineNumbers w:val="0"/>
              <w:spacing w:before="0" w:beforeAutospacing="0" w:after="0" w:afterAutospacing="0" w:line="440" w:lineRule="exact"/>
              <w:ind w:left="0" w:right="0"/>
              <w:jc w:val="both"/>
              <w:rPr>
                <w:rFonts w:hint="eastAsia" w:asciiTheme="minorEastAsia" w:hAnsiTheme="minorEastAsia" w:eastAsiaTheme="minorEastAsia"/>
                <w:b w:val="0"/>
                <w:bCs w:val="0"/>
                <w:color w:val="auto"/>
                <w:kern w:val="2"/>
                <w:sz w:val="24"/>
                <w:szCs w:val="24"/>
                <w:highlight w:val="none"/>
              </w:rPr>
            </w:pPr>
            <w:r>
              <w:rPr>
                <w:rFonts w:hint="eastAsia" w:asciiTheme="minorEastAsia" w:hAnsiTheme="minorEastAsia" w:eastAsiaTheme="minorEastAsia"/>
                <w:b w:val="0"/>
                <w:bCs w:val="0"/>
                <w:color w:val="auto"/>
                <w:kern w:val="2"/>
                <w:sz w:val="24"/>
                <w:szCs w:val="24"/>
                <w:highlight w:val="none"/>
              </w:rPr>
              <w:t>□评标现场告知</w:t>
            </w:r>
          </w:p>
        </w:tc>
      </w:tr>
      <w:tr w14:paraId="4634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7" w:hRule="atLeast"/>
          <w:jc w:val="center"/>
        </w:trPr>
        <w:tc>
          <w:tcPr>
            <w:tcW w:w="579" w:type="pct"/>
            <w:vAlign w:val="center"/>
          </w:tcPr>
          <w:p w14:paraId="5396037F">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26</w:t>
            </w:r>
            <w:r>
              <w:rPr>
                <w:rFonts w:hint="default" w:ascii="宋体" w:hAnsi="宋体" w:eastAsia="宋体"/>
                <w:bCs/>
                <w:color w:val="auto"/>
                <w:kern w:val="2"/>
                <w:highlight w:val="none"/>
              </w:rPr>
              <w:t>.1</w:t>
            </w:r>
          </w:p>
        </w:tc>
        <w:tc>
          <w:tcPr>
            <w:tcW w:w="1174" w:type="pct"/>
            <w:vAlign w:val="center"/>
          </w:tcPr>
          <w:p w14:paraId="11CD93A6">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246" w:type="pct"/>
          </w:tcPr>
          <w:p w14:paraId="284D30B1">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74076241">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☑免收</w:t>
            </w:r>
          </w:p>
          <w:p w14:paraId="0FFAFCEA">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合同价的</w:t>
            </w:r>
            <w:r>
              <w:rPr>
                <w:rFonts w:hint="eastAsia" w:ascii="宋体" w:hAnsi="宋体" w:eastAsia="宋体"/>
                <w:bCs/>
                <w:color w:val="auto"/>
                <w:sz w:val="24"/>
                <w:szCs w:val="20"/>
                <w:highlight w:val="none"/>
                <w:u w:val="single"/>
              </w:rPr>
              <w:t>/</w:t>
            </w:r>
            <w:r>
              <w:rPr>
                <w:rFonts w:hint="default" w:ascii="宋体" w:hAnsi="宋体" w:eastAsia="宋体"/>
                <w:bCs/>
                <w:color w:val="auto"/>
                <w:kern w:val="0"/>
                <w:sz w:val="24"/>
                <w:szCs w:val="28"/>
                <w:highlight w:val="none"/>
              </w:rPr>
              <w:t>%</w:t>
            </w:r>
          </w:p>
          <w:p w14:paraId="4D6D886D">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default"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sz w:val="24"/>
                <w:szCs w:val="20"/>
                <w:highlight w:val="none"/>
                <w:u w:val="single"/>
              </w:rPr>
              <w:t>/</w:t>
            </w:r>
            <w:r>
              <w:rPr>
                <w:rFonts w:hint="eastAsia" w:ascii="宋体" w:hAnsi="宋体" w:eastAsia="宋体"/>
                <w:bCs/>
                <w:color w:val="auto"/>
                <w:kern w:val="0"/>
                <w:sz w:val="24"/>
                <w:szCs w:val="28"/>
                <w:highlight w:val="none"/>
              </w:rPr>
              <w:t>元</w:t>
            </w:r>
          </w:p>
          <w:p w14:paraId="18EFC8A1">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2C9C9E13">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A8"/>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A8"/>
            </w:r>
            <w:r>
              <w:rPr>
                <w:rFonts w:hint="default"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A8"/>
            </w:r>
            <w:r>
              <w:rPr>
                <w:rFonts w:hint="eastAsia" w:ascii="宋体" w:hAnsi="宋体" w:eastAsia="宋体"/>
                <w:bCs/>
                <w:color w:val="auto"/>
                <w:kern w:val="0"/>
                <w:sz w:val="24"/>
                <w:szCs w:val="28"/>
                <w:highlight w:val="none"/>
              </w:rPr>
              <w:t>保</w:t>
            </w:r>
            <w:r>
              <w:rPr>
                <w:rFonts w:hint="default" w:ascii="宋体" w:hAnsi="宋体" w:eastAsia="宋体"/>
                <w:bCs/>
                <w:color w:val="auto"/>
                <w:kern w:val="0"/>
                <w:sz w:val="24"/>
                <w:szCs w:val="28"/>
                <w:highlight w:val="none"/>
              </w:rPr>
              <w:t>函</w:t>
            </w:r>
          </w:p>
          <w:p w14:paraId="4AF0CAFC">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（3）收取单位：</w:t>
            </w:r>
            <w:r>
              <w:rPr>
                <w:rFonts w:hint="eastAsia" w:ascii="宋体" w:hAnsi="宋体" w:eastAsia="宋体"/>
                <w:bCs/>
                <w:color w:val="auto"/>
                <w:sz w:val="24"/>
                <w:szCs w:val="20"/>
                <w:highlight w:val="none"/>
                <w:u w:val="single"/>
              </w:rPr>
              <w:t>/</w:t>
            </w:r>
            <w:r>
              <w:rPr>
                <w:rFonts w:hint="eastAsia" w:ascii="宋体" w:hAnsi="宋体" w:eastAsia="宋体"/>
                <w:bCs/>
                <w:color w:val="auto"/>
                <w:kern w:val="0"/>
                <w:sz w:val="24"/>
                <w:szCs w:val="28"/>
                <w:highlight w:val="none"/>
              </w:rPr>
              <w:t xml:space="preserve">              </w:t>
            </w:r>
          </w:p>
          <w:p w14:paraId="21472084">
            <w:pPr>
              <w:keepNext w:val="0"/>
              <w:keepLines w:val="0"/>
              <w:suppressLineNumbers w:val="0"/>
              <w:spacing w:before="0" w:beforeAutospacing="0" w:after="0" w:afterAutospacing="0" w:line="440" w:lineRule="exact"/>
              <w:ind w:left="0" w:right="0"/>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（4）收取账号：</w:t>
            </w:r>
            <w:r>
              <w:rPr>
                <w:rFonts w:hint="eastAsia" w:ascii="宋体" w:hAnsi="宋体" w:eastAsia="宋体"/>
                <w:bCs/>
                <w:color w:val="auto"/>
                <w:sz w:val="24"/>
                <w:szCs w:val="20"/>
                <w:highlight w:val="none"/>
                <w:u w:val="single"/>
              </w:rPr>
              <w:t>/</w:t>
            </w:r>
          </w:p>
          <w:p w14:paraId="02EC56C0">
            <w:pPr>
              <w:keepNext w:val="0"/>
              <w:keepLines w:val="0"/>
              <w:suppressLineNumbers w:val="0"/>
              <w:spacing w:before="0" w:beforeAutospacing="0" w:after="0" w:afterAutospacing="0" w:line="440" w:lineRule="exact"/>
              <w:ind w:left="0" w:right="0"/>
              <w:rPr>
                <w:rFonts w:hint="eastAsia" w:ascii="宋体" w:hAnsi="宋体" w:eastAsia="宋体"/>
                <w:color w:val="auto"/>
                <w:sz w:val="24"/>
                <w:szCs w:val="20"/>
                <w:highlight w:val="none"/>
              </w:rPr>
            </w:pPr>
            <w:r>
              <w:rPr>
                <w:rFonts w:hint="eastAsia" w:ascii="宋体" w:hAnsi="宋体" w:eastAsia="宋体"/>
                <w:bCs/>
                <w:color w:val="auto"/>
                <w:kern w:val="0"/>
                <w:sz w:val="24"/>
                <w:szCs w:val="28"/>
                <w:highlight w:val="none"/>
              </w:rPr>
              <w:t>（5）</w:t>
            </w:r>
            <w:r>
              <w:rPr>
                <w:rFonts w:hint="eastAsia" w:ascii="宋体" w:hAnsi="宋体" w:eastAsia="宋体"/>
                <w:color w:val="auto"/>
                <w:sz w:val="24"/>
                <w:szCs w:val="20"/>
                <w:highlight w:val="none"/>
              </w:rPr>
              <w:t>退还时间：</w:t>
            </w:r>
            <w:r>
              <w:rPr>
                <w:rFonts w:hint="eastAsia" w:ascii="宋体" w:hAnsi="宋体" w:eastAsia="宋体"/>
                <w:bCs/>
                <w:color w:val="auto"/>
                <w:sz w:val="24"/>
                <w:szCs w:val="20"/>
                <w:highlight w:val="none"/>
                <w:u w:val="single"/>
              </w:rPr>
              <w:t>/</w:t>
            </w:r>
          </w:p>
          <w:p w14:paraId="15360DAE">
            <w:pPr>
              <w:keepNext w:val="0"/>
              <w:keepLines w:val="0"/>
              <w:suppressLineNumbers w:val="0"/>
              <w:spacing w:before="0" w:beforeAutospacing="0" w:after="0" w:afterAutospacing="0" w:line="440" w:lineRule="exact"/>
              <w:ind w:left="0" w:right="0"/>
              <w:rPr>
                <w:rFonts w:hint="eastAsia"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7EEB2617">
            <w:pPr>
              <w:keepNext w:val="0"/>
              <w:keepLines w:val="0"/>
              <w:suppressLineNumbers w:val="0"/>
              <w:spacing w:before="0" w:beforeAutospacing="0" w:after="0" w:afterAutospacing="0" w:line="440" w:lineRule="exact"/>
              <w:ind w:left="0" w:right="0"/>
              <w:rPr>
                <w:rFonts w:hint="eastAsia"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0A438023">
            <w:pPr>
              <w:keepNext w:val="0"/>
              <w:keepLines w:val="0"/>
              <w:suppressLineNumbers w:val="0"/>
              <w:spacing w:before="0" w:beforeAutospacing="0" w:after="0" w:afterAutospacing="0" w:line="440" w:lineRule="exact"/>
              <w:ind w:left="0" w:right="0"/>
              <w:rPr>
                <w:rFonts w:hint="eastAsia"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6A34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79" w:type="pct"/>
            <w:vAlign w:val="center"/>
          </w:tcPr>
          <w:p w14:paraId="7B5C0812">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27</w:t>
            </w:r>
            <w:r>
              <w:rPr>
                <w:rFonts w:hint="default" w:ascii="宋体" w:hAnsi="宋体" w:eastAsia="宋体"/>
                <w:bCs/>
                <w:color w:val="auto"/>
                <w:kern w:val="2"/>
                <w:highlight w:val="none"/>
              </w:rPr>
              <w:t>.1</w:t>
            </w:r>
          </w:p>
        </w:tc>
        <w:tc>
          <w:tcPr>
            <w:tcW w:w="1174" w:type="pct"/>
            <w:vAlign w:val="center"/>
          </w:tcPr>
          <w:p w14:paraId="21041ECD">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签订合同和合同公告时间</w:t>
            </w:r>
          </w:p>
        </w:tc>
        <w:tc>
          <w:tcPr>
            <w:tcW w:w="3246" w:type="pct"/>
          </w:tcPr>
          <w:p w14:paraId="7A7DF8B4">
            <w:pPr>
              <w:keepNext w:val="0"/>
              <w:keepLines w:val="0"/>
              <w:suppressLineNumbers w:val="0"/>
              <w:adjustRightInd w:val="0"/>
              <w:snapToGrid w:val="0"/>
              <w:spacing w:before="0" w:beforeAutospacing="0" w:after="0" w:afterAutospacing="0" w:line="440" w:lineRule="exact"/>
              <w:ind w:left="0" w:right="0"/>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rPr>
              <w:t>（1）采购人与中标人应当自发出中标通知书之日起7个工作日内签订合同，采购合同签订之日起2个工作日内完成政府采购合同公开。</w:t>
            </w:r>
          </w:p>
          <w:p w14:paraId="2F35B4AF">
            <w:pPr>
              <w:keepNext w:val="0"/>
              <w:keepLines w:val="0"/>
              <w:suppressLineNumbers w:val="0"/>
              <w:adjustRightInd w:val="0"/>
              <w:snapToGrid w:val="0"/>
              <w:spacing w:before="0" w:beforeAutospacing="0" w:after="0" w:afterAutospacing="0" w:line="440" w:lineRule="exact"/>
              <w:ind w:left="0" w:right="0"/>
              <w:rPr>
                <w:rFonts w:hint="eastAsia" w:ascii="宋体" w:hAnsi="宋体" w:eastAsia="宋体"/>
                <w:b/>
                <w:bCs/>
                <w:color w:val="auto"/>
                <w:kern w:val="0"/>
                <w:sz w:val="24"/>
                <w:szCs w:val="24"/>
                <w:highlight w:val="none"/>
              </w:rPr>
            </w:pPr>
            <w:r>
              <w:rPr>
                <w:rFonts w:hint="default" w:ascii="宋体" w:hAnsi="宋体" w:eastAsia="宋体" w:cs="宋体"/>
                <w:color w:val="auto"/>
                <w:sz w:val="24"/>
                <w:szCs w:val="24"/>
                <w:highlight w:val="none"/>
              </w:rPr>
              <w:t>（2）采购人与中标人不得擅自变更合同，依照政府采购法确需变更政府采购合同内容的，采购人应当自合同变更之日起2个工作日内在安徽省政府采购网</w:t>
            </w:r>
            <w:r>
              <w:rPr>
                <w:rFonts w:hint="eastAsia" w:ascii="宋体" w:hAnsi="宋体" w:eastAsia="宋体" w:cs="宋体"/>
                <w:color w:val="auto"/>
                <w:sz w:val="24"/>
                <w:szCs w:val="24"/>
                <w:highlight w:val="none"/>
              </w:rPr>
              <w:t>和滁州市公共资源交易中心网</w:t>
            </w:r>
            <w:r>
              <w:rPr>
                <w:rFonts w:hint="default" w:ascii="宋体" w:hAnsi="宋体" w:eastAsia="宋体" w:cs="宋体"/>
                <w:color w:val="auto"/>
                <w:sz w:val="24"/>
                <w:szCs w:val="24"/>
                <w:highlight w:val="none"/>
              </w:rPr>
              <w:t>发布政府采购合同变更公告，但涉及国家秘密、商业秘密的信息和其他依法不得公开的信息除外。</w:t>
            </w:r>
          </w:p>
        </w:tc>
      </w:tr>
      <w:tr w14:paraId="2D52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2BDB02C7">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28</w:t>
            </w:r>
            <w:r>
              <w:rPr>
                <w:rFonts w:hint="default" w:ascii="宋体" w:hAnsi="宋体" w:eastAsia="宋体"/>
                <w:bCs/>
                <w:color w:val="auto"/>
                <w:kern w:val="2"/>
                <w:highlight w:val="none"/>
              </w:rPr>
              <w:t>.1</w:t>
            </w:r>
          </w:p>
        </w:tc>
        <w:tc>
          <w:tcPr>
            <w:tcW w:w="1174" w:type="pct"/>
            <w:vAlign w:val="center"/>
          </w:tcPr>
          <w:p w14:paraId="2BF849A3">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代理费用</w:t>
            </w:r>
          </w:p>
        </w:tc>
        <w:tc>
          <w:tcPr>
            <w:tcW w:w="3246" w:type="pct"/>
            <w:vAlign w:val="center"/>
          </w:tcPr>
          <w:p w14:paraId="1ABC3683">
            <w:pPr>
              <w:keepNext w:val="0"/>
              <w:keepLines w:val="0"/>
              <w:suppressLineNumbers w:val="0"/>
              <w:spacing w:before="39" w:beforeAutospacing="0" w:after="0" w:afterAutospacing="0" w:line="440" w:lineRule="exact"/>
              <w:ind w:left="0" w:right="0"/>
              <w:rPr>
                <w:rFonts w:hint="eastAsia" w:ascii="宋体" w:hAnsi="宋体" w:eastAsia="宋体" w:cs="宋体"/>
                <w:color w:val="auto"/>
                <w:sz w:val="24"/>
                <w:szCs w:val="24"/>
                <w:highlight w:val="none"/>
              </w:rPr>
            </w:pPr>
            <w:r>
              <w:rPr>
                <w:rFonts w:hint="eastAsia" w:ascii="宋体" w:hAnsi="宋体" w:eastAsia="宋体"/>
                <w:bCs/>
                <w:color w:val="auto"/>
                <w:kern w:val="0"/>
                <w:sz w:val="24"/>
                <w:szCs w:val="28"/>
                <w:highlight w:val="none"/>
              </w:rPr>
              <w:t>（1）</w:t>
            </w:r>
            <w:r>
              <w:rPr>
                <w:rFonts w:hint="default" w:ascii="宋体" w:hAnsi="宋体" w:eastAsia="宋体"/>
                <w:bCs/>
                <w:color w:val="auto"/>
                <w:kern w:val="0"/>
                <w:sz w:val="24"/>
                <w:szCs w:val="28"/>
                <w:highlight w:val="none"/>
              </w:rPr>
              <w:t>收费对象</w:t>
            </w:r>
            <w:r>
              <w:rPr>
                <w:rFonts w:hint="default" w:ascii="宋体" w:hAnsi="宋体" w:eastAsia="宋体" w:cs="宋体"/>
                <w:color w:val="auto"/>
                <w:spacing w:val="-12"/>
                <w:sz w:val="24"/>
                <w:szCs w:val="24"/>
                <w:highlight w:val="none"/>
              </w:rPr>
              <w:t>：</w:t>
            </w:r>
            <w:r>
              <w:rPr>
                <w:rFonts w:hint="eastAsia" w:ascii="宋体" w:hAnsi="宋体" w:eastAsia="宋体"/>
                <w:bCs/>
                <w:color w:val="auto"/>
                <w:kern w:val="0"/>
                <w:sz w:val="24"/>
                <w:szCs w:val="28"/>
                <w:highlight w:val="none"/>
              </w:rPr>
              <w:sym w:font="Wingdings" w:char="00A8"/>
            </w:r>
            <w:r>
              <w:rPr>
                <w:rFonts w:hint="default"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rPr>
              <w:t xml:space="preserve">   </w:t>
            </w:r>
            <w:r>
              <w:rPr>
                <w:rFonts w:hint="eastAsia" w:ascii="宋体" w:hAnsi="宋体" w:eastAsia="宋体"/>
                <w:bCs/>
                <w:color w:val="auto"/>
                <w:kern w:val="0"/>
                <w:sz w:val="24"/>
                <w:szCs w:val="28"/>
                <w:highlight w:val="none"/>
              </w:rPr>
              <w:sym w:font="Wingdings" w:char="00A8"/>
            </w:r>
            <w:r>
              <w:rPr>
                <w:rFonts w:hint="default" w:ascii="宋体" w:hAnsi="宋体" w:eastAsia="宋体" w:cs="宋体"/>
                <w:color w:val="auto"/>
                <w:spacing w:val="14"/>
                <w:sz w:val="24"/>
                <w:szCs w:val="24"/>
                <w:highlight w:val="none"/>
              </w:rPr>
              <w:t>中标人</w:t>
            </w:r>
          </w:p>
          <w:p w14:paraId="6BA7A06C">
            <w:pPr>
              <w:keepNext w:val="0"/>
              <w:keepLines w:val="0"/>
              <w:suppressLineNumbers w:val="0"/>
              <w:spacing w:before="24" w:beforeAutospacing="0" w:after="0" w:afterAutospacing="0" w:line="440" w:lineRule="exact"/>
              <w:ind w:left="0" w:right="0"/>
              <w:rPr>
                <w:rFonts w:hint="eastAsia" w:ascii="宋体" w:hAnsi="宋体" w:eastAsia="宋体" w:cs="宋体"/>
                <w:color w:val="auto"/>
                <w:sz w:val="24"/>
                <w:szCs w:val="24"/>
                <w:highlight w:val="none"/>
                <w:u w:val="single"/>
                <w:lang w:eastAsia="zh-CN"/>
              </w:rPr>
            </w:pPr>
            <w:r>
              <w:rPr>
                <w:rFonts w:hint="eastAsia" w:ascii="宋体" w:hAnsi="宋体" w:eastAsia="宋体"/>
                <w:bCs/>
                <w:color w:val="auto"/>
                <w:kern w:val="0"/>
                <w:sz w:val="24"/>
                <w:szCs w:val="28"/>
                <w:highlight w:val="none"/>
              </w:rPr>
              <w:t>（2）</w:t>
            </w:r>
            <w:r>
              <w:rPr>
                <w:rFonts w:hint="default" w:ascii="宋体" w:hAnsi="宋体" w:eastAsia="宋体"/>
                <w:bCs/>
                <w:color w:val="auto"/>
                <w:kern w:val="0"/>
                <w:sz w:val="24"/>
                <w:szCs w:val="28"/>
                <w:highlight w:val="none"/>
              </w:rPr>
              <w:t>收取方式</w:t>
            </w:r>
            <w:r>
              <w:rPr>
                <w:rFonts w:hint="default"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w:t>
            </w:r>
          </w:p>
          <w:p w14:paraId="45EC4DA3">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bCs w:val="0"/>
                <w:color w:val="auto"/>
                <w:sz w:val="24"/>
                <w:highlight w:val="none"/>
              </w:rPr>
              <w:t>（3）</w:t>
            </w:r>
            <w:r>
              <w:rPr>
                <w:rFonts w:hint="default" w:ascii="宋体" w:hAnsi="宋体" w:eastAsia="宋体"/>
                <w:b w:val="0"/>
                <w:color w:val="auto"/>
                <w:sz w:val="24"/>
                <w:highlight w:val="none"/>
              </w:rPr>
              <w:t>收费标准</w:t>
            </w:r>
            <w:r>
              <w:rPr>
                <w:rFonts w:hint="eastAsia" w:ascii="宋体" w:hAnsi="宋体" w:eastAsia="宋体"/>
                <w:b w:val="0"/>
                <w:color w:val="auto"/>
                <w:sz w:val="24"/>
                <w:highlight w:val="none"/>
                <w:lang w:eastAsia="zh-CN"/>
              </w:rPr>
              <w:t>：</w:t>
            </w:r>
            <w:r>
              <w:rPr>
                <w:rFonts w:hint="eastAsia" w:ascii="宋体" w:hAnsi="宋体" w:eastAsia="宋体" w:cs="宋体"/>
                <w:b w:val="0"/>
                <w:bCs w:val="0"/>
                <w:color w:val="auto"/>
                <w:kern w:val="2"/>
                <w:sz w:val="24"/>
                <w:szCs w:val="24"/>
                <w:highlight w:val="none"/>
                <w:u w:val="single"/>
                <w:lang w:val="en-US" w:eastAsia="zh-CN"/>
              </w:rPr>
              <w:t>参考</w:t>
            </w:r>
            <w:r>
              <w:rPr>
                <w:rFonts w:hint="eastAsia" w:ascii="宋体" w:hAnsi="宋体" w:eastAsia="宋体" w:cs="宋体"/>
                <w:b w:val="0"/>
                <w:bCs w:val="0"/>
                <w:color w:val="auto"/>
                <w:kern w:val="2"/>
                <w:sz w:val="24"/>
                <w:szCs w:val="24"/>
                <w:highlight w:val="none"/>
                <w:u w:val="single"/>
              </w:rPr>
              <w:t>《滁州市公共资源交易代理机构及从业人员管理办法》(滁公管〔2025〕1 号)执行。</w:t>
            </w:r>
          </w:p>
        </w:tc>
      </w:tr>
      <w:tr w14:paraId="3205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11234856">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31</w:t>
            </w:r>
            <w:r>
              <w:rPr>
                <w:rFonts w:hint="default" w:ascii="宋体" w:hAnsi="宋体" w:eastAsia="宋体"/>
                <w:bCs/>
                <w:color w:val="auto"/>
                <w:kern w:val="2"/>
                <w:highlight w:val="none"/>
              </w:rPr>
              <w:t>.</w:t>
            </w:r>
            <w:r>
              <w:rPr>
                <w:rFonts w:hint="eastAsia" w:ascii="宋体" w:hAnsi="宋体" w:eastAsia="宋体"/>
                <w:bCs/>
                <w:color w:val="auto"/>
                <w:kern w:val="2"/>
                <w:highlight w:val="none"/>
              </w:rPr>
              <w:t>3</w:t>
            </w:r>
          </w:p>
        </w:tc>
        <w:tc>
          <w:tcPr>
            <w:tcW w:w="1174" w:type="pct"/>
            <w:vAlign w:val="center"/>
          </w:tcPr>
          <w:p w14:paraId="79A47E77">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246" w:type="pct"/>
            <w:vAlign w:val="center"/>
          </w:tcPr>
          <w:p w14:paraId="127D6810">
            <w:pPr>
              <w:keepNext w:val="0"/>
              <w:keepLines w:val="0"/>
              <w:widowControl/>
              <w:suppressLineNumbers w:val="0"/>
              <w:spacing w:before="0" w:beforeAutospacing="0" w:after="0" w:afterAutospacing="0" w:line="440" w:lineRule="exact"/>
              <w:ind w:left="0" w:right="0"/>
              <w:jc w:val="left"/>
              <w:rPr>
                <w:rFonts w:hint="eastAsia" w:ascii="宋体" w:hAnsi="宋体" w:eastAsia="宋体"/>
                <w:bCs/>
                <w:color w:val="auto"/>
                <w:kern w:val="0"/>
                <w:sz w:val="24"/>
                <w:szCs w:val="28"/>
                <w:highlight w:val="none"/>
                <w:u w:val="single"/>
              </w:rPr>
            </w:pPr>
            <w:r>
              <w:rPr>
                <w:rFonts w:hint="eastAsia" w:ascii="宋体" w:hAnsi="宋体" w:eastAsia="宋体"/>
                <w:color w:val="auto"/>
                <w:sz w:val="24"/>
                <w:szCs w:val="20"/>
                <w:highlight w:val="none"/>
              </w:rPr>
              <w:t>递交</w:t>
            </w:r>
            <w:r>
              <w:rPr>
                <w:rFonts w:hint="eastAsia" w:ascii="宋体" w:hAnsi="宋体" w:eastAsia="宋体"/>
                <w:bCs/>
                <w:color w:val="auto"/>
                <w:sz w:val="24"/>
                <w:szCs w:val="20"/>
                <w:highlight w:val="none"/>
              </w:rPr>
              <w:t>方式：</w:t>
            </w:r>
            <w:r>
              <w:rPr>
                <w:rFonts w:hint="eastAsia" w:ascii="宋体" w:hAnsi="宋体" w:eastAsia="宋体"/>
                <w:bCs/>
                <w:color w:val="auto"/>
                <w:kern w:val="0"/>
                <w:sz w:val="24"/>
                <w:szCs w:val="28"/>
                <w:highlight w:val="none"/>
                <w:u w:val="single"/>
              </w:rPr>
              <w:t>如投标人对招标文件有质疑，依据中华人民共和国财政部令第94号《政府采购质疑和投诉办法》规定提出质疑；供应商可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p>
          <w:p w14:paraId="51BC98B0">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szCs w:val="18"/>
                <w:highlight w:val="none"/>
                <w:lang w:eastAsia="zh-CN"/>
              </w:rPr>
            </w:pPr>
            <w:r>
              <w:rPr>
                <w:rFonts w:hint="eastAsia" w:ascii="宋体" w:hAnsi="宋体" w:eastAsia="宋体"/>
                <w:b w:val="0"/>
                <w:color w:val="auto"/>
                <w:sz w:val="24"/>
                <w:highlight w:val="none"/>
              </w:rPr>
              <w:t>接收部门：</w:t>
            </w:r>
            <w:r>
              <w:rPr>
                <w:rFonts w:hint="eastAsia" w:ascii="宋体" w:hAnsi="宋体" w:eastAsia="宋体"/>
                <w:b w:val="0"/>
                <w:color w:val="auto"/>
                <w:sz w:val="24"/>
                <w:highlight w:val="none"/>
                <w:u w:val="single"/>
                <w:lang w:eastAsia="zh-CN"/>
              </w:rPr>
              <w:t xml:space="preserve"> 滁州市数据资源管理局</w:t>
            </w:r>
            <w:r>
              <w:rPr>
                <w:rFonts w:hint="eastAsia" w:ascii="宋体" w:hAnsi="宋体" w:eastAsia="宋体"/>
                <w:b w:val="0"/>
                <w:color w:val="auto"/>
                <w:sz w:val="24"/>
                <w:highlight w:val="none"/>
                <w:u w:val="single"/>
              </w:rPr>
              <w:t>、</w:t>
            </w:r>
            <w:r>
              <w:rPr>
                <w:rFonts w:hint="eastAsia" w:ascii="宋体" w:hAnsi="宋体" w:eastAsia="宋体"/>
                <w:b w:val="0"/>
                <w:color w:val="auto"/>
                <w:sz w:val="24"/>
                <w:highlight w:val="none"/>
                <w:u w:val="single"/>
                <w:lang w:eastAsia="zh-CN"/>
              </w:rPr>
              <w:t>滁州市政府采购中心</w:t>
            </w:r>
          </w:p>
          <w:p w14:paraId="422AA582">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szCs w:val="18"/>
                <w:highlight w:val="none"/>
                <w:lang w:eastAsia="zh-CN"/>
              </w:rPr>
            </w:pPr>
            <w:r>
              <w:rPr>
                <w:rFonts w:hint="default" w:ascii="宋体" w:hAnsi="宋体" w:eastAsia="宋体"/>
                <w:b w:val="0"/>
                <w:color w:val="auto"/>
                <w:sz w:val="24"/>
                <w:highlight w:val="none"/>
              </w:rPr>
              <w:t>联系电话：</w:t>
            </w:r>
            <w:r>
              <w:rPr>
                <w:rFonts w:hint="eastAsia" w:ascii="宋体" w:hAnsi="宋体" w:eastAsia="宋体"/>
                <w:b w:val="0"/>
                <w:color w:val="auto"/>
                <w:sz w:val="24"/>
                <w:highlight w:val="none"/>
                <w:u w:val="single"/>
                <w:lang w:val="en-US" w:eastAsia="zh-CN"/>
              </w:rPr>
              <w:t>18005506538</w:t>
            </w:r>
            <w:r>
              <w:rPr>
                <w:rFonts w:hint="eastAsia" w:ascii="宋体" w:hAnsi="宋体" w:eastAsia="宋体"/>
                <w:b w:val="0"/>
                <w:color w:val="auto"/>
                <w:sz w:val="24"/>
                <w:highlight w:val="none"/>
                <w:u w:val="single"/>
              </w:rPr>
              <w:t>、</w:t>
            </w:r>
            <w:r>
              <w:rPr>
                <w:rFonts w:hint="eastAsia" w:ascii="宋体" w:hAnsi="宋体" w:eastAsia="宋体"/>
                <w:b w:val="0"/>
                <w:color w:val="auto"/>
                <w:sz w:val="24"/>
                <w:highlight w:val="none"/>
                <w:u w:val="single"/>
                <w:lang w:eastAsia="zh-CN"/>
              </w:rPr>
              <w:t>0550-3519519、18955055067</w:t>
            </w:r>
          </w:p>
          <w:p w14:paraId="713F286F">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通讯地址：</w:t>
            </w:r>
            <w:r>
              <w:rPr>
                <w:rFonts w:hint="eastAsia" w:ascii="宋体" w:hAnsi="宋体" w:eastAsia="宋体"/>
                <w:b w:val="0"/>
                <w:bCs w:val="0"/>
                <w:color w:val="auto"/>
                <w:sz w:val="24"/>
                <w:szCs w:val="18"/>
                <w:highlight w:val="none"/>
                <w:u w:val="single"/>
                <w:lang w:eastAsia="zh-CN"/>
              </w:rPr>
              <w:t>滁州市政务新区</w:t>
            </w:r>
            <w:r>
              <w:rPr>
                <w:rFonts w:hint="eastAsia" w:ascii="宋体" w:hAnsi="宋体" w:eastAsia="宋体"/>
                <w:b w:val="0"/>
                <w:bCs w:val="0"/>
                <w:color w:val="auto"/>
                <w:sz w:val="24"/>
                <w:szCs w:val="18"/>
                <w:highlight w:val="none"/>
                <w:u w:val="single"/>
              </w:rPr>
              <w:t>、滁州市龙蟠大道109号房产大厦</w:t>
            </w:r>
            <w:r>
              <w:rPr>
                <w:rFonts w:hint="eastAsia" w:ascii="宋体" w:hAnsi="宋体" w:eastAsia="宋体"/>
                <w:b w:val="0"/>
                <w:bCs w:val="0"/>
                <w:color w:val="auto"/>
                <w:sz w:val="24"/>
                <w:szCs w:val="18"/>
                <w:highlight w:val="none"/>
                <w:u w:val="single"/>
                <w:lang w:val="en-US" w:eastAsia="zh-CN"/>
              </w:rPr>
              <w:t>二</w:t>
            </w:r>
            <w:r>
              <w:rPr>
                <w:rFonts w:hint="eastAsia" w:ascii="宋体" w:hAnsi="宋体" w:eastAsia="宋体"/>
                <w:b w:val="0"/>
                <w:bCs w:val="0"/>
                <w:color w:val="auto"/>
                <w:sz w:val="24"/>
                <w:szCs w:val="18"/>
                <w:highlight w:val="none"/>
                <w:u w:val="single"/>
              </w:rPr>
              <w:t>楼</w:t>
            </w:r>
          </w:p>
        </w:tc>
      </w:tr>
      <w:tr w14:paraId="226F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9" w:type="pct"/>
            <w:vAlign w:val="center"/>
          </w:tcPr>
          <w:p w14:paraId="0A427ABF">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32</w:t>
            </w:r>
          </w:p>
        </w:tc>
        <w:tc>
          <w:tcPr>
            <w:tcW w:w="1174" w:type="pct"/>
            <w:vAlign w:val="center"/>
          </w:tcPr>
          <w:p w14:paraId="2FF76D21">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其他内容</w:t>
            </w:r>
          </w:p>
        </w:tc>
        <w:tc>
          <w:tcPr>
            <w:tcW w:w="3246" w:type="pct"/>
            <w:vAlign w:val="center"/>
          </w:tcPr>
          <w:p w14:paraId="0198A4E3">
            <w:pPr>
              <w:pStyle w:val="52"/>
              <w:keepNext w:val="0"/>
              <w:keepLines w:val="0"/>
              <w:widowControl w:val="0"/>
              <w:suppressLineNumbers w:val="0"/>
              <w:spacing w:before="0" w:beforeAutospacing="0" w:after="0" w:afterAutospacing="0" w:line="440" w:lineRule="exact"/>
              <w:ind w:left="0" w:right="0"/>
              <w:jc w:val="both"/>
              <w:rPr>
                <w:rFonts w:hint="eastAsia" w:ascii="宋体" w:hAnsi="宋体" w:eastAsia="宋体"/>
                <w:b w:val="0"/>
                <w:color w:val="auto"/>
                <w:sz w:val="24"/>
                <w:highlight w:val="none"/>
              </w:rPr>
            </w:pPr>
            <w:r>
              <w:rPr>
                <w:rFonts w:hint="eastAsia" w:ascii="宋体" w:hAnsi="宋体" w:eastAsia="宋体"/>
                <w:b w:val="0"/>
                <w:color w:val="auto"/>
                <w:sz w:val="24"/>
                <w:highlight w:val="none"/>
              </w:rPr>
              <w:t>1.解释权：</w:t>
            </w:r>
          </w:p>
          <w:p w14:paraId="0609D760">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hint="default" w:asciiTheme="minorEastAsia" w:hAnsiTheme="minorEastAsia" w:eastAsiaTheme="minorEastAsia"/>
                <w:bCs/>
                <w:color w:val="auto"/>
                <w:sz w:val="24"/>
                <w:szCs w:val="24"/>
                <w:highlight w:val="none"/>
              </w:rPr>
              <w:t>构成本招标文件的各个组成文件应互为解释，互为说明；</w:t>
            </w:r>
          </w:p>
          <w:p w14:paraId="4E847766">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hint="default" w:asciiTheme="minorEastAsia" w:hAnsiTheme="minorEastAsia" w:eastAsiaTheme="minorEastAsia"/>
                <w:bCs/>
                <w:color w:val="auto"/>
                <w:sz w:val="24"/>
                <w:szCs w:val="24"/>
                <w:highlight w:val="none"/>
              </w:rPr>
              <w:t>同一组成文件中就同一事项的规定或约定不一致的，以编排顺序在后者为准；</w:t>
            </w:r>
          </w:p>
          <w:p w14:paraId="4F698EE8">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hint="default"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6143688E">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hint="default"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hint="default"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hint="default"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hint="default" w:asciiTheme="minorEastAsia" w:hAnsiTheme="minorEastAsia" w:eastAsiaTheme="minorEastAsia"/>
                <w:bCs/>
                <w:color w:val="auto"/>
                <w:sz w:val="24"/>
                <w:szCs w:val="24"/>
                <w:highlight w:val="none"/>
              </w:rPr>
              <w:t>、投标文件格式的先后顺序解释；</w:t>
            </w:r>
          </w:p>
          <w:p w14:paraId="73BBA299">
            <w:pPr>
              <w:pStyle w:val="52"/>
              <w:keepNext w:val="0"/>
              <w:keepLines w:val="0"/>
              <w:widowControl w:val="0"/>
              <w:suppressLineNumbers w:val="0"/>
              <w:spacing w:before="0" w:beforeAutospacing="0" w:after="0" w:afterAutospacing="0" w:line="440" w:lineRule="exact"/>
              <w:ind w:left="0" w:right="0"/>
              <w:jc w:val="both"/>
              <w:rPr>
                <w:rFonts w:hint="eastAsia" w:asciiTheme="minorEastAsia" w:hAnsiTheme="minorEastAsia" w:eastAsiaTheme="minorEastAsia"/>
                <w:b w:val="0"/>
                <w:color w:val="auto"/>
                <w:kern w:val="2"/>
                <w:sz w:val="24"/>
                <w:szCs w:val="24"/>
                <w:highlight w:val="none"/>
              </w:rPr>
            </w:pPr>
            <w:r>
              <w:rPr>
                <w:rFonts w:hint="eastAsia" w:asciiTheme="minorEastAsia" w:hAnsiTheme="minorEastAsia" w:eastAsiaTheme="minorEastAsia"/>
                <w:b w:val="0"/>
                <w:color w:val="auto"/>
                <w:kern w:val="2"/>
                <w:sz w:val="24"/>
                <w:szCs w:val="24"/>
                <w:highlight w:val="none"/>
              </w:rPr>
              <w:t>（5）</w:t>
            </w:r>
            <w:r>
              <w:rPr>
                <w:rFonts w:hint="default" w:asciiTheme="minorEastAsia" w:hAnsiTheme="minorEastAsia" w:eastAsiaTheme="minorEastAsia"/>
                <w:b w:val="0"/>
                <w:color w:val="auto"/>
                <w:kern w:val="2"/>
                <w:sz w:val="24"/>
                <w:szCs w:val="24"/>
                <w:highlight w:val="none"/>
              </w:rPr>
              <w:t>按本款前述规定仍不能形成结论的，由</w:t>
            </w:r>
            <w:r>
              <w:rPr>
                <w:rFonts w:hint="eastAsia" w:asciiTheme="minorEastAsia" w:hAnsiTheme="minorEastAsia" w:eastAsiaTheme="minorEastAsia"/>
                <w:b w:val="0"/>
                <w:color w:val="auto"/>
                <w:kern w:val="2"/>
                <w:sz w:val="24"/>
                <w:szCs w:val="24"/>
                <w:highlight w:val="none"/>
              </w:rPr>
              <w:t>采购</w:t>
            </w:r>
            <w:r>
              <w:rPr>
                <w:rFonts w:hint="default" w:asciiTheme="minorEastAsia" w:hAnsiTheme="minorEastAsia" w:eastAsiaTheme="minorEastAsia"/>
                <w:b w:val="0"/>
                <w:color w:val="auto"/>
                <w:kern w:val="2"/>
                <w:sz w:val="24"/>
                <w:szCs w:val="24"/>
                <w:highlight w:val="none"/>
              </w:rPr>
              <w:t>人负责解释。</w:t>
            </w:r>
          </w:p>
          <w:p w14:paraId="427BC28B">
            <w:pPr>
              <w:keepNext w:val="0"/>
              <w:keepLines w:val="0"/>
              <w:suppressLineNumbers w:val="0"/>
              <w:spacing w:before="0" w:beforeAutospacing="0" w:after="0" w:afterAutospacing="0" w:line="440" w:lineRule="exact"/>
              <w:ind w:left="0" w:right="0"/>
              <w:rPr>
                <w:rFonts w:hint="eastAsia"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2.“政采贷”融资指引：有融资需求的</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219BFCE1">
            <w:pPr>
              <w:pStyle w:val="52"/>
              <w:keepNext w:val="0"/>
              <w:keepLines w:val="0"/>
              <w:widowControl w:val="0"/>
              <w:suppressLineNumbers w:val="0"/>
              <w:spacing w:before="0" w:beforeAutospacing="0" w:after="0" w:afterAutospacing="0" w:line="440" w:lineRule="exact"/>
              <w:ind w:left="0" w:right="0"/>
              <w:jc w:val="both"/>
              <w:rPr>
                <w:rFonts w:hint="eastAsia" w:asciiTheme="minorEastAsia" w:hAnsiTheme="minorEastAsia" w:eastAsiaTheme="minorEastAsia"/>
                <w:b w:val="0"/>
                <w:color w:val="auto"/>
                <w:kern w:val="2"/>
                <w:sz w:val="24"/>
                <w:szCs w:val="24"/>
                <w:highlight w:val="none"/>
              </w:rPr>
            </w:pPr>
            <w:r>
              <w:rPr>
                <w:rFonts w:hint="eastAsia" w:asciiTheme="minorEastAsia" w:hAnsiTheme="minorEastAsia" w:eastAsiaTheme="minorEastAsia"/>
                <w:b w:val="0"/>
                <w:color w:val="auto"/>
                <w:kern w:val="2"/>
                <w:sz w:val="24"/>
                <w:szCs w:val="24"/>
                <w:highlight w:val="none"/>
              </w:rPr>
              <w:t>3.电子保函指引：中标人可访问安徽省政府采购网“融资/保函”栏目，申请办理电子保函（包括：履约保函、预付款保函）。</w:t>
            </w:r>
          </w:p>
          <w:p w14:paraId="75BA5650">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cs="@仿宋_GB2312" w:asciiTheme="minorEastAsia" w:hAnsiTheme="minorEastAsia" w:eastAsiaTheme="minorEastAsia"/>
                <w:bCs/>
                <w:color w:val="auto"/>
                <w:kern w:val="2"/>
                <w:szCs w:val="24"/>
                <w:highlight w:val="none"/>
              </w:rPr>
              <w:t>4.</w:t>
            </w:r>
            <w:r>
              <w:rPr>
                <w:rFonts w:hint="eastAsia" w:ascii="宋体" w:hAnsi="宋体" w:eastAsia="宋体" w:cs="宋体"/>
                <w:bCs/>
                <w:color w:val="auto"/>
                <w:kern w:val="2"/>
                <w:szCs w:val="24"/>
                <w:highlight w:val="none"/>
                <w:lang w:bidi="ar"/>
              </w:rPr>
              <w:t>部分可提供线下政采贷的金融机构：</w:t>
            </w:r>
          </w:p>
          <w:p w14:paraId="16A93B61">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市本级</w:t>
            </w:r>
          </w:p>
          <w:p w14:paraId="76E494C0">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金融机构名称：兴业银行滁州分行</w:t>
            </w:r>
          </w:p>
          <w:p w14:paraId="210EB7C2">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安徽省滁州市琅琊区丰乐大道1090号</w:t>
            </w:r>
          </w:p>
          <w:p w14:paraId="773AAF59">
            <w:pPr>
              <w:pStyle w:val="28"/>
              <w:keepNext w:val="0"/>
              <w:keepLines w:val="0"/>
              <w:suppressLineNumbers w:val="0"/>
              <w:spacing w:before="0" w:beforeAutospacing="0" w:after="0" w:afterAutospacing="0" w:line="440" w:lineRule="exact"/>
              <w:ind w:left="0" w:right="0"/>
              <w:jc w:val="both"/>
              <w:rPr>
                <w:rFonts w:hint="eastAsia" w:ascii="宋体" w:hAnsi="宋体" w:eastAsia="宋体" w:cs="宋体"/>
                <w:bCs/>
                <w:color w:val="auto"/>
                <w:kern w:val="2"/>
                <w:szCs w:val="24"/>
                <w:highlight w:val="none"/>
                <w:lang w:bidi="ar"/>
              </w:rPr>
            </w:pPr>
            <w:r>
              <w:rPr>
                <w:rFonts w:hint="eastAsia" w:ascii="宋体" w:hAnsi="宋体" w:eastAsia="宋体" w:cs="宋体"/>
                <w:bCs/>
                <w:color w:val="auto"/>
                <w:kern w:val="2"/>
                <w:szCs w:val="24"/>
                <w:highlight w:val="none"/>
                <w:lang w:bidi="ar"/>
              </w:rPr>
              <w:t>伏庚：17755080811</w:t>
            </w:r>
          </w:p>
          <w:p w14:paraId="1BD4EB58">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5.特别提示：</w:t>
            </w:r>
          </w:p>
          <w:p w14:paraId="01314AB0">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（1）投标人应填写投标信息并下载招标文件，否则无法上传投标文件。</w:t>
            </w:r>
          </w:p>
          <w:p w14:paraId="5F9022DF">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注：投标人如为联合体的，牵头人必须完善投标人信息，并在上传投标文件环节添加联合体投标信息。</w:t>
            </w:r>
          </w:p>
          <w:p w14:paraId="0ADE5131">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24B81DFB">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（3）如果过程中出现招标文件更改，应以最后发布的招标答疑澄清文件中的模板制作本项目最新投标文件。</w:t>
            </w:r>
          </w:p>
          <w:p w14:paraId="5B12AE56">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 xml:space="preserve">（4）投标人应当用本单位CA数字证书制作投标文件，制作成功后进行投标文件上传。 </w:t>
            </w:r>
          </w:p>
          <w:p w14:paraId="2FB9C3A9">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1F8CFDB5">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（6）请投标人注意加密投标文件CA数字证书的有效期，不在有效期的CA数字证书无法解密投标文件。</w:t>
            </w:r>
          </w:p>
          <w:p w14:paraId="1AC34E22">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（7）投标人投标MAC地址或投标人联系人或联系电话相同的，由评标委员会否决其投标，并报告监管部门作不良行为处理和进一步调查。</w:t>
            </w:r>
          </w:p>
          <w:p w14:paraId="35E5ED91">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（8）投标人单方面出现其他投标人材料的</w:t>
            </w:r>
            <w:r>
              <w:rPr>
                <w:rFonts w:hint="eastAsia" w:asciiTheme="minorEastAsia" w:hAnsiTheme="minorEastAsia" w:eastAsiaTheme="minorEastAsia"/>
                <w:bCs/>
                <w:color w:val="auto"/>
                <w:sz w:val="24"/>
                <w:szCs w:val="24"/>
                <w:highlight w:val="none"/>
              </w:rPr>
              <w:t>（组成联合体响应的除外）</w:t>
            </w:r>
            <w:r>
              <w:rPr>
                <w:rFonts w:hint="eastAsia" w:ascii="宋体" w:hAnsi="宋体" w:eastAsia="宋体" w:cs="宋体"/>
                <w:bCs/>
                <w:color w:val="auto"/>
                <w:kern w:val="2"/>
                <w:szCs w:val="24"/>
                <w:highlight w:val="none"/>
                <w:lang w:bidi="ar"/>
              </w:rPr>
              <w:t>，由评标委员会否决其投标。</w:t>
            </w:r>
          </w:p>
          <w:p w14:paraId="2FA71E50">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69A54F30">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783B99CF">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6.评标过程中的澄清、说明或补正：</w:t>
            </w:r>
          </w:p>
          <w:p w14:paraId="19DCB918">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（1）评标委员会通过网上招投标系统将需要澄清、说明或补正的内容以询标函的形式发送给投标人，投标人应安排专人登录网上招投标系统并保持在线状态，以便及时接收评标委员会可能发出的询标函。</w:t>
            </w:r>
          </w:p>
          <w:p w14:paraId="4B484872">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6939337E">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7.同义词语：</w:t>
            </w:r>
          </w:p>
          <w:p w14:paraId="1B2F4A07">
            <w:pPr>
              <w:pStyle w:val="28"/>
              <w:keepNext w:val="0"/>
              <w:keepLines w:val="0"/>
              <w:suppressLineNumbers w:val="0"/>
              <w:spacing w:before="0" w:beforeAutospacing="0" w:after="0" w:afterAutospacing="0" w:line="440" w:lineRule="exact"/>
              <w:ind w:left="0" w:right="0"/>
              <w:jc w:val="both"/>
              <w:rPr>
                <w:rFonts w:hint="eastAsia" w:ascii="宋体" w:hAnsi="宋体" w:eastAsia="宋体" w:cs="@仿宋_GB2312"/>
                <w:bCs/>
                <w:color w:val="auto"/>
                <w:kern w:val="2"/>
                <w:szCs w:val="24"/>
                <w:highlight w:val="none"/>
              </w:rPr>
            </w:pPr>
            <w:r>
              <w:rPr>
                <w:rFonts w:hint="eastAsia" w:ascii="宋体" w:hAnsi="宋体" w:eastAsia="宋体" w:cs="宋体"/>
                <w:bCs/>
                <w:color w:val="auto"/>
                <w:kern w:val="2"/>
                <w:szCs w:val="24"/>
                <w:highlight w:val="none"/>
                <w:lang w:bidi="ar"/>
              </w:rPr>
              <w:t>招标文件第六章投标文件格式、附件1“关于联合惩戒失信行为 加强信用查询管理的通知”等章节中 “招标人”、“供应商”，等同于“采购人”、“投标人”。</w:t>
            </w:r>
          </w:p>
          <w:p w14:paraId="333AA582">
            <w:pPr>
              <w:pStyle w:val="52"/>
              <w:keepNext w:val="0"/>
              <w:keepLines w:val="0"/>
              <w:widowControl w:val="0"/>
              <w:numPr>
                <w:ilvl w:val="0"/>
                <w:numId w:val="1"/>
              </w:numPr>
              <w:suppressLineNumbers w:val="0"/>
              <w:spacing w:before="0" w:beforeAutospacing="0" w:after="0" w:afterAutospacing="0" w:line="440" w:lineRule="exact"/>
              <w:ind w:left="0" w:right="0"/>
              <w:jc w:val="both"/>
              <w:rPr>
                <w:rFonts w:hint="eastAsia" w:ascii="宋体" w:hAnsi="宋体" w:eastAsia="宋体" w:cs="宋体"/>
                <w:b w:val="0"/>
                <w:color w:val="auto"/>
                <w:kern w:val="2"/>
                <w:sz w:val="24"/>
                <w:szCs w:val="24"/>
                <w:highlight w:val="none"/>
                <w:lang w:bidi="ar"/>
              </w:rPr>
            </w:pPr>
            <w:r>
              <w:rPr>
                <w:rFonts w:hint="eastAsia" w:ascii="宋体" w:hAnsi="宋体" w:eastAsia="宋体" w:cs="宋体"/>
                <w:b w:val="0"/>
                <w:color w:val="auto"/>
                <w:kern w:val="2"/>
                <w:sz w:val="24"/>
                <w:szCs w:val="24"/>
                <w:highlight w:val="none"/>
                <w:lang w:bidi="ar"/>
              </w:rPr>
              <w:t>落实政府采购支持节能产品、环境标志产品政策。</w:t>
            </w:r>
          </w:p>
          <w:p w14:paraId="52532776">
            <w:pPr>
              <w:pStyle w:val="52"/>
              <w:keepNext w:val="0"/>
              <w:keepLines w:val="0"/>
              <w:widowControl w:val="0"/>
              <w:numPr>
                <w:ilvl w:val="0"/>
                <w:numId w:val="1"/>
              </w:numPr>
              <w:suppressLineNumbers w:val="0"/>
              <w:spacing w:before="0" w:beforeAutospacing="0" w:after="0" w:afterAutospacing="0" w:line="440" w:lineRule="exact"/>
              <w:ind w:left="0" w:right="0"/>
              <w:jc w:val="both"/>
              <w:rPr>
                <w:rFonts w:hint="eastAsia" w:ascii="宋体" w:hAnsi="宋体" w:eastAsia="宋体" w:cs="宋体"/>
                <w:b w:val="0"/>
                <w:color w:val="auto"/>
                <w:kern w:val="2"/>
                <w:sz w:val="24"/>
                <w:szCs w:val="24"/>
                <w:highlight w:val="none"/>
                <w:lang w:bidi="ar"/>
              </w:rPr>
            </w:pPr>
            <w:r>
              <w:rPr>
                <w:rFonts w:hint="eastAsia" w:asciiTheme="minorEastAsia" w:hAnsiTheme="minorEastAsia" w:eastAsiaTheme="minorEastAsia"/>
                <w:b w:val="0"/>
                <w:color w:val="auto"/>
                <w:kern w:val="2"/>
                <w:sz w:val="24"/>
                <w:szCs w:val="24"/>
                <w:highlight w:val="none"/>
              </w:rPr>
              <w:t>系统中提供的表格与采购文件中不一致时，以采购文件中提供的表格格式为准。</w:t>
            </w:r>
          </w:p>
        </w:tc>
      </w:tr>
    </w:tbl>
    <w:p w14:paraId="0D560423">
      <w:pPr>
        <w:spacing w:line="440" w:lineRule="exact"/>
        <w:jc w:val="center"/>
        <w:outlineLvl w:val="1"/>
        <w:rPr>
          <w:rFonts w:hint="eastAsia"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33" w:name="_Toc24882"/>
      <w:bookmarkStart w:id="34" w:name="_Toc9427"/>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投标人须知</w:t>
      </w:r>
      <w:r>
        <w:rPr>
          <w:rFonts w:hint="eastAsia" w:asciiTheme="minorEastAsia" w:hAnsiTheme="minorEastAsia" w:eastAsiaTheme="minorEastAsia"/>
          <w:b/>
          <w:color w:val="auto"/>
          <w:sz w:val="24"/>
          <w:highlight w:val="none"/>
        </w:rPr>
        <w:t>正文</w:t>
      </w:r>
      <w:bookmarkEnd w:id="33"/>
      <w:bookmarkEnd w:id="34"/>
    </w:p>
    <w:p w14:paraId="672A2584">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1.采购人、采购代理机构及投标人</w:t>
      </w:r>
    </w:p>
    <w:p w14:paraId="4265A6BA">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.1采购人：是指依法开展政府采购活动的国家机关、事业单位、团体组织。</w:t>
      </w:r>
    </w:p>
    <w:p w14:paraId="64A26CB1">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.2采购代理机构：是指集中采购机构或从事采购代理业务的社会中介机构。</w:t>
      </w:r>
    </w:p>
    <w:p w14:paraId="3A304AF3">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05381BDE">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0F3D9F93">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w:t>
      </w:r>
      <w:r>
        <w:rPr>
          <w:rFonts w:hint="eastAsia" w:ascii="宋体" w:hAnsi="宋体" w:eastAsia="宋体"/>
          <w:color w:val="auto"/>
          <w:sz w:val="24"/>
          <w:highlight w:val="none"/>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477A2B15">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w:t>
      </w:r>
      <w:r>
        <w:rPr>
          <w:rFonts w:hint="eastAsia" w:ascii="宋体" w:hAnsi="宋体" w:eastAsia="宋体"/>
          <w:color w:val="auto"/>
          <w:sz w:val="24"/>
          <w:highlight w:val="none"/>
        </w:rPr>
        <w:t>2</w:t>
      </w:r>
      <w:r>
        <w:rPr>
          <w:rFonts w:ascii="宋体" w:hAnsi="宋体" w:eastAsia="宋体"/>
          <w:color w:val="auto"/>
          <w:sz w:val="24"/>
          <w:highlight w:val="none"/>
        </w:rPr>
        <w:t>以采购代理机构认可的方式获得了本项目的招标文件。</w:t>
      </w:r>
    </w:p>
    <w:p w14:paraId="0FAF1824">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4.</w:t>
      </w:r>
      <w:r>
        <w:rPr>
          <w:rFonts w:hint="eastAsia" w:ascii="宋体" w:hAnsi="宋体" w:eastAsia="宋体"/>
          <w:color w:val="auto"/>
          <w:sz w:val="24"/>
          <w:highlight w:val="none"/>
        </w:rPr>
        <w:t>3</w:t>
      </w:r>
      <w:r>
        <w:rPr>
          <w:rFonts w:ascii="宋体" w:hAnsi="宋体" w:eastAsia="宋体"/>
          <w:color w:val="auto"/>
          <w:sz w:val="24"/>
          <w:highlight w:val="none"/>
        </w:rPr>
        <w:t>若</w:t>
      </w:r>
      <w:r>
        <w:rPr>
          <w:rFonts w:hint="eastAsia" w:ascii="宋体" w:hAnsi="宋体" w:eastAsia="宋体"/>
          <w:color w:val="auto"/>
          <w:sz w:val="24"/>
          <w:highlight w:val="none"/>
        </w:rPr>
        <w:t>采购需求</w:t>
      </w:r>
      <w:r>
        <w:rPr>
          <w:rFonts w:ascii="宋体" w:hAnsi="宋体" w:eastAsia="宋体"/>
          <w:color w:val="auto"/>
          <w:sz w:val="24"/>
          <w:highlight w:val="none"/>
        </w:rPr>
        <w:t>中写明允许采购进口产品，投标人应保证所投产品可履行合法报通关手续进入中国关境内。</w:t>
      </w:r>
    </w:p>
    <w:p w14:paraId="2901BE41">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若采购需求中未写明允许采购进口产品，如投标人所投产品为进口产品，其投标将被认定为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62189C8F">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61AABE72">
      <w:pPr>
        <w:spacing w:line="440" w:lineRule="exact"/>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5.1两个以上供应商可以组成一个投标联合体，以一个投标人的身份投标。联合体投标的，</w:t>
      </w:r>
      <w:r>
        <w:rPr>
          <w:rFonts w:hint="eastAsia" w:ascii="宋体" w:hAnsi="宋体" w:eastAsia="宋体"/>
          <w:color w:val="auto"/>
          <w:sz w:val="24"/>
          <w:highlight w:val="none"/>
        </w:rPr>
        <w:t>招标文件获取</w:t>
      </w:r>
      <w:r>
        <w:rPr>
          <w:rFonts w:ascii="宋体" w:hAnsi="宋体" w:eastAsia="宋体"/>
          <w:color w:val="auto"/>
          <w:sz w:val="24"/>
          <w:highlight w:val="none"/>
        </w:rPr>
        <w:t>手续由联合体</w:t>
      </w:r>
      <w:r>
        <w:rPr>
          <w:rFonts w:hint="eastAsia" w:ascii="宋体" w:hAnsi="宋体" w:eastAsia="宋体"/>
          <w:color w:val="auto"/>
          <w:sz w:val="24"/>
          <w:highlight w:val="none"/>
        </w:rPr>
        <w:t>中</w:t>
      </w:r>
      <w:r>
        <w:rPr>
          <w:rFonts w:ascii="宋体" w:hAnsi="宋体" w:eastAsia="宋体"/>
          <w:color w:val="auto"/>
          <w:sz w:val="24"/>
          <w:highlight w:val="none"/>
        </w:rPr>
        <w:t>任</w:t>
      </w:r>
      <w:r>
        <w:rPr>
          <w:rFonts w:hint="eastAsia" w:ascii="宋体" w:hAnsi="宋体" w:eastAsia="宋体"/>
          <w:color w:val="auto"/>
          <w:sz w:val="24"/>
          <w:highlight w:val="none"/>
        </w:rPr>
        <w:t>一成员单位</w:t>
      </w:r>
      <w:r>
        <w:rPr>
          <w:rFonts w:ascii="宋体" w:hAnsi="宋体" w:eastAsia="宋体"/>
          <w:color w:val="auto"/>
          <w:sz w:val="24"/>
          <w:highlight w:val="none"/>
        </w:rPr>
        <w:t>办理均可。</w:t>
      </w:r>
    </w:p>
    <w:p w14:paraId="5A6C4C97">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5.2联合体各方均应符合《中华人民共和国政府采购法》第二十二条规定的条件。</w:t>
      </w:r>
    </w:p>
    <w:p w14:paraId="2D706DF3">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5.3采购人根据采购项目对投标人的特殊要求，联合体中至少应当有一方符合相关规定。</w:t>
      </w:r>
    </w:p>
    <w:p w14:paraId="49254C1E">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6D357190">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568D3628">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5241F33F">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45DC3A9B">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rPr>
        <w:t>申请人的资格要求</w:t>
      </w:r>
      <w:r>
        <w:rPr>
          <w:rFonts w:ascii="宋体" w:hAnsi="宋体" w:eastAsia="宋体"/>
          <w:color w:val="auto"/>
          <w:sz w:val="24"/>
          <w:highlight w:val="none"/>
        </w:rPr>
        <w:t>。</w:t>
      </w:r>
    </w:p>
    <w:p w14:paraId="37B4F9C8">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2.资金落实情况</w:t>
      </w:r>
    </w:p>
    <w:p w14:paraId="012CE36D">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59491F04">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3.投标费用</w:t>
      </w:r>
    </w:p>
    <w:p w14:paraId="376B791C">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51E02010">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4.适用法律</w:t>
      </w:r>
    </w:p>
    <w:p w14:paraId="19DA03A0">
      <w:pPr>
        <w:spacing w:line="440" w:lineRule="exact"/>
        <w:ind w:firstLine="435"/>
        <w:rPr>
          <w:rFonts w:hint="eastAsia" w:asciiTheme="minorEastAsia" w:hAnsiTheme="minorEastAsia" w:eastAsiaTheme="minorEastAsia"/>
          <w:color w:val="auto"/>
          <w:sz w:val="24"/>
          <w:highlight w:val="none"/>
        </w:rPr>
      </w:pPr>
      <w:r>
        <w:rPr>
          <w:rFonts w:hint="eastAsia" w:ascii="宋体" w:hAnsi="宋体" w:eastAsia="宋体"/>
          <w:color w:val="auto"/>
          <w:sz w:val="24"/>
          <w:highlight w:val="none"/>
        </w:rPr>
        <w:t>本项目采购人、采购代理机构、投标人、评标委员会的相关行为均受《中华人民共和国政府采购法》、《中</w:t>
      </w:r>
      <w:r>
        <w:rPr>
          <w:rFonts w:hint="eastAsia" w:ascii="宋体" w:hAnsi="宋体" w:eastAsia="宋体"/>
          <w:color w:val="auto"/>
          <w:sz w:val="24"/>
          <w:szCs w:val="22"/>
          <w:highlight w:val="none"/>
        </w:rPr>
        <w:t>华人民共和国政府采购法实施条例》及本项目本级和上级财政部门、政府采购监督管理部门的政府采购有关规定的约束，其权利受到上述法律法规的保护。</w:t>
      </w:r>
    </w:p>
    <w:p w14:paraId="70B71F86">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5.招标文件构成</w:t>
      </w:r>
    </w:p>
    <w:p w14:paraId="647FEEC6">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5.1招标文件包括下列内容：</w:t>
      </w:r>
    </w:p>
    <w:p w14:paraId="680F9CBE">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3405EF78">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5B3D671F">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760C62D2">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4E8C7608">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5B012A6D">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0888346C">
      <w:pPr>
        <w:spacing w:line="440" w:lineRule="exact"/>
        <w:ind w:firstLine="840" w:firstLineChars="35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第七章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49C2B557">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宋体" w:hAnsi="宋体" w:eastAsia="宋体"/>
          <w:bCs/>
          <w:color w:val="auto"/>
          <w:sz w:val="24"/>
          <w:szCs w:val="22"/>
          <w:highlight w:val="none"/>
        </w:rPr>
        <w:t>标前答疑会</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7C8CCE4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投标人应认真阅读招标文件所有的事项、格式、条款和技术规范等。</w:t>
      </w:r>
    </w:p>
    <w:p w14:paraId="698164C3">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招标文件的澄清与修改</w:t>
      </w:r>
    </w:p>
    <w:p w14:paraId="7E8AD6B7">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w:t>
      </w:r>
      <w:r>
        <w:rPr>
          <w:rFonts w:hint="eastAsia" w:asciiTheme="minorEastAsia" w:hAnsiTheme="minorEastAsia" w:eastAsiaTheme="minorEastAsia"/>
          <w:color w:val="auto"/>
          <w:sz w:val="24"/>
          <w:highlight w:val="none"/>
        </w:rPr>
        <w:t>可</w:t>
      </w:r>
      <w:r>
        <w:rPr>
          <w:rFonts w:asciiTheme="minorEastAsia" w:hAnsiTheme="minorEastAsia" w:eastAsiaTheme="minorEastAsia"/>
          <w:color w:val="auto"/>
          <w:sz w:val="24"/>
          <w:highlight w:val="none"/>
        </w:rPr>
        <w:t>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截止时间前提交给采购代理机构。</w:t>
      </w:r>
    </w:p>
    <w:p w14:paraId="6DC9B7FE">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2采购人可主动地或在答复投标人提出的询问时对招标文件进行澄清与修改。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在安徽省政府采购网和滁州市公共资源交易中心网以发布更正公告的方式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1E246212">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6.3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69CB46EE">
      <w:pPr>
        <w:spacing w:line="440" w:lineRule="exact"/>
        <w:ind w:firstLine="435"/>
        <w:rPr>
          <w:rFonts w:hint="eastAsia"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39E93F4F">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投标范围及投标文件中标准和计量单位的使用</w:t>
      </w:r>
    </w:p>
    <w:p w14:paraId="6E24F396">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29973E50">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45BB8145">
      <w:pPr>
        <w:spacing w:line="440" w:lineRule="exact"/>
        <w:ind w:firstLine="435"/>
        <w:rPr>
          <w:rFonts w:hint="eastAsia" w:asciiTheme="minorEastAsia" w:hAnsiTheme="minorEastAsia" w:eastAsiaTheme="minorEastAsia"/>
          <w:color w:val="auto"/>
          <w:sz w:val="24"/>
          <w:highlight w:val="none"/>
        </w:rPr>
      </w:pPr>
      <w:bookmarkStart w:id="35" w:name="_Hlk16458980"/>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投标人所投货物、服务及工程（如有）均应符合国家强制性标准。</w:t>
      </w:r>
    </w:p>
    <w:bookmarkEnd w:id="35"/>
    <w:p w14:paraId="3D45C39A">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178291C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75CEB2B0">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7808DC3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146E4BF9">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rPr>
        <w:t>形式</w:t>
      </w:r>
      <w:r>
        <w:rPr>
          <w:rFonts w:asciiTheme="minorEastAsia" w:hAnsiTheme="minorEastAsia" w:eastAsiaTheme="minorEastAsia"/>
          <w:color w:val="auto"/>
          <w:sz w:val="24"/>
          <w:highlight w:val="none"/>
        </w:rPr>
        <w:t>可以是文字资料、图纸和数据</w:t>
      </w:r>
      <w:bookmarkStart w:id="36" w:name="_Hlk11703583"/>
      <w:r>
        <w:rPr>
          <w:rFonts w:hint="eastAsia" w:asciiTheme="minorEastAsia" w:hAnsiTheme="minorEastAsia" w:eastAsiaTheme="minorEastAsia"/>
          <w:color w:val="auto"/>
          <w:sz w:val="24"/>
          <w:highlight w:val="none"/>
        </w:rPr>
        <w:t>等。</w:t>
      </w:r>
    </w:p>
    <w:bookmarkEnd w:id="36"/>
    <w:p w14:paraId="2612576E">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498FFCD5">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4845E7AE">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.1投标人的报价应当包括满足本次招标全部采购需求</w:t>
      </w:r>
      <w:r>
        <w:rPr>
          <w:rFonts w:hint="eastAsia" w:asciiTheme="minorEastAsia" w:hAnsiTheme="minorEastAsia" w:eastAsiaTheme="minorEastAsia"/>
          <w:color w:val="auto"/>
          <w:sz w:val="24"/>
          <w:highlight w:val="none"/>
        </w:rPr>
        <w:t>。除招标文件另有规定外，所有投标均应以人民币报价。投标人的投标报价应遵守《中华人民共和国价格法》。</w:t>
      </w:r>
    </w:p>
    <w:p w14:paraId="2FD14123">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47CB9464">
      <w:pPr>
        <w:spacing w:line="440" w:lineRule="exact"/>
        <w:ind w:firstLine="435"/>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9.3投标报价在合同履行过程中是固定不变的，不得以任何理由予以变更。任何包含价格调整要求的投标，其投标将被认定为</w:t>
      </w:r>
      <w:r>
        <w:rPr>
          <w:rFonts w:hint="eastAsia" w:asciiTheme="minorEastAsia" w:hAnsiTheme="minorEastAsia" w:eastAsiaTheme="minorEastAsia"/>
          <w:b/>
          <w:bCs/>
          <w:color w:val="auto"/>
          <w:sz w:val="24"/>
          <w:highlight w:val="none"/>
        </w:rPr>
        <w:t>投标无效。</w:t>
      </w:r>
    </w:p>
    <w:p w14:paraId="6FA567F3">
      <w:pPr>
        <w:spacing w:line="440" w:lineRule="exact"/>
        <w:ind w:firstLine="435"/>
        <w:rPr>
          <w:rFonts w:hint="eastAsia" w:ascii="宋体" w:hAnsi="宋体" w:eastAsia="宋体"/>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4评标委员会认为投标人的报价明显低于其他通过符合性审查投标人的报价，有可能影响产品质量或者不能诚信履约的，应当要求其在合理的时间内提供书面说明，</w:t>
      </w:r>
      <w:r>
        <w:rPr>
          <w:rFonts w:asciiTheme="minorEastAsia" w:hAnsiTheme="minorEastAsia" w:eastAsiaTheme="minorEastAsia"/>
          <w:color w:val="auto"/>
          <w:sz w:val="24"/>
          <w:highlight w:val="none"/>
        </w:rPr>
        <w:t>必要时提交相关证明材料；投标人不能证明其报价合理性的，其投标将被认定为</w:t>
      </w:r>
      <w:r>
        <w:rPr>
          <w:rFonts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1083D069">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采购人不接受具有附加条件的报价。</w:t>
      </w:r>
    </w:p>
    <w:p w14:paraId="309C7412">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4F67AB19">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10.1本项目不收取投标保证金。</w:t>
      </w:r>
    </w:p>
    <w:p w14:paraId="3CA1E3DA">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2D74033E">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49D04270">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0D8609AA">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55EFD64A">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35736494">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2.1投标人应当在招标公告规定的投标截止时间前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1D7A3E57">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2.2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064D8500">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72104073">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5536A6FF">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19F34761">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13.3采购人或采购代理机构将对开标过程进行记录，并存档备查。</w:t>
      </w:r>
    </w:p>
    <w:p w14:paraId="290F909E">
      <w:pPr>
        <w:spacing w:line="440" w:lineRule="exact"/>
        <w:ind w:firstLine="435"/>
        <w:rPr>
          <w:rFonts w:hint="eastAsia"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13.4投标人代表对开标过程和开标记录有疑义，以及认为采购人、采购代理机构相关工作人员有需要回避的情形的，应当场提出询问或者回避申请。</w:t>
      </w:r>
    </w:p>
    <w:p w14:paraId="46C6D8CF">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516B415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44271C2F">
      <w:pPr>
        <w:spacing w:line="440" w:lineRule="exact"/>
        <w:ind w:firstLine="435"/>
        <w:rPr>
          <w:rFonts w:hint="eastAsia" w:ascii="宋体" w:hAnsi="宋体" w:eastAsia="宋体" w:cs="宋体"/>
          <w:color w:val="auto"/>
          <w:sz w:val="24"/>
          <w:szCs w:val="24"/>
          <w:highlight w:val="none"/>
        </w:rPr>
      </w:pPr>
      <w:bookmarkStart w:id="37" w:name="_Hlk24663244"/>
      <w:r>
        <w:rPr>
          <w:rFonts w:hint="eastAsia" w:ascii="宋体" w:hAnsi="宋体" w:eastAsia="宋体" w:cs="宋体"/>
          <w:color w:val="auto"/>
          <w:sz w:val="24"/>
          <w:szCs w:val="24"/>
          <w:highlight w:val="none"/>
        </w:rPr>
        <w:t>14.2采购人或采购代理机构将在投标截止时间后至评审结束前通过“信用中国”网站(www.creditchina.gov.cn)、中国政府采购网(www.ccgp.gov.cn)查询相关投标人信用记录，并对投标人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5B2F1B60">
      <w:pPr>
        <w:spacing w:line="44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28D3CEDD">
      <w:pPr>
        <w:spacing w:line="440" w:lineRule="exact"/>
        <w:ind w:firstLine="435"/>
        <w:rPr>
          <w:rFonts w:hint="eastAsia"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37"/>
    <w:p w14:paraId="3BDF0318">
      <w:pPr>
        <w:spacing w:line="440" w:lineRule="exact"/>
        <w:ind w:firstLine="435"/>
        <w:rPr>
          <w:rFonts w:hint="eastAsia"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14.3按照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44947503">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30EEE879">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1F61CC00">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w:t>
      </w:r>
      <w:r>
        <w:rPr>
          <w:rFonts w:hint="eastAsia" w:ascii="宋体" w:hAnsi="宋体" w:eastAsia="宋体"/>
          <w:color w:val="auto"/>
          <w:sz w:val="24"/>
          <w:highlight w:val="none"/>
        </w:rPr>
        <w:t>2投标文件的澄清</w:t>
      </w:r>
    </w:p>
    <w:p w14:paraId="30BD70C0">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15</w:t>
      </w: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要求投标人对其投标文件中含义不明确、对同类问题表述不一致或者有明显文字和计算错误的内容，以及评标委员会认为投标人的报价明显低于其他通过符合性</w:t>
      </w:r>
      <w:r>
        <w:rPr>
          <w:rFonts w:hint="eastAsia" w:ascii="宋体" w:hAnsi="宋体" w:eastAsia="宋体"/>
          <w:color w:val="auto"/>
          <w:sz w:val="24"/>
          <w:highlight w:val="none"/>
        </w:rPr>
        <w:t>审</w:t>
      </w:r>
      <w:r>
        <w:rPr>
          <w:rFonts w:ascii="宋体" w:hAnsi="宋体" w:eastAsia="宋体"/>
          <w:color w:val="auto"/>
          <w:sz w:val="24"/>
          <w:highlight w:val="none"/>
        </w:rPr>
        <w:t>查投标人的报价，有可能影响履约的情况作必要的澄清、说明或补正。投标人的澄清、说明或补正应在评标委员会规定的时间内以书面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321E40E0">
      <w:pPr>
        <w:spacing w:line="440" w:lineRule="exact"/>
        <w:ind w:firstLine="435"/>
        <w:rPr>
          <w:rFonts w:hint="eastAsia" w:ascii="宋体" w:hAnsi="宋体" w:eastAsia="宋体"/>
          <w:b/>
          <w:bCs/>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r>
        <w:rPr>
          <w:rFonts w:hint="eastAsia" w:ascii="宋体" w:hAnsi="宋体" w:eastAsia="宋体"/>
          <w:b/>
          <w:bCs/>
          <w:color w:val="auto"/>
          <w:sz w:val="24"/>
          <w:highlight w:val="none"/>
        </w:rPr>
        <w:t>本项目采用远程开标，具体操作方法详见服务指南&gt;交易须知&gt;开标大厅远程解密、质疑(异议)及回复以及评标过程中询标流程操作手册。</w:t>
      </w:r>
    </w:p>
    <w:p w14:paraId="53FC26A0">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15.2</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投标人的澄清、说明或补正将作为投标文件的一部分。</w:t>
      </w:r>
    </w:p>
    <w:p w14:paraId="164391B9">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15.2</w:t>
      </w:r>
      <w:r>
        <w:rPr>
          <w:rFonts w:ascii="宋体" w:hAnsi="宋体" w:eastAsia="宋体"/>
          <w:color w:val="auto"/>
          <w:sz w:val="24"/>
          <w:highlight w:val="none"/>
        </w:rPr>
        <w:t>.3评标委员会对投标人提交的澄清、说明或补正有疑问的，可以要求投标人进一步澄清、说明或补正，直至满足评标委员会的要求。</w:t>
      </w:r>
    </w:p>
    <w:p w14:paraId="777C9827">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15.3</w:t>
      </w:r>
      <w:r>
        <w:rPr>
          <w:rFonts w:ascii="宋体" w:hAnsi="宋体" w:eastAsia="宋体"/>
          <w:color w:val="auto"/>
          <w:sz w:val="24"/>
          <w:highlight w:val="none"/>
        </w:rPr>
        <w:t>投标文件报价出现前后不一致的，按照下列规定修正：</w:t>
      </w:r>
    </w:p>
    <w:p w14:paraId="09C201C5">
      <w:pPr>
        <w:spacing w:line="440" w:lineRule="exact"/>
        <w:ind w:firstLine="435"/>
        <w:rPr>
          <w:rFonts w:hint="eastAsia"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5A52BF56">
      <w:pPr>
        <w:spacing w:line="440" w:lineRule="exact"/>
        <w:ind w:firstLine="435"/>
        <w:rPr>
          <w:rFonts w:hint="eastAsia"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7B5D50F7">
      <w:pPr>
        <w:spacing w:line="440" w:lineRule="exact"/>
        <w:ind w:firstLine="435"/>
        <w:rPr>
          <w:rFonts w:hint="eastAsia"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47484E26">
      <w:pPr>
        <w:spacing w:line="440" w:lineRule="exact"/>
        <w:ind w:firstLine="435"/>
        <w:rPr>
          <w:rFonts w:hint="eastAsia"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57D0F264">
      <w:pPr>
        <w:spacing w:line="440" w:lineRule="exact"/>
        <w:ind w:firstLine="435"/>
        <w:rPr>
          <w:rFonts w:hint="eastAsia"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rPr>
        <w:t>15.3</w:t>
      </w:r>
      <w:r>
        <w:rPr>
          <w:rFonts w:ascii="宋体" w:hAnsi="宋体" w:eastAsia="宋体"/>
          <w:color w:val="auto"/>
          <w:sz w:val="24"/>
          <w:highlight w:val="none"/>
        </w:rPr>
        <w:t>条的规定经投标人确认后产生约束力，</w:t>
      </w:r>
      <w:r>
        <w:rPr>
          <w:rFonts w:hint="eastAsia" w:ascii="宋体" w:hAnsi="宋体" w:eastAsia="宋体"/>
          <w:color w:val="auto"/>
          <w:sz w:val="24"/>
          <w:highlight w:val="none"/>
        </w:rPr>
        <w:t>无论投标人是接受或是拒绝调整后的价格，都应当由投标人在系统中确认。投标人拒绝对投标文件出现的错漏按上述原则进行修正、澄清、说明</w:t>
      </w:r>
      <w:r>
        <w:rPr>
          <w:rFonts w:ascii="宋体" w:hAnsi="宋体" w:eastAsia="宋体"/>
          <w:color w:val="auto"/>
          <w:sz w:val="24"/>
          <w:highlight w:val="none"/>
        </w:rPr>
        <w:t>，其投标将被认定为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3986CF85">
      <w:pPr>
        <w:spacing w:line="440" w:lineRule="exact"/>
        <w:ind w:firstLine="435"/>
        <w:rPr>
          <w:rFonts w:hint="eastAsia"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05B421BE">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16.投标无效</w:t>
      </w:r>
    </w:p>
    <w:p w14:paraId="1B7D098F">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7FFE2F7C">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5117016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3D02BCE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76966E2A">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40D79D5E">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2059483A">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4B3718A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45EE12FD">
      <w:pPr>
        <w:spacing w:line="440" w:lineRule="exact"/>
        <w:ind w:firstLine="435"/>
        <w:rPr>
          <w:rFonts w:hint="eastAsia"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30E08B04">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17.比较与评价</w:t>
      </w:r>
    </w:p>
    <w:p w14:paraId="7A9C2D3F">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17.1经符合性审查合格的投标文件，评标委员会将根据招标文件确定的评标方法和标准，对其投标文件作进一步的比较与评价。</w:t>
      </w:r>
    </w:p>
    <w:p w14:paraId="7B24266A">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17.2评标严格按照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06C96CA9">
      <w:pPr>
        <w:spacing w:line="440" w:lineRule="exact"/>
        <w:ind w:firstLine="435"/>
        <w:rPr>
          <w:rFonts w:hint="eastAsia"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41B1B930">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5FC596E0">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w:t>
      </w:r>
      <w:r>
        <w:rPr>
          <w:rFonts w:hint="eastAsia" w:ascii="宋体" w:hAnsi="宋体" w:eastAsia="宋体"/>
          <w:color w:val="auto"/>
          <w:sz w:val="24"/>
          <w:highlight w:val="none"/>
        </w:rPr>
        <w:t>和</w:t>
      </w:r>
      <w:r>
        <w:rPr>
          <w:rFonts w:ascii="宋体" w:hAnsi="宋体" w:eastAsia="宋体"/>
          <w:color w:val="auto"/>
          <w:sz w:val="24"/>
          <w:highlight w:val="none"/>
        </w:rPr>
        <w:t>《财政部 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54A19B52">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41FE8DD7">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55769310">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094FADC9">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18.1出现下列情形之一，将导致项目废标：</w:t>
      </w:r>
    </w:p>
    <w:p w14:paraId="13317347">
      <w:pPr>
        <w:spacing w:line="440" w:lineRule="exact"/>
        <w:ind w:firstLine="435"/>
        <w:rPr>
          <w:rFonts w:hint="eastAsia"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70E11AC4">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2A8C2212">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18369D2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2AD40346">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18.2公开招标数额标准以上的采购项目，投标截止后投标人不足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资格审查或符合性审查的投标人不足</w:t>
      </w:r>
      <w:r>
        <w:rPr>
          <w:rFonts w:asciiTheme="minorEastAsia" w:hAnsiTheme="minorEastAsia" w:eastAsiaTheme="minorEastAsia"/>
          <w:color w:val="auto"/>
          <w:sz w:val="24"/>
          <w:highlight w:val="none"/>
        </w:rPr>
        <w:t>3家的，除采购任务取消情形外，按照以下方式处理：</w:t>
      </w:r>
    </w:p>
    <w:p w14:paraId="6F227D0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3AE16B5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color w:val="auto"/>
          <w:sz w:val="24"/>
          <w:szCs w:val="24"/>
          <w:highlight w:val="none"/>
        </w:rPr>
        <w:t>政府采购监督管理部门</w:t>
      </w:r>
      <w:r>
        <w:rPr>
          <w:rFonts w:hint="eastAsia" w:asciiTheme="minorEastAsia" w:hAnsiTheme="minorEastAsia" w:eastAsiaTheme="minorEastAsia"/>
          <w:color w:val="auto"/>
          <w:sz w:val="24"/>
          <w:highlight w:val="none"/>
        </w:rPr>
        <w:t>批准。</w:t>
      </w:r>
    </w:p>
    <w:p w14:paraId="55EB855B">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52592AFC">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19.1评标将在严格保密的情况下进行。</w:t>
      </w:r>
    </w:p>
    <w:p w14:paraId="2551E4F6">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19.2有关人员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40DE97A8">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0BEAE1E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20.1</w:t>
      </w:r>
      <w:r>
        <w:rPr>
          <w:rFonts w:asciiTheme="minorEastAsia" w:hAnsiTheme="minorEastAsia" w:eastAsiaTheme="minorEastAsia"/>
          <w:color w:val="auto"/>
          <w:sz w:val="24"/>
          <w:highlight w:val="none"/>
        </w:rPr>
        <w:t>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17BC718C">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出现两家或两家以上相同者，采取评标委员会随机抽取的方式确定中标候选顺序。</w:t>
      </w:r>
    </w:p>
    <w:p w14:paraId="4E76E677">
      <w:pPr>
        <w:spacing w:line="440" w:lineRule="exact"/>
        <w:ind w:firstLine="435"/>
        <w:rPr>
          <w:rFonts w:hint="eastAsia" w:eastAsiaTheme="minorEastAsia"/>
          <w:color w:val="auto"/>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w:t>
      </w:r>
      <w:r>
        <w:rPr>
          <w:rFonts w:hint="eastAsia" w:asciiTheme="minorEastAsia" w:hAnsiTheme="minorEastAsia" w:eastAsiaTheme="minorEastAsia"/>
          <w:color w:val="auto"/>
          <w:sz w:val="24"/>
          <w:highlight w:val="none"/>
        </w:rPr>
        <w:t>按投标报价由低到高顺序排列。</w:t>
      </w:r>
      <w:r>
        <w:rPr>
          <w:rFonts w:asciiTheme="minorEastAsia" w:hAnsiTheme="minorEastAsia" w:eastAsiaTheme="minorEastAsia"/>
          <w:color w:val="auto"/>
          <w:sz w:val="24"/>
          <w:highlight w:val="none"/>
        </w:rPr>
        <w:t>得分与投标报价均相同的</w:t>
      </w:r>
      <w:r>
        <w:rPr>
          <w:rFonts w:hint="eastAsia" w:asciiTheme="minorEastAsia" w:hAnsiTheme="minorEastAsia" w:eastAsiaTheme="minorEastAsia"/>
          <w:color w:val="auto"/>
          <w:sz w:val="24"/>
          <w:highlight w:val="none"/>
        </w:rPr>
        <w:t>，则采取评标委员会随机抽取的方式确定中标候选顺序。</w:t>
      </w:r>
    </w:p>
    <w:p w14:paraId="792E786C">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3C98258F">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1C1A515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40A518E4">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4B24D339">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5FEB3F80">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516B1530">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2E635CED">
      <w:pPr>
        <w:spacing w:line="440" w:lineRule="exact"/>
        <w:ind w:firstLine="435"/>
        <w:rPr>
          <w:rFonts w:hint="eastAsia" w:ascii="宋体" w:hAnsi="宋体" w:eastAsia="宋体"/>
          <w:color w:val="auto"/>
          <w:sz w:val="24"/>
          <w:szCs w:val="18"/>
          <w:highlight w:val="none"/>
        </w:rPr>
      </w:pPr>
      <w:r>
        <w:rPr>
          <w:rFonts w:hint="eastAsia" w:asciiTheme="minorEastAsia" w:hAnsiTheme="minorEastAsia" w:eastAsiaTheme="minorEastAsia"/>
          <w:color w:val="auto"/>
          <w:sz w:val="24"/>
          <w:highlight w:val="none"/>
        </w:rPr>
        <w:t>23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77819CF">
      <w:pPr>
        <w:wordWrap w:val="0"/>
        <w:spacing w:line="440" w:lineRule="exact"/>
        <w:ind w:firstLine="437"/>
        <w:rPr>
          <w:rFonts w:hint="eastAsia" w:ascii="宋体" w:hAnsi="宋体" w:eastAsia="宋体"/>
          <w:color w:val="auto"/>
          <w:sz w:val="24"/>
          <w:szCs w:val="18"/>
          <w:highlight w:val="none"/>
        </w:rPr>
      </w:pPr>
      <w:r>
        <w:rPr>
          <w:rFonts w:hint="eastAsia" w:ascii="宋体" w:hAnsi="宋体" w:eastAsia="宋体"/>
          <w:color w:val="auto"/>
          <w:sz w:val="24"/>
          <w:szCs w:val="18"/>
          <w:highlight w:val="none"/>
        </w:rPr>
        <w:t>23.2自中标人确定之日起2个工作日内，采购代理机构将在安徽省政府采购网（www.ccgp-anhui.gov.cn）、滁州市公共资源交易中心网（http://ggzy.chuzhou.gov.cn /）上发布中标结果公告。</w:t>
      </w:r>
    </w:p>
    <w:p w14:paraId="7D03BFE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w:t>
      </w:r>
      <w:r>
        <w:rPr>
          <w:rFonts w:hint="eastAsia" w:asciiTheme="minorEastAsia" w:hAnsiTheme="minorEastAsia" w:eastAsiaTheme="minorEastAsia"/>
          <w:color w:val="auto"/>
          <w:sz w:val="24"/>
          <w:highlight w:val="none"/>
        </w:rPr>
        <w:t>服务范围</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服务要求</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服务时间</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服务标准</w:t>
      </w:r>
      <w:r>
        <w:rPr>
          <w:rFonts w:asciiTheme="minorEastAsia" w:hAnsiTheme="minorEastAsia" w:eastAsiaTheme="minorEastAsia"/>
          <w:color w:val="auto"/>
          <w:sz w:val="24"/>
          <w:highlight w:val="none"/>
        </w:rPr>
        <w:t>，中标公告期限、评审专家名单以及</w:t>
      </w:r>
      <w:r>
        <w:rPr>
          <w:rFonts w:hint="eastAsia" w:asciiTheme="minorEastAsia" w:hAnsiTheme="minorEastAsia" w:eastAsiaTheme="minorEastAsia"/>
          <w:color w:val="auto"/>
          <w:sz w:val="24"/>
          <w:highlight w:val="none"/>
        </w:rPr>
        <w:t>投标人须知前附表</w:t>
      </w:r>
      <w:r>
        <w:rPr>
          <w:rFonts w:asciiTheme="minorEastAsia" w:hAnsiTheme="minorEastAsia" w:eastAsiaTheme="minorEastAsia"/>
          <w:color w:val="auto"/>
          <w:sz w:val="24"/>
          <w:highlight w:val="none"/>
        </w:rPr>
        <w:t>中约定进行公告的内容。中标公告期限为1个工作日。</w:t>
      </w:r>
    </w:p>
    <w:p w14:paraId="3B91997D">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664F2961">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r>
        <w:rPr>
          <w:rFonts w:hint="eastAsia" w:asciiTheme="minorEastAsia" w:hAnsiTheme="minorEastAsia" w:eastAsiaTheme="minorEastAsia"/>
          <w:color w:val="auto"/>
          <w:sz w:val="24"/>
          <w:highlight w:val="none"/>
        </w:rPr>
        <w:t>中标通知书须加盖采购人、采购代理机构公章并经公共资源交易中心加盖见证章后，方可发出。</w:t>
      </w:r>
    </w:p>
    <w:p w14:paraId="6A1DE11F">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101C9B70">
      <w:pPr>
        <w:spacing w:line="440" w:lineRule="exact"/>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6CBDE6CD">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0C4ECB26">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34CED3A4">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5CB9EF43">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6C74EBC7">
      <w:pPr>
        <w:spacing w:line="440" w:lineRule="exact"/>
        <w:ind w:firstLine="435"/>
        <w:rPr>
          <w:rFonts w:hint="eastAsia"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26.</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36155A37">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453A4DEA">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27.1</w:t>
      </w:r>
      <w:r>
        <w:rPr>
          <w:rFonts w:hint="eastAsia" w:ascii="宋体" w:hAnsi="宋体" w:eastAsia="宋体" w:cs="宋体"/>
          <w:color w:val="auto"/>
          <w:sz w:val="24"/>
          <w:szCs w:val="24"/>
          <w:highlight w:val="none"/>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规定的时间内完成政府采购合同签订及合同公告。</w:t>
      </w:r>
    </w:p>
    <w:p w14:paraId="68A3DCCE">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27.2招标文件、中标人的投标文件及其澄清文件等，均为签订合同的依据。</w:t>
      </w:r>
    </w:p>
    <w:p w14:paraId="38BBE096">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27.3中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5988357D">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27.4依据《政府采购促进中小企业发展管理办法》（财库〔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75FE6F14">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代理费用</w:t>
      </w:r>
    </w:p>
    <w:p w14:paraId="124A2B7F">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28</w:t>
      </w:r>
      <w:r>
        <w:rPr>
          <w:rFonts w:ascii="宋体" w:hAnsi="宋体" w:eastAsia="宋体"/>
          <w:color w:val="auto"/>
          <w:sz w:val="24"/>
          <w:highlight w:val="none"/>
        </w:rPr>
        <w:t>.1</w:t>
      </w:r>
      <w:r>
        <w:rPr>
          <w:rFonts w:hint="eastAsia" w:ascii="宋体" w:hAnsi="宋体" w:eastAsia="宋体"/>
          <w:color w:val="auto"/>
          <w:sz w:val="24"/>
          <w:highlight w:val="none"/>
        </w:rPr>
        <w:t>本项目代理费用的收取按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0208C773">
      <w:pPr>
        <w:spacing w:line="440" w:lineRule="exact"/>
        <w:ind w:firstLine="437"/>
        <w:outlineLvl w:val="2"/>
        <w:rPr>
          <w:rFonts w:hint="eastAsia" w:asciiTheme="minorEastAsia" w:hAnsiTheme="minorEastAsia" w:eastAsiaTheme="minorEastAsia"/>
          <w:b/>
          <w:color w:val="auto"/>
          <w:sz w:val="24"/>
          <w:highlight w:val="none"/>
        </w:rPr>
      </w:pPr>
      <w:bookmarkStart w:id="38" w:name="_Toc2583661"/>
      <w:bookmarkStart w:id="39" w:name="_Toc518923100"/>
      <w:r>
        <w:rPr>
          <w:rFonts w:hint="eastAsia" w:asciiTheme="minorEastAsia" w:hAnsiTheme="minorEastAsia" w:eastAsiaTheme="minorEastAsia"/>
          <w:b/>
          <w:color w:val="auto"/>
          <w:sz w:val="24"/>
          <w:highlight w:val="none"/>
        </w:rPr>
        <w:t>29.廉洁自律</w:t>
      </w:r>
      <w:r>
        <w:rPr>
          <w:rFonts w:asciiTheme="minorEastAsia" w:hAnsiTheme="minorEastAsia" w:eastAsiaTheme="minorEastAsia"/>
          <w:b/>
          <w:color w:val="auto"/>
          <w:sz w:val="24"/>
          <w:highlight w:val="none"/>
        </w:rPr>
        <w:t>规定</w:t>
      </w:r>
      <w:bookmarkEnd w:id="38"/>
      <w:bookmarkEnd w:id="39"/>
    </w:p>
    <w:p w14:paraId="3FEB310C">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29.1采购代理机构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618A0CD3">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7CBE7150">
      <w:pPr>
        <w:spacing w:line="440" w:lineRule="exact"/>
        <w:ind w:firstLine="437"/>
        <w:outlineLvl w:val="2"/>
        <w:rPr>
          <w:rFonts w:hint="eastAsia" w:asciiTheme="minorEastAsia" w:hAnsiTheme="minorEastAsia" w:eastAsiaTheme="minorEastAsia"/>
          <w:b/>
          <w:color w:val="auto"/>
          <w:sz w:val="24"/>
          <w:highlight w:val="none"/>
        </w:rPr>
      </w:pPr>
      <w:bookmarkStart w:id="40" w:name="_Toc518923101"/>
      <w:bookmarkStart w:id="41" w:name="_Toc2583662"/>
      <w:r>
        <w:rPr>
          <w:rFonts w:hint="eastAsia" w:asciiTheme="minorEastAsia" w:hAnsiTheme="minorEastAsia" w:eastAsiaTheme="minorEastAsia"/>
          <w:b/>
          <w:color w:val="auto"/>
          <w:sz w:val="24"/>
          <w:highlight w:val="none"/>
        </w:rPr>
        <w:t>30.人员回避</w:t>
      </w:r>
      <w:bookmarkEnd w:id="40"/>
      <w:bookmarkEnd w:id="41"/>
    </w:p>
    <w:p w14:paraId="0CED99B4">
      <w:pPr>
        <w:spacing w:line="440" w:lineRule="exact"/>
        <w:ind w:firstLine="435"/>
        <w:rPr>
          <w:rFonts w:hint="eastAsia"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64D1C6B9">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6BCA9D79">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31.1投标人认为招标文件、招标过程和中标结果使自己的权益受到损害的，可以在知道或者应知其权益受到损害之日起七个工作日内，以书面形式向采购人或其委托的采购代理机构提出质疑。</w:t>
      </w:r>
    </w:p>
    <w:p w14:paraId="0FC23515">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31.2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1B4A3FE0">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31.3采购代理机构质疑函接收部门、联系电话和通讯地址，见投标人须知前附表。</w:t>
      </w:r>
    </w:p>
    <w:p w14:paraId="7732CD2E">
      <w:pPr>
        <w:spacing w:line="440" w:lineRule="exact"/>
        <w:ind w:firstLine="435"/>
        <w:rPr>
          <w:rFonts w:hint="eastAsia" w:ascii="宋体" w:hAnsi="宋体" w:eastAsia="宋体"/>
          <w:color w:val="auto"/>
          <w:sz w:val="24"/>
          <w:highlight w:val="none"/>
        </w:rPr>
      </w:pPr>
      <w:r>
        <w:rPr>
          <w:rFonts w:hint="eastAsia" w:ascii="宋体" w:hAnsi="宋体" w:eastAsia="宋体"/>
          <w:color w:val="auto"/>
          <w:sz w:val="24"/>
          <w:highlight w:val="none"/>
        </w:rPr>
        <w:t>注：上述条款中所要求的书面形式包含通过电子交易系统递交方式。</w:t>
      </w:r>
    </w:p>
    <w:p w14:paraId="5ADC333A">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32.投诉</w:t>
      </w:r>
    </w:p>
    <w:p w14:paraId="5CED4318">
      <w:pPr>
        <w:wordWrap w:val="0"/>
        <w:spacing w:line="440" w:lineRule="exact"/>
        <w:ind w:firstLine="437"/>
        <w:rPr>
          <w:rFonts w:hint="eastAsia" w:ascii="宋体" w:hAnsi="宋体" w:eastAsia="宋体"/>
          <w:color w:val="auto"/>
          <w:sz w:val="24"/>
          <w:highlight w:val="none"/>
        </w:rPr>
      </w:pPr>
      <w:r>
        <w:rPr>
          <w:rFonts w:hint="eastAsia" w:ascii="宋体" w:hAnsi="宋体" w:eastAsia="宋体"/>
          <w:color w:val="auto"/>
          <w:sz w:val="24"/>
          <w:highlight w:val="none"/>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04A73284">
      <w:pPr>
        <w:wordWrap w:val="0"/>
        <w:spacing w:line="440" w:lineRule="exact"/>
        <w:ind w:firstLine="437"/>
        <w:rPr>
          <w:rFonts w:hint="eastAsia" w:ascii="宋体" w:hAnsi="宋体" w:eastAsia="宋体"/>
          <w:color w:val="auto"/>
          <w:sz w:val="24"/>
          <w:highlight w:val="none"/>
        </w:rPr>
      </w:pPr>
      <w:r>
        <w:rPr>
          <w:rFonts w:hint="eastAsia" w:ascii="宋体" w:hAnsi="宋体" w:eastAsia="宋体"/>
          <w:color w:val="auto"/>
          <w:sz w:val="24"/>
          <w:highlight w:val="none"/>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359A6B29">
      <w:pPr>
        <w:wordWrap w:val="0"/>
        <w:spacing w:line="440" w:lineRule="exact"/>
        <w:ind w:firstLine="437"/>
        <w:rPr>
          <w:rFonts w:hint="eastAsia" w:ascii="宋体" w:hAnsi="宋体" w:eastAsia="宋体"/>
          <w:color w:val="auto"/>
          <w:sz w:val="24"/>
          <w:highlight w:val="none"/>
        </w:rPr>
      </w:pPr>
      <w:r>
        <w:rPr>
          <w:rFonts w:hint="eastAsia" w:ascii="宋体" w:hAnsi="宋体" w:eastAsia="宋体"/>
          <w:color w:val="auto"/>
          <w:sz w:val="24"/>
          <w:highlight w:val="none"/>
        </w:rPr>
        <w:t>32.3政府采购监督管理部门在处理投诉事项期间，可以视具体情况书面通知采购人暂停采购活动，但暂停时间最长不得超过30日。</w:t>
      </w:r>
    </w:p>
    <w:p w14:paraId="70747181">
      <w:pPr>
        <w:spacing w:line="440" w:lineRule="exact"/>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需要补充的其他内容</w:t>
      </w:r>
    </w:p>
    <w:p w14:paraId="154BA8E3">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需要补充的其他内容，见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56AA59CE">
      <w:pPr>
        <w:widowControl/>
        <w:jc w:val="left"/>
        <w:rPr>
          <w:rFonts w:hint="eastAsia"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6B25798F">
      <w:pPr>
        <w:numPr>
          <w:ilvl w:val="0"/>
          <w:numId w:val="0"/>
        </w:numPr>
        <w:spacing w:line="360" w:lineRule="auto"/>
        <w:jc w:val="center"/>
        <w:outlineLvl w:val="0"/>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lang w:val="en-US" w:eastAsia="zh-CN"/>
        </w:rPr>
        <w:t>第三章</w:t>
      </w:r>
      <w:r>
        <w:rPr>
          <w:rFonts w:hint="eastAsia" w:asciiTheme="minorEastAsia" w:hAnsiTheme="minorEastAsia" w:eastAsiaTheme="minorEastAsia"/>
          <w:b/>
          <w:color w:val="auto"/>
          <w:sz w:val="28"/>
          <w:highlight w:val="none"/>
        </w:rPr>
        <w:t xml:space="preserve"> </w:t>
      </w:r>
      <w:bookmarkStart w:id="42" w:name="_Toc22605"/>
      <w:r>
        <w:rPr>
          <w:rFonts w:hint="eastAsia" w:asciiTheme="minorEastAsia" w:hAnsiTheme="minorEastAsia" w:eastAsiaTheme="minorEastAsia"/>
          <w:b/>
          <w:color w:val="auto"/>
          <w:sz w:val="28"/>
          <w:highlight w:val="none"/>
        </w:rPr>
        <w:t>采购需求</w:t>
      </w:r>
      <w:bookmarkEnd w:id="42"/>
    </w:p>
    <w:p w14:paraId="0BD28673">
      <w:pPr>
        <w:spacing w:line="480" w:lineRule="exact"/>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4F95F46B">
      <w:pPr>
        <w:spacing w:line="48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1.本采购需求中提出的服务方案仅为参考，如无明确限制，投标人可以进行优化，提供满足采购人实际需要的更优（或者性能实质上不低于的）服务方案，且此方案须经评标委员会评审认可。</w:t>
      </w:r>
    </w:p>
    <w:p w14:paraId="05355248">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rPr>
        <w:t>）：</w:t>
      </w:r>
    </w:p>
    <w:p w14:paraId="6195D6F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在投标文件中提供所投产品须具有市场监管总局公布的《参与实施政府采购节能产品认证机构目录》中的认证机构出具的、处于有效期内的节能产品认证证书。</w:t>
      </w:r>
    </w:p>
    <w:p w14:paraId="31284911">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6D9E0740">
      <w:pPr>
        <w:spacing w:line="480" w:lineRule="exact"/>
        <w:ind w:firstLine="480" w:firstLineChars="200"/>
        <w:rPr>
          <w:rFonts w:hint="eastAsia" w:ascii="宋体" w:hAnsi="宋体" w:eastAsia="宋体"/>
          <w:bCs/>
          <w:color w:val="auto"/>
          <w:sz w:val="24"/>
          <w:szCs w:val="18"/>
          <w:highlight w:val="none"/>
        </w:rPr>
      </w:pPr>
      <w:r>
        <w:rPr>
          <w:rFonts w:hint="eastAsia" w:ascii="宋体" w:hAnsi="宋体" w:eastAsia="宋体" w:cs="宋体"/>
          <w:color w:val="auto"/>
          <w:sz w:val="24"/>
          <w:szCs w:val="24"/>
          <w:highlight w:val="none"/>
        </w:rPr>
        <w:t>3.如采购人允许采用分包方式履行合同的，应当明确可以分包履行的相关内容。</w:t>
      </w:r>
    </w:p>
    <w:p w14:paraId="55C9249D">
      <w:pPr>
        <w:pStyle w:val="7"/>
        <w:bidi w:val="0"/>
        <w:rPr>
          <w:rFonts w:hint="eastAsia"/>
          <w:color w:val="auto"/>
          <w:highlight w:val="none"/>
        </w:rPr>
      </w:pPr>
      <w:bookmarkStart w:id="43" w:name="_Toc21798"/>
      <w:bookmarkStart w:id="44" w:name="_Toc4148"/>
      <w:bookmarkStart w:id="45" w:name="_Hlk23621890"/>
      <w:bookmarkStart w:id="46" w:name="_Toc30824"/>
      <w:r>
        <w:rPr>
          <w:rFonts w:hint="eastAsia"/>
          <w:color w:val="auto"/>
          <w:highlight w:val="none"/>
        </w:rPr>
        <w:t>一、采购需求前附表</w:t>
      </w:r>
      <w:bookmarkEnd w:id="43"/>
      <w:bookmarkEnd w:id="44"/>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169E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5CC7BA29">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80" w:lineRule="exact"/>
              <w:ind w:left="0" w:right="0"/>
              <w:textAlignment w:val="auto"/>
              <w:rPr>
                <w:rFonts w:hint="eastAsia"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2C47E90C">
            <w:pPr>
              <w:pStyle w:val="52"/>
              <w:keepNext w:val="0"/>
              <w:keepLines w:val="0"/>
              <w:widowControl w:val="0"/>
              <w:suppressLineNumbers w:val="0"/>
              <w:spacing w:before="0" w:beforeAutospacing="0" w:after="0" w:afterAutospacing="0" w:line="480" w:lineRule="exact"/>
              <w:ind w:left="0" w:right="0"/>
              <w:rPr>
                <w:rFonts w:hint="eastAsia"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4F41370A">
            <w:pPr>
              <w:pStyle w:val="52"/>
              <w:keepNext w:val="0"/>
              <w:keepLines w:val="0"/>
              <w:widowControl w:val="0"/>
              <w:suppressLineNumbers w:val="0"/>
              <w:spacing w:before="0" w:beforeAutospacing="0" w:after="0" w:afterAutospacing="0" w:line="480" w:lineRule="exact"/>
              <w:ind w:left="0" w:right="0"/>
              <w:rPr>
                <w:rFonts w:hint="eastAsia"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071D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1723C69">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8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6A4ED38E">
            <w:pPr>
              <w:keepNext w:val="0"/>
              <w:keepLines w:val="0"/>
              <w:suppressLineNumbers w:val="0"/>
              <w:spacing w:before="0" w:beforeAutospacing="0" w:after="0" w:afterAutospacing="0" w:line="480"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3217" w:type="pct"/>
            <w:vAlign w:val="center"/>
          </w:tcPr>
          <w:p w14:paraId="01D4EA06">
            <w:pPr>
              <w:pStyle w:val="52"/>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color w:val="auto"/>
                <w:sz w:val="24"/>
                <w:highlight w:val="none"/>
                <w:u w:val="single"/>
                <w:lang w:val="en-US" w:eastAsia="zh-CN"/>
              </w:rPr>
            </w:pPr>
            <w:r>
              <w:rPr>
                <w:rFonts w:hint="eastAsia" w:ascii="宋体" w:hAnsi="宋体" w:eastAsia="宋体" w:cs="宋体"/>
                <w:b w:val="0"/>
                <w:color w:val="auto"/>
                <w:sz w:val="24"/>
                <w:highlight w:val="none"/>
                <w:u w:val="single"/>
                <w:lang w:val="en-US" w:eastAsia="zh-CN"/>
              </w:rPr>
              <w:t>合同签订生效并具备实施条件后5个工作日内支付合同价的40%预付款(预付款支付前，中标人须提供同等金额的见索即付预付款保函)，2025年完成项目初验后付至本年度计划的100%，项目终验合格后付至合同价的100%。</w:t>
            </w:r>
          </w:p>
        </w:tc>
      </w:tr>
      <w:tr w14:paraId="0CF2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70A6089">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8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0111DDA1">
            <w:pPr>
              <w:pStyle w:val="52"/>
              <w:keepNext w:val="0"/>
              <w:keepLines w:val="0"/>
              <w:widowControl w:val="0"/>
              <w:suppressLineNumbers w:val="0"/>
              <w:spacing w:before="0" w:beforeAutospacing="0" w:after="0" w:afterAutospacing="0" w:line="480" w:lineRule="exact"/>
              <w:ind w:left="0" w:right="0"/>
              <w:rPr>
                <w:rFonts w:hint="eastAsia" w:ascii="宋体" w:hAnsi="宋体" w:eastAsia="宋体"/>
                <w:b w:val="0"/>
                <w:color w:val="auto"/>
                <w:sz w:val="24"/>
                <w:highlight w:val="none"/>
              </w:rPr>
            </w:pPr>
            <w:r>
              <w:rPr>
                <w:rFonts w:hint="eastAsia" w:ascii="宋体" w:hAnsi="宋体" w:eastAsia="宋体"/>
                <w:b w:val="0"/>
                <w:color w:val="auto"/>
                <w:sz w:val="24"/>
                <w:highlight w:val="none"/>
              </w:rPr>
              <w:t>服务地点</w:t>
            </w:r>
          </w:p>
        </w:tc>
        <w:tc>
          <w:tcPr>
            <w:tcW w:w="3217" w:type="pct"/>
            <w:vAlign w:val="center"/>
          </w:tcPr>
          <w:p w14:paraId="551ADFF5">
            <w:pPr>
              <w:pStyle w:val="52"/>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0"/>
                <w:highlight w:val="none"/>
                <w:lang w:val="en-US" w:eastAsia="zh-CN"/>
              </w:rPr>
            </w:pPr>
            <w:r>
              <w:rPr>
                <w:rFonts w:hint="eastAsia" w:ascii="宋体" w:hAnsi="宋体" w:eastAsia="宋体" w:cs="宋体"/>
                <w:b w:val="0"/>
                <w:bCs w:val="0"/>
                <w:color w:val="auto"/>
                <w:sz w:val="24"/>
                <w:szCs w:val="20"/>
                <w:highlight w:val="none"/>
                <w:lang w:val="en-US" w:eastAsia="zh-CN"/>
              </w:rPr>
              <w:t>滁州市内，采购人指定地点</w:t>
            </w:r>
          </w:p>
        </w:tc>
      </w:tr>
      <w:tr w14:paraId="1D2C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7064D31A">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8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48C0AEDB">
            <w:pPr>
              <w:pStyle w:val="52"/>
              <w:keepNext w:val="0"/>
              <w:keepLines w:val="0"/>
              <w:widowControl w:val="0"/>
              <w:suppressLineNumbers w:val="0"/>
              <w:spacing w:before="0" w:beforeAutospacing="0" w:after="0" w:afterAutospacing="0" w:line="480" w:lineRule="exact"/>
              <w:ind w:left="0" w:right="0"/>
              <w:rPr>
                <w:rFonts w:hint="eastAsia" w:ascii="宋体" w:hAnsi="宋体" w:eastAsia="宋体"/>
                <w:b w:val="0"/>
                <w:color w:val="auto"/>
                <w:sz w:val="24"/>
                <w:highlight w:val="none"/>
              </w:rPr>
            </w:pPr>
            <w:r>
              <w:rPr>
                <w:rFonts w:hint="eastAsia" w:ascii="宋体" w:hAnsi="宋体" w:eastAsia="宋体"/>
                <w:b w:val="0"/>
                <w:color w:val="auto"/>
                <w:sz w:val="24"/>
                <w:highlight w:val="none"/>
              </w:rPr>
              <w:t>服务期限</w:t>
            </w:r>
          </w:p>
        </w:tc>
        <w:tc>
          <w:tcPr>
            <w:tcW w:w="3217" w:type="pct"/>
            <w:vAlign w:val="center"/>
          </w:tcPr>
          <w:p w14:paraId="0CA1455E">
            <w:pPr>
              <w:keepNext w:val="0"/>
              <w:keepLines w:val="0"/>
              <w:pageBreakBefore w:val="0"/>
              <w:suppressLineNumbers w:val="0"/>
              <w:kinsoku/>
              <w:overflowPunct/>
              <w:topLinePunct w:val="0"/>
              <w:bidi w:val="0"/>
              <w:snapToGrid/>
              <w:spacing w:before="0" w:beforeAutospacing="0" w:after="0" w:afterAutospacing="0" w:line="420" w:lineRule="exact"/>
              <w:ind w:left="0" w:right="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sz w:val="24"/>
                <w:szCs w:val="24"/>
                <w:highlight w:val="none"/>
                <w:lang w:val="en-US" w:eastAsia="zh-CN"/>
              </w:rPr>
              <w:t>本项目建设周期3个月（自合同签订之日计算），平台基本功能建设完成后开展项目初验，试运行期6个月（自初验合格之日计算）后开展项目终验。项目终验合格后需提供3年免费运维服务。</w:t>
            </w:r>
          </w:p>
        </w:tc>
      </w:tr>
      <w:tr w14:paraId="7B5E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66509674">
            <w:pPr>
              <w:pStyle w:val="53"/>
              <w:keepNext w:val="0"/>
              <w:keepLines w:val="0"/>
              <w:suppressLineNumbers w:val="0"/>
              <w:pBdr>
                <w:bottom w:val="none" w:color="auto" w:sz="0" w:space="0"/>
              </w:pBdr>
              <w:tabs>
                <w:tab w:val="clear" w:pos="4153"/>
                <w:tab w:val="clear" w:pos="8306"/>
              </w:tabs>
              <w:adjustRightInd/>
              <w:spacing w:before="0" w:beforeAutospacing="0" w:after="0" w:afterAutospacing="0" w:line="480" w:lineRule="exact"/>
              <w:ind w:left="0" w:right="0"/>
              <w:textAlignment w:val="auto"/>
              <w:rPr>
                <w:rFonts w:hint="eastAsia"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vAlign w:val="center"/>
          </w:tcPr>
          <w:p w14:paraId="5A784A79">
            <w:pPr>
              <w:pStyle w:val="52"/>
              <w:keepNext w:val="0"/>
              <w:keepLines w:val="0"/>
              <w:widowControl w:val="0"/>
              <w:suppressLineNumbers w:val="0"/>
              <w:spacing w:before="0" w:beforeAutospacing="0" w:after="0" w:afterAutospacing="0" w:line="480" w:lineRule="exact"/>
              <w:ind w:left="0" w:right="0"/>
              <w:rPr>
                <w:rFonts w:hint="eastAsia" w:ascii="宋体" w:hAnsi="宋体" w:eastAsia="宋体"/>
                <w:b w:val="0"/>
                <w:color w:val="auto"/>
                <w:sz w:val="24"/>
                <w:highlight w:val="none"/>
              </w:rPr>
            </w:pPr>
            <w:r>
              <w:rPr>
                <w:rFonts w:hint="eastAsia" w:ascii="宋体" w:hAnsi="宋体" w:eastAsia="宋体"/>
                <w:b w:val="0"/>
                <w:color w:val="auto"/>
                <w:sz w:val="24"/>
                <w:highlight w:val="none"/>
              </w:rPr>
              <w:t>本项目采购标的名称及所属行业</w:t>
            </w:r>
          </w:p>
        </w:tc>
        <w:tc>
          <w:tcPr>
            <w:tcW w:w="3217" w:type="pct"/>
            <w:vAlign w:val="center"/>
          </w:tcPr>
          <w:p w14:paraId="383DEF6C">
            <w:pPr>
              <w:pStyle w:val="52"/>
              <w:keepNext w:val="0"/>
              <w:keepLines w:val="0"/>
              <w:widowControl w:val="0"/>
              <w:suppressLineNumbers w:val="0"/>
              <w:spacing w:before="0" w:beforeAutospacing="0" w:after="0" w:afterAutospacing="0" w:line="480" w:lineRule="exact"/>
              <w:ind w:left="0" w:right="0"/>
              <w:jc w:val="both"/>
              <w:rPr>
                <w:rFonts w:hint="eastAsia" w:ascii="宋体" w:hAnsi="宋体" w:eastAsia="宋体" w:cs="宋体"/>
                <w:b w:val="0"/>
                <w:bCs w:val="0"/>
                <w:color w:val="auto"/>
                <w:sz w:val="24"/>
                <w:szCs w:val="20"/>
                <w:highlight w:val="none"/>
                <w:lang w:val="en-US" w:eastAsia="zh-CN"/>
              </w:rPr>
            </w:pPr>
            <w:r>
              <w:rPr>
                <w:rFonts w:hint="eastAsia" w:ascii="宋体" w:hAnsi="宋体" w:eastAsia="宋体" w:cs="宋体"/>
                <w:b w:val="0"/>
                <w:bCs w:val="0"/>
                <w:color w:val="auto"/>
                <w:sz w:val="24"/>
                <w:szCs w:val="20"/>
                <w:highlight w:val="none"/>
                <w:lang w:val="en-US" w:eastAsia="zh-CN"/>
              </w:rPr>
              <w:t>安徽省一体化数据基础平台滁州市级节点运维平台项目</w:t>
            </w:r>
          </w:p>
          <w:p w14:paraId="161ACFB5">
            <w:pPr>
              <w:pStyle w:val="52"/>
              <w:keepNext w:val="0"/>
              <w:keepLines w:val="0"/>
              <w:widowControl w:val="0"/>
              <w:suppressLineNumbers w:val="0"/>
              <w:spacing w:before="0" w:beforeAutospacing="0" w:after="0" w:afterAutospacing="0" w:line="480" w:lineRule="exact"/>
              <w:ind w:left="0" w:right="0"/>
              <w:jc w:val="both"/>
              <w:rPr>
                <w:rFonts w:hint="eastAsia" w:asciiTheme="minorEastAsia" w:hAnsiTheme="minorEastAsia" w:eastAsiaTheme="minorEastAsia"/>
                <w:color w:val="auto"/>
                <w:sz w:val="24"/>
                <w:highlight w:val="none"/>
              </w:rPr>
            </w:pPr>
            <w:r>
              <w:rPr>
                <w:rFonts w:hint="eastAsia" w:ascii="宋体" w:hAnsi="宋体" w:eastAsia="宋体" w:cs="宋体"/>
                <w:b w:val="0"/>
                <w:bCs w:val="0"/>
                <w:color w:val="auto"/>
                <w:sz w:val="24"/>
                <w:szCs w:val="20"/>
                <w:highlight w:val="none"/>
                <w:lang w:val="en-US" w:eastAsia="zh-CN"/>
              </w:rPr>
              <w:t>所属行业：软件和信息技术服务业</w:t>
            </w:r>
          </w:p>
        </w:tc>
      </w:tr>
      <w:bookmarkEnd w:id="45"/>
    </w:tbl>
    <w:p w14:paraId="57E4786F">
      <w:pPr>
        <w:pStyle w:val="7"/>
        <w:bidi w:val="0"/>
        <w:rPr>
          <w:rFonts w:hint="eastAsia"/>
          <w:color w:val="auto"/>
          <w:highlight w:val="none"/>
        </w:rPr>
      </w:pPr>
      <w:bookmarkStart w:id="47" w:name="_Toc8753"/>
      <w:r>
        <w:rPr>
          <w:rFonts w:hint="eastAsia"/>
          <w:color w:val="auto"/>
          <w:highlight w:val="none"/>
          <w:lang w:val="en-US" w:eastAsia="zh-CN"/>
        </w:rPr>
        <w:t>二、</w:t>
      </w:r>
      <w:r>
        <w:rPr>
          <w:rFonts w:hint="eastAsia"/>
          <w:color w:val="auto"/>
          <w:highlight w:val="none"/>
        </w:rPr>
        <w:t>项目概况</w:t>
      </w:r>
      <w:bookmarkEnd w:id="47"/>
      <w:bookmarkStart w:id="48" w:name="_Toc91571514"/>
      <w:bookmarkStart w:id="49" w:name="_Toc1995983676"/>
      <w:bookmarkStart w:id="50" w:name="_Toc1238"/>
      <w:bookmarkStart w:id="51" w:name="_Toc1933145023"/>
    </w:p>
    <w:p w14:paraId="3B4D4468">
      <w:pPr>
        <w:numPr>
          <w:ilvl w:val="0"/>
          <w:numId w:val="0"/>
        </w:numPr>
        <w:spacing w:line="480" w:lineRule="exact"/>
        <w:ind w:firstLine="482" w:firstLineChars="200"/>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w:t>
      </w:r>
      <w:r>
        <w:rPr>
          <w:rFonts w:hint="eastAsia" w:ascii="宋体" w:hAnsi="宋体" w:eastAsia="宋体" w:cs="宋体"/>
          <w:b/>
          <w:bCs/>
          <w:color w:val="auto"/>
          <w:sz w:val="24"/>
          <w:szCs w:val="24"/>
          <w:highlight w:val="none"/>
          <w:lang w:val="en-US" w:eastAsia="zh-CN"/>
        </w:rPr>
        <w:t>项目建设背景</w:t>
      </w:r>
      <w:bookmarkEnd w:id="48"/>
      <w:bookmarkEnd w:id="49"/>
      <w:bookmarkEnd w:id="50"/>
      <w:bookmarkEnd w:id="51"/>
    </w:p>
    <w:p w14:paraId="62FC0F65">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根据《数字安徽建设总体方案》工作部署，高标准建设一体化数据基础平台，为数字政府、数字经济、数字社会三大领域数字化应用提供统一支撑。根据《关于印发全省一体化数据基础平台迭代工程等四大工程工作方案的通知》（皖数资〔2023〕11号）要求，加快构建政务信息化建设新范式，推动“三大转变”“四大工程”，全面赋能数字政府、数字经济、数字社会建设和发展。根据《全省一体化数据基础平台运行管理办法(试行)》要求，省数据资源局负责一体化平台的统筹规划、顶层设计和标准制定，负责省级平台的建设管理、安全保障和运维运营。各市数据资源局负责本市市级节点的建设管理、安全保障和运维运营。各市根据实际需求建设市级运维平台，实现对政务云、系统、应用等运维监控。</w:t>
      </w:r>
    </w:p>
    <w:p w14:paraId="35871723">
      <w:pPr>
        <w:numPr>
          <w:ilvl w:val="0"/>
          <w:numId w:val="0"/>
        </w:numPr>
        <w:spacing w:line="480" w:lineRule="exact"/>
        <w:ind w:firstLine="482" w:firstLineChars="200"/>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2.</w:t>
      </w:r>
      <w:r>
        <w:rPr>
          <w:rFonts w:hint="eastAsia" w:ascii="宋体" w:hAnsi="宋体" w:eastAsia="宋体" w:cs="宋体"/>
          <w:b/>
          <w:bCs/>
          <w:color w:val="auto"/>
          <w:sz w:val="24"/>
          <w:szCs w:val="24"/>
          <w:highlight w:val="none"/>
          <w:lang w:val="en-US" w:eastAsia="zh-CN"/>
        </w:rPr>
        <w:t>需求分析</w:t>
      </w:r>
    </w:p>
    <w:p w14:paraId="067C7DE0">
      <w:pPr>
        <w:pStyle w:val="9"/>
        <w:widowControl/>
        <w:numPr>
          <w:ilvl w:val="1"/>
          <w:numId w:val="0"/>
        </w:numPr>
        <w:ind w:left="0" w:leftChars="0" w:firstLine="0" w:firstLineChars="0"/>
        <w:outlineLvl w:val="3"/>
        <w:rPr>
          <w:rFonts w:hint="eastAsia" w:asciiTheme="majorEastAsia" w:hAnsiTheme="majorEastAsia" w:eastAsiaTheme="majorEastAsia" w:cstheme="majorEastAsia"/>
          <w:b/>
          <w:bCs/>
          <w:color w:val="auto"/>
          <w:kern w:val="2"/>
          <w:sz w:val="24"/>
          <w:szCs w:val="24"/>
          <w:highlight w:val="none"/>
        </w:rPr>
      </w:pPr>
      <w:r>
        <w:rPr>
          <w:rFonts w:hint="eastAsia" w:asciiTheme="majorEastAsia" w:hAnsiTheme="majorEastAsia" w:eastAsiaTheme="majorEastAsia" w:cstheme="majorEastAsia"/>
          <w:b/>
          <w:bCs/>
          <w:color w:val="auto"/>
          <w:kern w:val="2"/>
          <w:sz w:val="24"/>
          <w:szCs w:val="24"/>
          <w:highlight w:val="none"/>
          <w:lang w:val="en-US" w:eastAsia="zh-CN" w:bidi="ar-SA"/>
        </w:rPr>
        <w:t>2.1.</w:t>
      </w:r>
      <w:r>
        <w:rPr>
          <w:rFonts w:hint="eastAsia" w:asciiTheme="majorEastAsia" w:hAnsiTheme="majorEastAsia" w:eastAsiaTheme="majorEastAsia" w:cstheme="majorEastAsia"/>
          <w:b/>
          <w:bCs/>
          <w:color w:val="auto"/>
          <w:kern w:val="2"/>
          <w:sz w:val="24"/>
          <w:szCs w:val="24"/>
          <w:highlight w:val="none"/>
        </w:rPr>
        <w:t>业务需求</w:t>
      </w:r>
    </w:p>
    <w:p w14:paraId="1E45883F">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（1）省市级联对接需求：按照运维平台省市对接规范将9类运维数据上报至省平台，平台可查看数据上报情况。</w:t>
      </w:r>
    </w:p>
    <w:p w14:paraId="7104F681">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数据采集需求：通过自安装采集探针方式采集涉及全市政务信创云、政务外网和一体化平台市级节点等区域的云主机、网络安全设备、终端、操作系统、常用中间件及数据库等运维监控指标数据，支持数据上报，通过数据加密等方式保证数据采集、传输过程中的数据安全。</w:t>
      </w:r>
    </w:p>
    <w:p w14:paraId="2234868F">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（3）资产管理需求：将全市政务信创云、政务外网和一体化平台市级节点所涉及的网络安全设备、服务器、业务系统、业务接口、应用软件进行分类管理，自动生成关系拓扑图，并支持手动修改。</w:t>
      </w:r>
    </w:p>
    <w:p w14:paraId="6050DE89">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（4）全栈监控需求：实现对全市政务信创云、政务外网和一体化平台市级节点基础设施、应用性能的监控。</w:t>
      </w:r>
    </w:p>
    <w:p w14:paraId="27A1892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（5）统一告警需求：对各种监控告警信息和数据指标进行统一的接入与处理，实现全链路监控告警分析，支持用户通过拓扑图查看告警情况。</w:t>
      </w:r>
    </w:p>
    <w:p w14:paraId="6A5ADD51">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（6）运维处置需求：通过闭环工单进行流程管控，支持发布、变更、事件、配置、问题、账号申请等标准流程管理，同时支持用户自定义编排跨部门的处置流程。</w:t>
      </w:r>
    </w:p>
    <w:p w14:paraId="1A70A49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（7）系统迭代需求：根据省平台的建设规划，在合同的周期内对平台免费升级迭代。</w:t>
      </w:r>
    </w:p>
    <w:p w14:paraId="54695EC1">
      <w:pPr>
        <w:pStyle w:val="9"/>
        <w:widowControl/>
        <w:numPr>
          <w:ilvl w:val="1"/>
          <w:numId w:val="0"/>
        </w:numPr>
        <w:ind w:left="0" w:leftChars="0" w:firstLine="0" w:firstLineChars="0"/>
        <w:outlineLvl w:val="3"/>
        <w:rPr>
          <w:rFonts w:hint="default"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2.2.功能需求</w:t>
      </w:r>
    </w:p>
    <w:p w14:paraId="6AC154F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依托省一体化数据基础平台滁州市级节点，建设滁州市一体化运维平台，通过对运维数据进行采集分析处理，将全市政务信创云、政务外网和一体化平台市级节点所涉及的网络安全设备、服务器、业务系统、业务接口、应用软件的资源信息、性能信息、告警事件、协同运维信息、运维节点信息等采集、汇聚，上传到省级一体化运维平台。具体功能需求如下（包含但不限于）：</w:t>
      </w:r>
    </w:p>
    <w:p w14:paraId="6C1C2586">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（1）运维数据采集需求</w:t>
      </w:r>
    </w:p>
    <w:p w14:paraId="10D99F14">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通过自安装采集探针方式采集涉及全市政务信创云、政务外网和一体化平台市级节点等区域的云主机、网络安全设备、终端、操作系统、常用中间件及数据库等运维监控指标数据。</w:t>
      </w:r>
    </w:p>
    <w:p w14:paraId="0362B003">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资产管理需求</w:t>
      </w:r>
    </w:p>
    <w:p w14:paraId="357A8C29">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实现各类资产分类管理，自动生成关系拓扑图，并支持手动修改。</w:t>
      </w:r>
    </w:p>
    <w:p w14:paraId="432326B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（3）全栈监控需求</w:t>
      </w:r>
    </w:p>
    <w:p w14:paraId="4B02A9CD">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实现对资产数据的统一监控管理，对CPU使用率、内存使用率、网络吞吐、端口状态等资源，进行统一监控。</w:t>
      </w:r>
    </w:p>
    <w:p w14:paraId="53552479">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（4）统一告警需求</w:t>
      </w:r>
    </w:p>
    <w:p w14:paraId="088A21F0">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实现告警全生命周期的集中监控、集中管理协调处理。</w:t>
      </w:r>
    </w:p>
    <w:p w14:paraId="45CCB063">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（5）运维管理需求</w:t>
      </w:r>
    </w:p>
    <w:p w14:paraId="39A743A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复用滁州市安全运营（监测）平台协同处置模块，支持发布、变更、事件、配置、问题、账号申请等标准流程管理，同时支持用户自定义编排跨部门的处置流程，实现工单闭环处置。</w:t>
      </w:r>
    </w:p>
    <w:p w14:paraId="63D8193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（6）运维数据分析需求</w:t>
      </w:r>
    </w:p>
    <w:p w14:paraId="6C7B973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支持以图形等方式展示监控对象，支持图像展示监控对象状态，并支持业务拓扑图可视化逐层钻取；支持实时动态展示监控日志信息；支持分析报告导出。</w:t>
      </w:r>
    </w:p>
    <w:p w14:paraId="6459F71E">
      <w:pPr>
        <w:pStyle w:val="9"/>
        <w:widowControl/>
        <w:numPr>
          <w:ilvl w:val="1"/>
          <w:numId w:val="0"/>
        </w:numPr>
        <w:ind w:left="0" w:leftChars="0" w:firstLine="0" w:firstLineChars="0"/>
        <w:outlineLvl w:val="3"/>
        <w:rPr>
          <w:rFonts w:hint="default"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2.3.数据需求</w:t>
      </w:r>
    </w:p>
    <w:p w14:paraId="1389E50D">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本项目通过主动采集、外部对接等方式获取到9类运维数据（详见下表）后，通过省运维平台的标准API接口将数据传输到省平台。</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6"/>
        <w:gridCol w:w="1770"/>
        <w:gridCol w:w="1962"/>
        <w:gridCol w:w="3994"/>
      </w:tblGrid>
      <w:tr w14:paraId="60AE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BDBDBD"/>
            <w:vAlign w:val="center"/>
          </w:tcPr>
          <w:p w14:paraId="3BD61B9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bookmarkStart w:id="52" w:name="RANGE!A1"/>
            <w:r>
              <w:rPr>
                <w:rFonts w:hint="eastAsia" w:asciiTheme="minorEastAsia" w:hAnsiTheme="minorEastAsia" w:eastAsiaTheme="minorEastAsia" w:cstheme="minorEastAsia"/>
                <w:color w:val="auto"/>
                <w:kern w:val="2"/>
                <w:sz w:val="21"/>
                <w:szCs w:val="21"/>
                <w:highlight w:val="none"/>
                <w:lang w:val="en-US" w:eastAsia="zh-CN" w:bidi="ar"/>
              </w:rPr>
              <w:t>序号</w:t>
            </w:r>
            <w:bookmarkEnd w:id="52"/>
          </w:p>
        </w:tc>
        <w:tc>
          <w:tcPr>
            <w:tcW w:w="1038" w:type="pct"/>
            <w:tcBorders>
              <w:top w:val="single" w:color="auto" w:sz="4" w:space="0"/>
              <w:left w:val="single" w:color="auto" w:sz="4" w:space="0"/>
              <w:bottom w:val="single" w:color="auto" w:sz="4" w:space="0"/>
              <w:right w:val="single" w:color="auto" w:sz="4" w:space="0"/>
            </w:tcBorders>
            <w:shd w:val="clear" w:color="auto" w:fill="BDBDBD"/>
            <w:vAlign w:val="center"/>
          </w:tcPr>
          <w:p w14:paraId="713FD60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9类运维数据</w:t>
            </w:r>
          </w:p>
        </w:tc>
        <w:tc>
          <w:tcPr>
            <w:tcW w:w="1151" w:type="pct"/>
            <w:tcBorders>
              <w:top w:val="single" w:color="auto" w:sz="4" w:space="0"/>
              <w:left w:val="single" w:color="auto" w:sz="4" w:space="0"/>
              <w:bottom w:val="single" w:color="auto" w:sz="4" w:space="0"/>
              <w:right w:val="single" w:color="auto" w:sz="4" w:space="0"/>
            </w:tcBorders>
            <w:shd w:val="clear" w:color="auto" w:fill="BDBDBD"/>
            <w:vAlign w:val="center"/>
          </w:tcPr>
          <w:p w14:paraId="122E485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数据项目</w:t>
            </w:r>
          </w:p>
        </w:tc>
        <w:tc>
          <w:tcPr>
            <w:tcW w:w="2343" w:type="pct"/>
            <w:tcBorders>
              <w:top w:val="single" w:color="auto" w:sz="4" w:space="0"/>
              <w:left w:val="single" w:color="auto" w:sz="4" w:space="0"/>
              <w:bottom w:val="single" w:color="auto" w:sz="4" w:space="0"/>
              <w:right w:val="single" w:color="auto" w:sz="4" w:space="0"/>
            </w:tcBorders>
            <w:shd w:val="clear" w:color="auto" w:fill="BDBDBD"/>
            <w:vAlign w:val="center"/>
          </w:tcPr>
          <w:p w14:paraId="0121729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数据说明</w:t>
            </w:r>
          </w:p>
        </w:tc>
      </w:tr>
      <w:tr w14:paraId="50B3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596936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6518216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网络安全设备数据</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05F8DCA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网络安全设备（静态）</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581E50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设备ID</w:t>
            </w:r>
          </w:p>
        </w:tc>
      </w:tr>
      <w:tr w14:paraId="05CD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EF7BDB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426CC7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AE903D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21A50D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设备名称</w:t>
            </w:r>
          </w:p>
        </w:tc>
      </w:tr>
      <w:tr w14:paraId="51E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C4A803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8BD9FB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D3C6B5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AF6693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机房位置</w:t>
            </w:r>
          </w:p>
        </w:tc>
      </w:tr>
      <w:tr w14:paraId="7C5D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473A9A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E8279F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509032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96E267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设备类型</w:t>
            </w:r>
          </w:p>
        </w:tc>
      </w:tr>
      <w:tr w14:paraId="0ABA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A58969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224339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723243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B9DF3A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设备详细信息</w:t>
            </w:r>
          </w:p>
        </w:tc>
      </w:tr>
      <w:tr w14:paraId="2C6E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E45B16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5A8847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8FBB75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7DD767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子网掩码</w:t>
            </w:r>
          </w:p>
        </w:tc>
      </w:tr>
      <w:tr w14:paraId="5214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A7C2E1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C56A8A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C878B5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F7F0C6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固件版本</w:t>
            </w:r>
          </w:p>
        </w:tc>
      </w:tr>
      <w:tr w14:paraId="5280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4BB896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BC1E3B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90C067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210EF4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软件版本</w:t>
            </w:r>
          </w:p>
        </w:tc>
      </w:tr>
      <w:tr w14:paraId="10F4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38981D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831352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F77C02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FB44B1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品牌型号</w:t>
            </w:r>
          </w:p>
        </w:tc>
      </w:tr>
      <w:tr w14:paraId="576C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EF8571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2956AD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70F7D1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270407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设备序列号</w:t>
            </w:r>
          </w:p>
        </w:tc>
      </w:tr>
      <w:tr w14:paraId="2527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C3A008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529595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D411BB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580DCD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端口数量（可选）</w:t>
            </w:r>
          </w:p>
        </w:tc>
      </w:tr>
      <w:tr w14:paraId="47A1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9BB244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F501D6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BE1498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4D8684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网关</w:t>
            </w:r>
          </w:p>
        </w:tc>
      </w:tr>
      <w:tr w14:paraId="1627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35D78F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B5E557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3F151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696CFB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投运日期</w:t>
            </w:r>
          </w:p>
        </w:tc>
      </w:tr>
      <w:tr w14:paraId="790F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40B0EE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615630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8A12E5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F76ABD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维保开始日期</w:t>
            </w:r>
          </w:p>
        </w:tc>
      </w:tr>
      <w:tr w14:paraId="29C6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F8D469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94E60E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8868FF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DCEAC8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维保过期日期</w:t>
            </w:r>
          </w:p>
        </w:tc>
      </w:tr>
      <w:tr w14:paraId="5578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E2D46C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6D8974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8188EB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11185C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维保厂商</w:t>
            </w:r>
          </w:p>
        </w:tc>
      </w:tr>
      <w:tr w14:paraId="1061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F53BA7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21BA18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2160AD2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网络设备（性能）</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2C66DF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维保厂商电话</w:t>
            </w:r>
          </w:p>
        </w:tc>
      </w:tr>
      <w:tr w14:paraId="705A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109EA8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DBEF4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E5F4EF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E194EA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设备ID</w:t>
            </w:r>
          </w:p>
        </w:tc>
      </w:tr>
      <w:tr w14:paraId="37FD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531D4C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4A4937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D48D4E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41C4406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上行流量</w:t>
            </w:r>
          </w:p>
        </w:tc>
      </w:tr>
      <w:tr w14:paraId="1566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FC7914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0691E5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67D658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B8639D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下行流量</w:t>
            </w:r>
          </w:p>
        </w:tc>
      </w:tr>
      <w:tr w14:paraId="4C98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8A69B8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219214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C088E8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C86D19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端口</w:t>
            </w:r>
          </w:p>
        </w:tc>
      </w:tr>
      <w:tr w14:paraId="1A1F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B4A507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DAFFA8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ACAE7E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A399D7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丢包率</w:t>
            </w:r>
          </w:p>
        </w:tc>
      </w:tr>
      <w:tr w14:paraId="4469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0CFC86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6DD1CC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8FA919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68FE51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错误率</w:t>
            </w:r>
          </w:p>
        </w:tc>
      </w:tr>
      <w:tr w14:paraId="2013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2A37A8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3B6748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EC186A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1F6A98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运行时长</w:t>
            </w:r>
          </w:p>
        </w:tc>
      </w:tr>
      <w:tr w14:paraId="1E3A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A61462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1C87E1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88C953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F25C20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开始采集时间</w:t>
            </w:r>
          </w:p>
        </w:tc>
      </w:tr>
      <w:tr w14:paraId="2CD6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AE2D2B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8D62B9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4E50E2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6A78BB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结束采集时间</w:t>
            </w:r>
          </w:p>
        </w:tc>
      </w:tr>
      <w:tr w14:paraId="42F8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BAF1F3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27</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4049C60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服务器数据</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6E0DC67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服务器（静态）</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95C200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服务器标识</w:t>
            </w:r>
          </w:p>
        </w:tc>
      </w:tr>
      <w:tr w14:paraId="5B7E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F02EC4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BFDB5F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58E121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26CB05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操作系统</w:t>
            </w:r>
          </w:p>
        </w:tc>
      </w:tr>
      <w:tr w14:paraId="69DD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9B4930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29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DFD97D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5435AA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649B01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版本</w:t>
            </w:r>
          </w:p>
        </w:tc>
      </w:tr>
      <w:tr w14:paraId="575F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0C9DA8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F55260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277473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75A249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机房位置</w:t>
            </w:r>
          </w:p>
        </w:tc>
      </w:tr>
      <w:tr w14:paraId="0D0B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870F29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1E262C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55567B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932B60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CPU架构</w:t>
            </w:r>
          </w:p>
        </w:tc>
      </w:tr>
      <w:tr w14:paraId="7103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0EE231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CA5605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F28453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CEA01B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CPU型号信息</w:t>
            </w:r>
          </w:p>
        </w:tc>
      </w:tr>
      <w:tr w14:paraId="0983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DA88BD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67A9E4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74837A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EBAEAD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CPU逻辑核心数</w:t>
            </w:r>
          </w:p>
        </w:tc>
      </w:tr>
      <w:tr w14:paraId="1BF1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8F0C49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029658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5B13DE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AF6D64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操作系统版本</w:t>
            </w:r>
          </w:p>
        </w:tc>
      </w:tr>
      <w:tr w14:paraId="6022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B2B8A9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93F70B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6A2172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A3A39C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主机名</w:t>
            </w:r>
          </w:p>
        </w:tc>
      </w:tr>
      <w:tr w14:paraId="377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E2841E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3601B1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ABCF15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7F3E64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上线时间</w:t>
            </w:r>
          </w:p>
        </w:tc>
      </w:tr>
      <w:tr w14:paraId="56FC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E2F6B6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708FB5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5D5327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DC8950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系统运行时间</w:t>
            </w:r>
          </w:p>
        </w:tc>
      </w:tr>
      <w:tr w14:paraId="590B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4B9D64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A87260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813CFC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9514F4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系统最大句柄数</w:t>
            </w:r>
          </w:p>
        </w:tc>
      </w:tr>
      <w:tr w14:paraId="29B6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4221A1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39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D0B591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F1F2B9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BB6625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总物理内存</w:t>
            </w:r>
          </w:p>
        </w:tc>
      </w:tr>
      <w:tr w14:paraId="1CD2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F0908E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DA2990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8864A7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AFD942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磁盘总容量</w:t>
            </w:r>
          </w:p>
        </w:tc>
      </w:tr>
      <w:tr w14:paraId="3260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05680E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41</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20F617F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业务系统数据</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3CC4436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业务系统（静态）</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856F59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系统标识</w:t>
            </w:r>
          </w:p>
        </w:tc>
      </w:tr>
      <w:tr w14:paraId="7481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D10834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192017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577D57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D6F5C4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系统名称</w:t>
            </w:r>
          </w:p>
        </w:tc>
      </w:tr>
      <w:tr w14:paraId="69D4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8E8C99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FBAA67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B66F4F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29E1BB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系统类型</w:t>
            </w:r>
          </w:p>
        </w:tc>
      </w:tr>
      <w:tr w14:paraId="217E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0FD34A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5ECC9F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11E8ED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88B4D0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建设单位</w:t>
            </w:r>
          </w:p>
        </w:tc>
      </w:tr>
      <w:tr w14:paraId="28EA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BF4B8C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2F957B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F78950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4F096B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承建单位</w:t>
            </w:r>
          </w:p>
        </w:tc>
      </w:tr>
      <w:tr w14:paraId="6D5E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6B4281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67CB47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1EFF5F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E10C7F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创建时间</w:t>
            </w:r>
          </w:p>
        </w:tc>
      </w:tr>
      <w:tr w14:paraId="33D6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99767F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98F73C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3180B4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EE8933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更新时间</w:t>
            </w:r>
          </w:p>
        </w:tc>
      </w:tr>
      <w:tr w14:paraId="368E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A11BA1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F45B34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DF8080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957E54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运行状态</w:t>
            </w:r>
          </w:p>
        </w:tc>
      </w:tr>
      <w:tr w14:paraId="1AC4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296C64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49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8B1967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E4C208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E80007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运行时间</w:t>
            </w:r>
          </w:p>
        </w:tc>
      </w:tr>
      <w:tr w14:paraId="68F9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DACD88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3A7D55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621945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5471CD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所属项目名称</w:t>
            </w:r>
          </w:p>
        </w:tc>
      </w:tr>
      <w:tr w14:paraId="2ADB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8E5D57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DCA8F8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82C082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7B6D53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建设单位负责人</w:t>
            </w:r>
          </w:p>
        </w:tc>
      </w:tr>
      <w:tr w14:paraId="55AC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8D5650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EB45E2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E01BD4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EFD0E4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建设单位负责人联系方式</w:t>
            </w:r>
          </w:p>
        </w:tc>
      </w:tr>
      <w:tr w14:paraId="653C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7F684C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F6592B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DF28EB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30F697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承建单位负责人</w:t>
            </w:r>
          </w:p>
        </w:tc>
      </w:tr>
      <w:tr w14:paraId="3CC2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B7E017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569E2C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DBDE8C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5B202F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承建单位负责人联系方式</w:t>
            </w:r>
          </w:p>
        </w:tc>
      </w:tr>
      <w:tr w14:paraId="70D1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11E6B0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292043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6AAA84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8EB943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系统说明</w:t>
            </w:r>
          </w:p>
        </w:tc>
      </w:tr>
      <w:tr w14:paraId="73C0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82D03A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7157E9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2F2B3B6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业务系统（横向调用链路）</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441AD41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系统标识</w:t>
            </w:r>
          </w:p>
        </w:tc>
      </w:tr>
      <w:tr w14:paraId="76E1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3DBFD3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863E14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F47382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496E311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被调用方名称（当前节点名称）</w:t>
            </w:r>
          </w:p>
        </w:tc>
      </w:tr>
      <w:tr w14:paraId="2315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2ADF23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90062E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33144F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23A154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被调用方主机（当前节点主机）</w:t>
            </w:r>
          </w:p>
        </w:tc>
      </w:tr>
      <w:tr w14:paraId="55F4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03A812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59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5C58E7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8C1816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57D182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被调用方端口（当前节点端口）</w:t>
            </w:r>
          </w:p>
        </w:tc>
      </w:tr>
      <w:tr w14:paraId="22C6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470320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8E806C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681CED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F4CD21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调用方名称</w:t>
            </w:r>
          </w:p>
        </w:tc>
      </w:tr>
      <w:tr w14:paraId="13A4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B487FD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F12DB7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E5AC58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B366DE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调用方主机</w:t>
            </w:r>
          </w:p>
        </w:tc>
      </w:tr>
      <w:tr w14:paraId="7DD6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57D199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C4077D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F69559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D5C7F9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调用方端口</w:t>
            </w:r>
          </w:p>
        </w:tc>
      </w:tr>
      <w:tr w14:paraId="6DBC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275B95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12FB15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525B06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B14DF6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调用次数</w:t>
            </w:r>
          </w:p>
        </w:tc>
      </w:tr>
      <w:tr w14:paraId="6608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9EBD55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B1D8F7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CA70BF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B4DE7B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成功次数</w:t>
            </w:r>
          </w:p>
        </w:tc>
      </w:tr>
      <w:tr w14:paraId="6B76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7F5C2B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C60FCD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1C4094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4E3725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采集时间</w:t>
            </w:r>
          </w:p>
        </w:tc>
      </w:tr>
      <w:tr w14:paraId="24D1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C75844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F1D7E7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2B6DF17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业务系统（纵向调用链路）</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4CFF36E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系统标识</w:t>
            </w:r>
          </w:p>
        </w:tc>
      </w:tr>
      <w:tr w14:paraId="55A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A6A065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C1C36F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DBC6CB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97E507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软件标识</w:t>
            </w:r>
          </w:p>
        </w:tc>
      </w:tr>
      <w:tr w14:paraId="191A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E41145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FA7183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521C0B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8ED301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软件组件列表</w:t>
            </w:r>
          </w:p>
        </w:tc>
      </w:tr>
      <w:tr w14:paraId="741D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F7B593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69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41C1C3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218F13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ADDF8C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容器namaspace（和主机IP二选1）</w:t>
            </w:r>
          </w:p>
        </w:tc>
      </w:tr>
      <w:tr w14:paraId="0DA5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9A2A6D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CF4681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C8F087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9580AF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主机IP（和namaspace二选1）</w:t>
            </w:r>
          </w:p>
        </w:tc>
      </w:tr>
      <w:tr w14:paraId="20CE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C2537D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A99002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CE079B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95F23B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采集时间</w:t>
            </w:r>
          </w:p>
        </w:tc>
      </w:tr>
      <w:tr w14:paraId="3124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A8C2B8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72</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68076EF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业务接口数据</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2ECF55B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业务接口（静态）</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9AD4DD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接口名称</w:t>
            </w:r>
          </w:p>
        </w:tc>
      </w:tr>
      <w:tr w14:paraId="585A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7A0171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3F76F1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EF1400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A22D1C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所属系统</w:t>
            </w:r>
          </w:p>
        </w:tc>
      </w:tr>
      <w:tr w14:paraId="3F56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ECD8BC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F6035C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63C30C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627BB4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接口唯一标识</w:t>
            </w:r>
          </w:p>
        </w:tc>
      </w:tr>
      <w:tr w14:paraId="6868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C7DAF2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5D05B9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6E4609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050705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URL（可选）</w:t>
            </w:r>
          </w:p>
        </w:tc>
      </w:tr>
      <w:tr w14:paraId="681B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9B0AA8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61BC34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79DFF9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2F4EE0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上线时间</w:t>
            </w:r>
          </w:p>
        </w:tc>
      </w:tr>
      <w:tr w14:paraId="5E0A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8BFD61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ED9CCB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66619E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D69A99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状态</w:t>
            </w:r>
          </w:p>
        </w:tc>
      </w:tr>
      <w:tr w14:paraId="6BAF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C919D3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4D9D1D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620F86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EE77AC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版本号</w:t>
            </w:r>
          </w:p>
        </w:tc>
      </w:tr>
      <w:tr w14:paraId="0155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E27B27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79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C2BEC1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0D2AA8B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业务接口（性能）</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3DC274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接口标识</w:t>
            </w:r>
          </w:p>
        </w:tc>
      </w:tr>
      <w:tr w14:paraId="60F6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B8D3EF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D14E38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4580DB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ECE851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访问成功量</w:t>
            </w:r>
          </w:p>
        </w:tc>
      </w:tr>
      <w:tr w14:paraId="789C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013B05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66CF9B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A1C187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66A831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访问失败量</w:t>
            </w:r>
          </w:p>
        </w:tc>
      </w:tr>
      <w:tr w14:paraId="0838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BDE5AE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8A397B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047D9B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4118135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统计开始时间</w:t>
            </w:r>
          </w:p>
        </w:tc>
      </w:tr>
      <w:tr w14:paraId="5543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416A6A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1E3559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BA461F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1B02B2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统计结束时间</w:t>
            </w:r>
          </w:p>
        </w:tc>
      </w:tr>
      <w:tr w14:paraId="3437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A7B729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EEAFE2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6CD331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7B8A36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平均响应时间</w:t>
            </w:r>
          </w:p>
        </w:tc>
      </w:tr>
      <w:tr w14:paraId="5B10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5DEA9D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85</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3B51824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应用软的资源信息</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4D0E1AC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应用软件的资源信息（静态）</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B7B533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软件标识</w:t>
            </w:r>
          </w:p>
        </w:tc>
      </w:tr>
      <w:tr w14:paraId="0E86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E7CFF1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EA7967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2F45F3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E7075D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系统标识</w:t>
            </w:r>
          </w:p>
        </w:tc>
      </w:tr>
      <w:tr w14:paraId="12CC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5C7166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6B9B50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BA6A1E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DA4438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软件名称</w:t>
            </w:r>
          </w:p>
        </w:tc>
      </w:tr>
      <w:tr w14:paraId="5759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DB476E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9B86B3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3A9B94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02366B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主机IP</w:t>
            </w:r>
          </w:p>
        </w:tc>
      </w:tr>
      <w:tr w14:paraId="1A87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13C475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89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2575E3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19BE22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6C9815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端口</w:t>
            </w:r>
          </w:p>
        </w:tc>
      </w:tr>
      <w:tr w14:paraId="5DF6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324594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00E58A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4C3A27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7C1310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版本</w:t>
            </w:r>
          </w:p>
        </w:tc>
      </w:tr>
      <w:tr w14:paraId="53BB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B0C7B2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424B32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272FD7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3CBCDD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首次上线时间</w:t>
            </w:r>
          </w:p>
        </w:tc>
      </w:tr>
      <w:tr w14:paraId="67E0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AECAE5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ABA049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E86D7B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A131E5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更新时间</w:t>
            </w:r>
          </w:p>
        </w:tc>
      </w:tr>
      <w:tr w14:paraId="6B62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873387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C9AB41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34ED069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应用软件的资源信息（性能）</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7E5017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软件标识</w:t>
            </w:r>
          </w:p>
        </w:tc>
      </w:tr>
      <w:tr w14:paraId="5C50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67F8A2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81F260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AE0FE6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0150E9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主机IP</w:t>
            </w:r>
          </w:p>
        </w:tc>
      </w:tr>
      <w:tr w14:paraId="72F7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09295E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4E9ED2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A2F84E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A4D781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CPU使用率</w:t>
            </w:r>
          </w:p>
        </w:tc>
      </w:tr>
      <w:tr w14:paraId="0362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49055A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D57DD2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9BC43C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AA0BAF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内存使用量</w:t>
            </w:r>
          </w:p>
        </w:tc>
      </w:tr>
      <w:tr w14:paraId="0B81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CA178C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F37E34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3C5603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C581C9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启动时间</w:t>
            </w:r>
          </w:p>
        </w:tc>
      </w:tr>
      <w:tr w14:paraId="584F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9CC10E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191AE7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0DDB0B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44C93F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运行时长</w:t>
            </w:r>
          </w:p>
        </w:tc>
      </w:tr>
      <w:tr w14:paraId="2E4B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457367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99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38ABDD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651FC1F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699E1F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连接数</w:t>
            </w:r>
          </w:p>
        </w:tc>
      </w:tr>
      <w:tr w14:paraId="30A9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1EF3FD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B0C6D5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F0094A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8E8732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文件句柄（可选）</w:t>
            </w:r>
          </w:p>
        </w:tc>
      </w:tr>
      <w:tr w14:paraId="3849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C08C95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D80309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312AD4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783876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端口是否相应（可选）</w:t>
            </w:r>
          </w:p>
        </w:tc>
      </w:tr>
      <w:tr w14:paraId="5287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ACEEE2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102</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38BB769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性能信息</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390E929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性能信息（服务器）</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B1455F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服务器标识</w:t>
            </w:r>
          </w:p>
        </w:tc>
      </w:tr>
      <w:tr w14:paraId="7D1C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906F82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573851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EA266E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2CB21C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CPU使用率</w:t>
            </w:r>
          </w:p>
        </w:tc>
      </w:tr>
      <w:tr w14:paraId="5BA9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7BEBBA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8834B5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4F7A44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3EA674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内存使用率</w:t>
            </w:r>
          </w:p>
        </w:tc>
      </w:tr>
      <w:tr w14:paraId="3D6A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919020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BC48127">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1F5E89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950975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磁盘信息列表（文件系统、磁盘使用率）</w:t>
            </w:r>
          </w:p>
        </w:tc>
      </w:tr>
      <w:tr w14:paraId="7F50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B029D0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37964C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9D4787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42A74FA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采集时间</w:t>
            </w:r>
          </w:p>
        </w:tc>
      </w:tr>
      <w:tr w14:paraId="6F83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0DDAB2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107</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6DE4619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告警事件数据</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50A53B1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告警事件（分析）</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B525AB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告警类型</w:t>
            </w:r>
          </w:p>
        </w:tc>
      </w:tr>
      <w:tr w14:paraId="2C4C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79387E3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754000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841A30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E9AA51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告警级别</w:t>
            </w:r>
          </w:p>
        </w:tc>
      </w:tr>
      <w:tr w14:paraId="67FC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81AC95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109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809271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8C2C5E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4E08EC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统计周期</w:t>
            </w:r>
          </w:p>
        </w:tc>
      </w:tr>
      <w:tr w14:paraId="0990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C9095B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C0DDD5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CC1A2E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22F0AB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告警次数</w:t>
            </w:r>
          </w:p>
        </w:tc>
      </w:tr>
      <w:tr w14:paraId="54DE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8D8422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E9AD5C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79AF6B2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7D7DF5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处理总时长</w:t>
            </w:r>
          </w:p>
        </w:tc>
      </w:tr>
      <w:tr w14:paraId="3322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1397E5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57E3BC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66B3194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告警事件（联动告警）</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7708E3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告警ID</w:t>
            </w:r>
          </w:p>
        </w:tc>
      </w:tr>
      <w:tr w14:paraId="0611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1D90DC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FC338E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6CD34E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32B3F2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告警类型</w:t>
            </w:r>
          </w:p>
        </w:tc>
      </w:tr>
      <w:tr w14:paraId="7B05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23E0C1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24A4A7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A219D7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D7DEEEB">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告警时间</w:t>
            </w:r>
          </w:p>
        </w:tc>
      </w:tr>
      <w:tr w14:paraId="56BA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49AAB62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EB2BA0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A7E29F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FF2006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告警对象</w:t>
            </w:r>
          </w:p>
        </w:tc>
      </w:tr>
      <w:tr w14:paraId="6B98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0F6CD9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1CD271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C512A4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06B990F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告警描述</w:t>
            </w:r>
          </w:p>
        </w:tc>
      </w:tr>
      <w:tr w14:paraId="26B2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A9118D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6E3937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51B16A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4F72B4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接收人</w:t>
            </w:r>
          </w:p>
        </w:tc>
      </w:tr>
      <w:tr w14:paraId="7084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187084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118</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607D49A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协同运维信息</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3B0F53F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协同运维信息</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C55F06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工单ID</w:t>
            </w:r>
          </w:p>
        </w:tc>
      </w:tr>
      <w:tr w14:paraId="50D5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1B6A022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119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E3191B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93EC6D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091971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工单类型</w:t>
            </w:r>
          </w:p>
        </w:tc>
      </w:tr>
      <w:tr w14:paraId="5248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7EF426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2D12589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695BBF8">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749267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创建时间</w:t>
            </w:r>
          </w:p>
        </w:tc>
      </w:tr>
      <w:tr w14:paraId="3337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FC6D25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A4E8B8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E8F521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8E3FF0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接收人</w:t>
            </w:r>
          </w:p>
        </w:tc>
      </w:tr>
      <w:tr w14:paraId="4716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57D0C9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4BF95A8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A13570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D5C029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工单描述</w:t>
            </w:r>
          </w:p>
        </w:tc>
      </w:tr>
      <w:tr w14:paraId="1AFC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41E248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093A327E">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9E9EA1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1A220B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参与组织</w:t>
            </w:r>
          </w:p>
        </w:tc>
      </w:tr>
      <w:tr w14:paraId="595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CCAA56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F658CE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DBC95F0">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E52321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参与人</w:t>
            </w:r>
          </w:p>
        </w:tc>
      </w:tr>
      <w:tr w14:paraId="48BF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361A4E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125</w:t>
            </w:r>
          </w:p>
        </w:tc>
        <w:tc>
          <w:tcPr>
            <w:tcW w:w="1038" w:type="pct"/>
            <w:vMerge w:val="restart"/>
            <w:tcBorders>
              <w:top w:val="nil"/>
              <w:left w:val="single" w:color="auto" w:sz="4" w:space="0"/>
              <w:bottom w:val="single" w:color="auto" w:sz="4" w:space="0"/>
              <w:right w:val="single" w:color="auto" w:sz="4" w:space="0"/>
            </w:tcBorders>
            <w:shd w:val="clear" w:color="auto" w:fill="auto"/>
            <w:vAlign w:val="center"/>
          </w:tcPr>
          <w:p w14:paraId="4E7E830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运维节点信息</w:t>
            </w: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7FD09AC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运维节点信息</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4D0CAC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节点标识</w:t>
            </w:r>
          </w:p>
        </w:tc>
      </w:tr>
      <w:tr w14:paraId="5541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35F064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126</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0AA758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8E8F7A1">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E2C971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单位名称</w:t>
            </w:r>
          </w:p>
        </w:tc>
      </w:tr>
      <w:tr w14:paraId="5ADD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FC6705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127</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CE3F48D">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3EF1058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DA297D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运维模式</w:t>
            </w:r>
          </w:p>
        </w:tc>
      </w:tr>
      <w:tr w14:paraId="5C61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E557FB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128</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9AA193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8999A3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1CE2464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负责人</w:t>
            </w:r>
          </w:p>
        </w:tc>
      </w:tr>
      <w:tr w14:paraId="3DEA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AB0B1A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129</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14FA86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restart"/>
            <w:tcBorders>
              <w:top w:val="nil"/>
              <w:left w:val="single" w:color="auto" w:sz="4" w:space="0"/>
              <w:bottom w:val="single" w:color="auto" w:sz="4" w:space="0"/>
              <w:right w:val="single" w:color="auto" w:sz="4" w:space="0"/>
            </w:tcBorders>
            <w:shd w:val="clear" w:color="auto" w:fill="auto"/>
            <w:vAlign w:val="center"/>
          </w:tcPr>
          <w:p w14:paraId="4DA9C4F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运维节点信息</w:t>
            </w: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5E505B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人员ID</w:t>
            </w:r>
          </w:p>
        </w:tc>
      </w:tr>
      <w:tr w14:paraId="37AA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6A8D104F">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130</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1F99919">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019B391A">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32A3EE1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节点标识</w:t>
            </w:r>
          </w:p>
        </w:tc>
      </w:tr>
      <w:tr w14:paraId="7C54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32391CF8">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131</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518B9C6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5B537B82">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2E0B6B2">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人员名称</w:t>
            </w:r>
          </w:p>
        </w:tc>
      </w:tr>
      <w:tr w14:paraId="4297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A7C1C5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132</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3659230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1FED0A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6BF0571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是否现场</w:t>
            </w:r>
          </w:p>
        </w:tc>
      </w:tr>
      <w:tr w14:paraId="1AD1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04A1B6C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133</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6AE6985C">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47C3B8A6">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7901E9A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联系方式</w:t>
            </w:r>
          </w:p>
        </w:tc>
      </w:tr>
      <w:tr w14:paraId="5F45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2D822BA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134</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7378A655">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210E8F93">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223B4C6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工作范围</w:t>
            </w:r>
          </w:p>
        </w:tc>
      </w:tr>
      <w:tr w14:paraId="03C3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14:paraId="5134E5AE">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135</w:t>
            </w:r>
          </w:p>
        </w:tc>
        <w:tc>
          <w:tcPr>
            <w:tcW w:w="1038" w:type="pct"/>
            <w:vMerge w:val="continue"/>
            <w:tcBorders>
              <w:top w:val="nil"/>
              <w:left w:val="single" w:color="auto" w:sz="4" w:space="0"/>
              <w:bottom w:val="single" w:color="auto" w:sz="4" w:space="0"/>
              <w:right w:val="single" w:color="auto" w:sz="4" w:space="0"/>
            </w:tcBorders>
            <w:shd w:val="clear" w:color="auto" w:fill="auto"/>
            <w:vAlign w:val="center"/>
          </w:tcPr>
          <w:p w14:paraId="14B48EA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1151" w:type="pct"/>
            <w:vMerge w:val="continue"/>
            <w:tcBorders>
              <w:top w:val="nil"/>
              <w:left w:val="single" w:color="auto" w:sz="4" w:space="0"/>
              <w:bottom w:val="single" w:color="auto" w:sz="4" w:space="0"/>
              <w:right w:val="single" w:color="auto" w:sz="4" w:space="0"/>
            </w:tcBorders>
            <w:shd w:val="clear" w:color="auto" w:fill="auto"/>
            <w:vAlign w:val="center"/>
          </w:tcPr>
          <w:p w14:paraId="1B6C38C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21"/>
                <w:szCs w:val="21"/>
                <w:highlight w:val="none"/>
              </w:rPr>
            </w:pPr>
          </w:p>
        </w:tc>
        <w:tc>
          <w:tcPr>
            <w:tcW w:w="2343" w:type="pct"/>
            <w:tcBorders>
              <w:top w:val="single" w:color="auto" w:sz="4" w:space="0"/>
              <w:left w:val="single" w:color="auto" w:sz="4" w:space="0"/>
              <w:bottom w:val="single" w:color="auto" w:sz="4" w:space="0"/>
              <w:right w:val="single" w:color="auto" w:sz="4" w:space="0"/>
            </w:tcBorders>
            <w:shd w:val="clear" w:color="auto" w:fill="auto"/>
            <w:vAlign w:val="center"/>
          </w:tcPr>
          <w:p w14:paraId="5AC10AC6">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
              </w:rPr>
              <w:t>负责人</w:t>
            </w:r>
          </w:p>
        </w:tc>
      </w:tr>
    </w:tbl>
    <w:p w14:paraId="624258BE">
      <w:pPr>
        <w:pStyle w:val="9"/>
        <w:widowControl/>
        <w:numPr>
          <w:ilvl w:val="1"/>
          <w:numId w:val="0"/>
        </w:numPr>
        <w:ind w:left="0" w:leftChars="0" w:firstLine="0" w:firstLineChars="0"/>
        <w:outlineLvl w:val="3"/>
        <w:rPr>
          <w:rFonts w:hint="default"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2.4.性能需求</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49"/>
        <w:gridCol w:w="2417"/>
        <w:gridCol w:w="5256"/>
      </w:tblGrid>
      <w:tr w14:paraId="07C0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4" w:hRule="atLeast"/>
          <w:jc w:val="center"/>
        </w:trPr>
        <w:tc>
          <w:tcPr>
            <w:tcW w:w="498" w:type="pct"/>
            <w:tcBorders>
              <w:top w:val="single" w:color="auto" w:sz="4" w:space="0"/>
              <w:left w:val="single" w:color="auto" w:sz="4" w:space="0"/>
              <w:bottom w:val="single" w:color="auto" w:sz="4" w:space="0"/>
              <w:right w:val="single" w:color="auto" w:sz="4" w:space="0"/>
            </w:tcBorders>
            <w:shd w:val="clear" w:color="auto" w:fill="D8D8D8"/>
            <w:vAlign w:val="center"/>
          </w:tcPr>
          <w:p w14:paraId="344B5814">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b/>
                <w:bCs/>
                <w:color w:val="auto"/>
                <w:kern w:val="2"/>
                <w:sz w:val="21"/>
                <w:szCs w:val="21"/>
                <w:highlight w:val="none"/>
                <w:lang w:val="en-US" w:eastAsia="zh-CN" w:bidi="ar"/>
              </w:rPr>
            </w:pPr>
            <w:r>
              <w:rPr>
                <w:rFonts w:hint="eastAsia" w:asciiTheme="minorEastAsia" w:hAnsiTheme="minorEastAsia" w:eastAsiaTheme="minorEastAsia" w:cstheme="minorEastAsia"/>
                <w:b/>
                <w:bCs/>
                <w:color w:val="auto"/>
                <w:kern w:val="2"/>
                <w:sz w:val="21"/>
                <w:szCs w:val="21"/>
                <w:highlight w:val="none"/>
                <w:lang w:val="en-US" w:eastAsia="zh-CN" w:bidi="ar"/>
              </w:rPr>
              <w:t>序号</w:t>
            </w:r>
          </w:p>
        </w:tc>
        <w:tc>
          <w:tcPr>
            <w:tcW w:w="1417" w:type="pct"/>
            <w:tcBorders>
              <w:top w:val="single" w:color="auto" w:sz="4" w:space="0"/>
              <w:left w:val="single" w:color="auto" w:sz="4" w:space="0"/>
              <w:bottom w:val="single" w:color="auto" w:sz="4" w:space="0"/>
              <w:right w:val="single" w:color="auto" w:sz="4" w:space="0"/>
            </w:tcBorders>
            <w:shd w:val="clear" w:color="auto" w:fill="D8D8D8"/>
            <w:vAlign w:val="center"/>
          </w:tcPr>
          <w:p w14:paraId="272B051C">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b/>
                <w:bCs/>
                <w:color w:val="auto"/>
                <w:kern w:val="2"/>
                <w:sz w:val="21"/>
                <w:szCs w:val="21"/>
                <w:highlight w:val="none"/>
                <w:lang w:val="en-US" w:eastAsia="zh-CN" w:bidi="ar"/>
              </w:rPr>
            </w:pPr>
            <w:r>
              <w:rPr>
                <w:rFonts w:hint="eastAsia" w:asciiTheme="minorEastAsia" w:hAnsiTheme="minorEastAsia" w:eastAsiaTheme="minorEastAsia" w:cstheme="minorEastAsia"/>
                <w:b/>
                <w:bCs/>
                <w:color w:val="auto"/>
                <w:kern w:val="2"/>
                <w:sz w:val="21"/>
                <w:szCs w:val="21"/>
                <w:highlight w:val="none"/>
                <w:lang w:val="en-US" w:eastAsia="zh-CN" w:bidi="ar"/>
              </w:rPr>
              <w:t>性能指标</w:t>
            </w:r>
          </w:p>
        </w:tc>
        <w:tc>
          <w:tcPr>
            <w:tcW w:w="3082" w:type="pct"/>
            <w:tcBorders>
              <w:top w:val="single" w:color="auto" w:sz="4" w:space="0"/>
              <w:left w:val="single" w:color="auto" w:sz="4" w:space="0"/>
              <w:bottom w:val="single" w:color="auto" w:sz="4" w:space="0"/>
              <w:right w:val="single" w:color="auto" w:sz="4" w:space="0"/>
            </w:tcBorders>
            <w:shd w:val="clear" w:color="auto" w:fill="D8D8D8"/>
            <w:vAlign w:val="center"/>
          </w:tcPr>
          <w:p w14:paraId="0216A21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b/>
                <w:bCs/>
                <w:color w:val="auto"/>
                <w:kern w:val="2"/>
                <w:sz w:val="21"/>
                <w:szCs w:val="21"/>
                <w:highlight w:val="none"/>
                <w:lang w:val="en-US" w:eastAsia="zh-CN" w:bidi="ar"/>
              </w:rPr>
            </w:pPr>
            <w:r>
              <w:rPr>
                <w:rFonts w:hint="eastAsia" w:asciiTheme="minorEastAsia" w:hAnsiTheme="minorEastAsia" w:eastAsiaTheme="minorEastAsia" w:cstheme="minorEastAsia"/>
                <w:b/>
                <w:bCs/>
                <w:color w:val="auto"/>
                <w:kern w:val="2"/>
                <w:sz w:val="21"/>
                <w:szCs w:val="21"/>
                <w:highlight w:val="none"/>
                <w:lang w:val="en-US" w:eastAsia="zh-CN" w:bidi="ar"/>
              </w:rPr>
              <w:t>性能需求</w:t>
            </w:r>
          </w:p>
        </w:tc>
      </w:tr>
      <w:tr w14:paraId="334D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79FB55F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1</w:t>
            </w:r>
          </w:p>
        </w:tc>
        <w:tc>
          <w:tcPr>
            <w:tcW w:w="1417" w:type="pct"/>
            <w:tcBorders>
              <w:top w:val="single" w:color="auto" w:sz="4" w:space="0"/>
              <w:left w:val="single" w:color="auto" w:sz="4" w:space="0"/>
              <w:bottom w:val="single" w:color="auto" w:sz="4" w:space="0"/>
              <w:right w:val="single" w:color="auto" w:sz="4" w:space="0"/>
            </w:tcBorders>
            <w:shd w:val="clear" w:color="auto" w:fill="auto"/>
            <w:vAlign w:val="center"/>
          </w:tcPr>
          <w:p w14:paraId="19BCB3F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总用户数</w:t>
            </w:r>
          </w:p>
        </w:tc>
        <w:tc>
          <w:tcPr>
            <w:tcW w:w="3082" w:type="pct"/>
            <w:tcBorders>
              <w:top w:val="single" w:color="auto" w:sz="4" w:space="0"/>
              <w:left w:val="single" w:color="auto" w:sz="4" w:space="0"/>
              <w:bottom w:val="single" w:color="auto" w:sz="4" w:space="0"/>
              <w:right w:val="single" w:color="auto" w:sz="4" w:space="0"/>
            </w:tcBorders>
            <w:shd w:val="clear" w:color="auto" w:fill="auto"/>
            <w:vAlign w:val="center"/>
          </w:tcPr>
          <w:p w14:paraId="4F177CC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万级</w:t>
            </w:r>
          </w:p>
        </w:tc>
      </w:tr>
      <w:tr w14:paraId="4E1B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 w:hRule="atLeast"/>
          <w:jc w:val="center"/>
        </w:trPr>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78537589">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2</w:t>
            </w:r>
          </w:p>
        </w:tc>
        <w:tc>
          <w:tcPr>
            <w:tcW w:w="1417" w:type="pct"/>
            <w:tcBorders>
              <w:top w:val="single" w:color="auto" w:sz="4" w:space="0"/>
              <w:left w:val="single" w:color="auto" w:sz="4" w:space="0"/>
              <w:bottom w:val="single" w:color="auto" w:sz="4" w:space="0"/>
              <w:right w:val="single" w:color="auto" w:sz="4" w:space="0"/>
            </w:tcBorders>
            <w:shd w:val="clear" w:color="auto" w:fill="auto"/>
            <w:vAlign w:val="center"/>
          </w:tcPr>
          <w:p w14:paraId="519ACAD5">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平均日活跃用户数</w:t>
            </w:r>
          </w:p>
        </w:tc>
        <w:tc>
          <w:tcPr>
            <w:tcW w:w="3082" w:type="pct"/>
            <w:tcBorders>
              <w:top w:val="single" w:color="auto" w:sz="4" w:space="0"/>
              <w:left w:val="single" w:color="auto" w:sz="4" w:space="0"/>
              <w:bottom w:val="single" w:color="auto" w:sz="4" w:space="0"/>
              <w:right w:val="single" w:color="auto" w:sz="4" w:space="0"/>
            </w:tcBorders>
            <w:shd w:val="clear" w:color="auto" w:fill="auto"/>
            <w:vAlign w:val="center"/>
          </w:tcPr>
          <w:p w14:paraId="491EAC47">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千级</w:t>
            </w:r>
          </w:p>
        </w:tc>
      </w:tr>
      <w:tr w14:paraId="2D12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jc w:val="center"/>
        </w:trPr>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5DED5ED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3</w:t>
            </w:r>
          </w:p>
        </w:tc>
        <w:tc>
          <w:tcPr>
            <w:tcW w:w="1417" w:type="pct"/>
            <w:tcBorders>
              <w:top w:val="single" w:color="auto" w:sz="4" w:space="0"/>
              <w:left w:val="single" w:color="auto" w:sz="4" w:space="0"/>
              <w:bottom w:val="single" w:color="auto" w:sz="4" w:space="0"/>
              <w:right w:val="single" w:color="auto" w:sz="4" w:space="0"/>
            </w:tcBorders>
            <w:shd w:val="clear" w:color="auto" w:fill="auto"/>
            <w:vAlign w:val="center"/>
          </w:tcPr>
          <w:p w14:paraId="535FC38D">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系统使用周期</w:t>
            </w:r>
          </w:p>
        </w:tc>
        <w:tc>
          <w:tcPr>
            <w:tcW w:w="3082" w:type="pct"/>
            <w:tcBorders>
              <w:top w:val="single" w:color="auto" w:sz="4" w:space="0"/>
              <w:left w:val="single" w:color="auto" w:sz="4" w:space="0"/>
              <w:bottom w:val="single" w:color="auto" w:sz="4" w:space="0"/>
              <w:right w:val="single" w:color="auto" w:sz="4" w:space="0"/>
            </w:tcBorders>
            <w:shd w:val="clear" w:color="auto" w:fill="auto"/>
            <w:vAlign w:val="center"/>
          </w:tcPr>
          <w:p w14:paraId="00A91CB0">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7*24小时</w:t>
            </w:r>
          </w:p>
        </w:tc>
      </w:tr>
      <w:tr w14:paraId="3590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67A3480A">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4</w:t>
            </w:r>
          </w:p>
        </w:tc>
        <w:tc>
          <w:tcPr>
            <w:tcW w:w="1417" w:type="pct"/>
            <w:tcBorders>
              <w:top w:val="single" w:color="auto" w:sz="4" w:space="0"/>
              <w:left w:val="single" w:color="auto" w:sz="4" w:space="0"/>
              <w:bottom w:val="single" w:color="auto" w:sz="4" w:space="0"/>
              <w:right w:val="single" w:color="auto" w:sz="4" w:space="0"/>
            </w:tcBorders>
            <w:shd w:val="clear" w:color="auto" w:fill="auto"/>
            <w:vAlign w:val="center"/>
          </w:tcPr>
          <w:p w14:paraId="7DEF00D3">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系统使用频率</w:t>
            </w:r>
          </w:p>
        </w:tc>
        <w:tc>
          <w:tcPr>
            <w:tcW w:w="3082" w:type="pct"/>
            <w:tcBorders>
              <w:top w:val="single" w:color="auto" w:sz="4" w:space="0"/>
              <w:left w:val="single" w:color="auto" w:sz="4" w:space="0"/>
              <w:bottom w:val="single" w:color="auto" w:sz="4" w:space="0"/>
              <w:right w:val="single" w:color="auto" w:sz="4" w:space="0"/>
            </w:tcBorders>
            <w:shd w:val="clear" w:color="auto" w:fill="auto"/>
            <w:vAlign w:val="center"/>
          </w:tcPr>
          <w:p w14:paraId="248EA9F1">
            <w:pPr>
              <w:keepNext w:val="0"/>
              <w:keepLines w:val="0"/>
              <w:widowControl w:val="0"/>
              <w:suppressLineNumbers w:val="0"/>
              <w:autoSpaceDE w:val="0"/>
              <w:autoSpaceDN/>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
              </w:rPr>
            </w:pPr>
            <w:r>
              <w:rPr>
                <w:rFonts w:hint="eastAsia" w:asciiTheme="minorEastAsia" w:hAnsiTheme="minorEastAsia" w:eastAsiaTheme="minorEastAsia" w:cstheme="minorEastAsia"/>
                <w:color w:val="auto"/>
                <w:kern w:val="2"/>
                <w:sz w:val="21"/>
                <w:szCs w:val="21"/>
                <w:highlight w:val="none"/>
                <w:lang w:val="en-US" w:eastAsia="zh-CN" w:bidi="ar"/>
              </w:rPr>
              <w:t>每天</w:t>
            </w:r>
          </w:p>
        </w:tc>
      </w:tr>
    </w:tbl>
    <w:p w14:paraId="6E2685F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1.系统必须具有高可靠性、高性能、高扩展性和动态负载均衡处理能力。</w:t>
      </w:r>
    </w:p>
    <w:p w14:paraId="5158D86D">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2.吞吐量：在保证系统性能的前提下，系统设计应能满足未来五年的高峰量。</w:t>
      </w:r>
    </w:p>
    <w:p w14:paraId="438D64CD">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3.稳定性：系统保证7×24小时不间断运行；平均故障间隔时间（MTBF）≥1000小时；平均修复时间MTTR≤2小时；可用率≥99.95%。</w:t>
      </w:r>
    </w:p>
    <w:p w14:paraId="416640D5">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4.响应时间：在网络稳定的环境下，系统运行峰值（用户并发数达到最大）时，系统最大响应时间应小于3秒。</w:t>
      </w:r>
    </w:p>
    <w:p w14:paraId="3B0F2D8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5.系统容错性：系统在设计时应充分考虑稳定性和对用户误操作的容错能力，保证在正常情况下，系统能够长时间无故障运行，不轻易因用户误操作宕机，甚至无故宕机。</w:t>
      </w:r>
    </w:p>
    <w:p w14:paraId="5979B15B">
      <w:pPr>
        <w:pStyle w:val="9"/>
        <w:widowControl/>
        <w:numPr>
          <w:ilvl w:val="1"/>
          <w:numId w:val="0"/>
        </w:numPr>
        <w:ind w:left="0" w:leftChars="0" w:firstLine="0" w:firstLineChars="0"/>
        <w:outlineLvl w:val="3"/>
        <w:rPr>
          <w:rFonts w:hint="default"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2.5.安全需求</w:t>
      </w:r>
    </w:p>
    <w:p w14:paraId="0570B88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信息安全等级保护管理办法》规定，国家信息安全等级保护坚持自主定级、自主保护的原则。信息系统的安全保护等级应当根据信息系统在国家安全、经济建设、社会生活中的重要程度，信息系统遭到破坏后对国家安全、社会秩序、公共利益以及公民、法人和其他组织的合法权益的危害程度等因素确定。</w:t>
      </w:r>
    </w:p>
    <w:p w14:paraId="062694E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信息系统的安全保护等级分为以下五级，一至五级等级逐级增高：</w:t>
      </w:r>
    </w:p>
    <w:p w14:paraId="53EFB06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第一级，信息系统受到破坏后，会对公民、法人和其他组织的合法权益造成损害，但不损害国家安全、社会秩序和公共利益。第一级信息系统运营、使用单位应当依据国家有关管理规范和技术标准进行保护。</w:t>
      </w:r>
    </w:p>
    <w:p w14:paraId="41A08C82">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第二级，信息系统受到破坏后，会对公民、法人和其他组织的合法权益产生严重损害，或者对社会秩序和公共利益造成损害，但不损害国家安全。国家信息安全监管部门对该级信息系统安全等级保护工作进行指导。</w:t>
      </w:r>
    </w:p>
    <w:p w14:paraId="6656A7B1">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第三级，信息系统受到破坏后，会对社会秩序和公共利益造成严重损害，或者对国家安全造成损害。国家信息安全监管部门对该级信息系统安全等级保护工作进行监督、检查。</w:t>
      </w:r>
    </w:p>
    <w:p w14:paraId="781F69C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第四级，信息系统受到破坏后，会对社会秩序和公共利益造成特别严重损害，或者对国家安全造成严重损害。国家信息安全监管部门对该级信息系统安全等级保护工作进行强制监督、检查。</w:t>
      </w:r>
    </w:p>
    <w:p w14:paraId="3F92836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第五级，信息系统受到破坏后，会对国家安全造成特别严重损害。国家信息安全监管部门对该级信息系统安全等级保护工作进行专门监督、检查。</w:t>
      </w:r>
    </w:p>
    <w:p w14:paraId="21DF3E11">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经初步分析，根据《信息安全技术网络安全等级保护等级指南》（GB/T22240-2020）的要求，本项目系统需满足信息系统安全保护等级第三级的要求进行建设。</w:t>
      </w:r>
    </w:p>
    <w:p w14:paraId="6CD7BE77">
      <w:pPr>
        <w:pStyle w:val="9"/>
        <w:widowControl/>
        <w:numPr>
          <w:ilvl w:val="1"/>
          <w:numId w:val="0"/>
        </w:numPr>
        <w:ind w:left="0" w:leftChars="0" w:firstLine="0" w:firstLineChars="0"/>
        <w:outlineLvl w:val="3"/>
        <w:rPr>
          <w:rFonts w:hint="default" w:asciiTheme="majorEastAsia" w:hAnsiTheme="majorEastAsia" w:eastAsiaTheme="majorEastAsia" w:cstheme="majorEastAsia"/>
          <w:b/>
          <w:bCs/>
          <w:color w:val="auto"/>
          <w:kern w:val="2"/>
          <w:sz w:val="24"/>
          <w:szCs w:val="24"/>
          <w:highlight w:val="none"/>
          <w:lang w:val="en-US" w:eastAsia="zh-CN" w:bidi="ar-SA"/>
        </w:rPr>
      </w:pPr>
      <w:r>
        <w:rPr>
          <w:rFonts w:hint="eastAsia" w:asciiTheme="majorEastAsia" w:hAnsiTheme="majorEastAsia" w:eastAsiaTheme="majorEastAsia" w:cstheme="majorEastAsia"/>
          <w:b/>
          <w:bCs/>
          <w:color w:val="auto"/>
          <w:kern w:val="2"/>
          <w:sz w:val="24"/>
          <w:szCs w:val="24"/>
          <w:highlight w:val="none"/>
          <w:lang w:val="en-US" w:eastAsia="zh-CN" w:bidi="ar-SA"/>
        </w:rPr>
        <w:t>2.6.其他需求</w:t>
      </w:r>
    </w:p>
    <w:p w14:paraId="2B56CDB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1．扩展性需求</w:t>
      </w:r>
    </w:p>
    <w:p w14:paraId="1598C9B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系统应该采用灵活的架构设计，能够适应未来的发展和变化；网站系统的各个功能模块化，可以使得每个模块都具有独立性，方便扩展和维护。优化数据结构和算法可以减少网站的响应时间和提高性能。</w:t>
      </w:r>
    </w:p>
    <w:p w14:paraId="7B3711D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（1）水平扩展</w:t>
      </w:r>
    </w:p>
    <w:p w14:paraId="70F6A549">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通过增加服务器数量或提高服务器的性能来提高网站系统的处理能力。这种扩展方式可以应对高并发和大规模数据处理的需求。</w:t>
      </w:r>
    </w:p>
    <w:p w14:paraId="2FE9CB46">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（2）垂直扩展</w:t>
      </w:r>
    </w:p>
    <w:p w14:paraId="2BD167A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通过增加服务器内存、硬盘空间或提高服务器的计算能力来提高网站系统的处理能力。这种扩展方式适用于对计算密集型任务的需求。</w:t>
      </w:r>
    </w:p>
    <w:p w14:paraId="7FDF3E8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（3）使用缓存</w:t>
      </w:r>
    </w:p>
    <w:p w14:paraId="5D7270F2">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使用缓存可以减少数据库查询和减少重复计算的时间，从而提高网站系统的性能和响应速度。</w:t>
      </w:r>
    </w:p>
    <w:p w14:paraId="4E9EC313">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（4）使用负载均衡</w:t>
      </w:r>
    </w:p>
    <w:p w14:paraId="3F95E0D0">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使用负载均衡可以将网站系统的各个服务单元分布到不同的服务器上，从而提高网站的并发处理能力和可靠性。</w:t>
      </w:r>
    </w:p>
    <w:p w14:paraId="63DCF59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2.兼容性需求</w:t>
      </w:r>
    </w:p>
    <w:p w14:paraId="2C558440">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浏览器的兼容性确保网站在各种主流浏览器中都能正确显示和运行；移动设备的兼容性，网站需要在各种移动设备（如智能手机、平板电脑）上能够自适应并正常显示；使用响应式设计确保网站能够根据不同屏幕大小和分辨率进行适应性调整，提供一致的用户体验。</w:t>
      </w:r>
    </w:p>
    <w:p w14:paraId="374EF93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使用兼容的HTML5和CSS3等技术：这些技术是现代网站开发的主流标准，使用它们可以减少在不同浏览器和操作系统之间的兼容性问题。</w:t>
      </w:r>
    </w:p>
    <w:p w14:paraId="679C2E2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测试和调试：在网站开发完成后，要进行全面的兼容性测试，确保网站在不同的浏览器、操作系统、移动设备等环境中都能正常显示和运行。</w:t>
      </w:r>
    </w:p>
    <w:p w14:paraId="328F5D4D">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使用跨浏览器和跨设备测试工具：这些工具可以帮助开发者自动化测试过程，检测网站在不同环境下的兼容性。</w:t>
      </w:r>
    </w:p>
    <w:p w14:paraId="34A9CC3A">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3.易用性</w:t>
      </w:r>
    </w:p>
    <w:p w14:paraId="3B1A0D3C">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平台能力、数据能力应具备易用性，功能易理解、易接入、易操作。</w:t>
      </w:r>
    </w:p>
    <w:p w14:paraId="089B46B2">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4.开放性</w:t>
      </w:r>
    </w:p>
    <w:p w14:paraId="0A86CCB6">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平台提供的基本服务能力，做到横向、纵向提供全方位的数据共享服务。</w:t>
      </w:r>
    </w:p>
    <w:p w14:paraId="4499F019">
      <w:pPr>
        <w:numPr>
          <w:ilvl w:val="0"/>
          <w:numId w:val="0"/>
        </w:numPr>
        <w:spacing w:line="480" w:lineRule="exact"/>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3.建设目标</w:t>
      </w:r>
    </w:p>
    <w:p w14:paraId="30E38049">
      <w:pPr>
        <w:pStyle w:val="9"/>
        <w:widowControl/>
        <w:numPr>
          <w:ilvl w:val="2"/>
          <w:numId w:val="0"/>
        </w:numPr>
        <w:ind w:left="0" w:leftChars="0" w:firstLine="0" w:firstLineChars="0"/>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3.1.业务目标</w:t>
      </w:r>
    </w:p>
    <w:p w14:paraId="1163B2E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完善全省一体化数据基础平台滁州市级节点建设，滁州市承接省级能力，根据工作要求，配套建设滁州市一体化运维平台。该平台要实现全栈资源的管理、监控与可视化，管理闭环运维流程，按照运维平台省市对接规范将网络设备、服务器、业务系统、业务接口、应用软件的资源信息、性能信息、告警事件、协同运维信息、运维节点信息等9类运维数据上报至省平台，完成省市互联互通。将平台集成至安徽省一体化数据基础平台门户并发布至皖政通PC端。复用一体化平台政务人员统一认证、区划代码、组织机构，复用滁州市安全运营（监测）平台协同处置模块完成工单闭环处置，相关组件需沉淀上架至一体化平台。</w:t>
      </w:r>
    </w:p>
    <w:p w14:paraId="6817CF4E">
      <w:pPr>
        <w:pStyle w:val="9"/>
        <w:widowControl/>
        <w:numPr>
          <w:ilvl w:val="2"/>
          <w:numId w:val="0"/>
        </w:numPr>
        <w:ind w:left="0" w:leftChars="0" w:firstLine="0" w:firstLineChars="0"/>
        <w:outlineLvl w:val="3"/>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3.2.技术目标</w:t>
      </w:r>
    </w:p>
    <w:p w14:paraId="3B974C88">
      <w:pPr>
        <w:pStyle w:val="10"/>
        <w:widowControl/>
        <w:numPr>
          <w:ilvl w:val="3"/>
          <w:numId w:val="0"/>
        </w:numPr>
        <w:ind w:left="0" w:leftChars="0" w:firstLine="0" w:firstLineChars="0"/>
        <w:outlineLvl w:val="4"/>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3.2.1</w:t>
      </w:r>
      <w:r>
        <w:rPr>
          <w:rFonts w:hint="default"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平台功能目标</w:t>
      </w:r>
    </w:p>
    <w:p w14:paraId="232003A5">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依托省一体化数据基础平台市级节点，构建“数据全量汇聚、资产全域监控、告警全程闭环、运维全流程管理、决策全维度支撑”的智能化运维体系，具体目标如下：</w:t>
      </w:r>
    </w:p>
    <w:p w14:paraId="1026E79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1.数据采集目标</w:t>
      </w:r>
    </w:p>
    <w:p w14:paraId="6BAFB4B7">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全要素接入：实现获取全市政务信创云、政务外网和一体化平台市级节点等区域的网络安全设备、服务器、存储设备、数据库、操作系统、中间件、业务系统、业务接口、应用软件等运维监控指标数据，并纳入平台进行统一监控、统一管理、统一分析，实现监控预警、故障发现、问题定位，完成工单的转派、处置等。</w:t>
      </w:r>
    </w:p>
    <w:p w14:paraId="76AC578D">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省市互联互通：按照运维平台省市对接规范将9类运维数据上报至省平台，完成省市互联互通。</w:t>
      </w:r>
    </w:p>
    <w:p w14:paraId="27065A25">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2.全栈监控与告警目标</w:t>
      </w:r>
    </w:p>
    <w:p w14:paraId="321BDA89">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资产全域可视：建立统一监控面板，对基础设施数据、应用性能数据、日志分析数据、用户体验数据等核心指标实施7×24小时动态监测，支持拓扑图、监控等可视化展示，异常状态秒级预警。</w:t>
      </w:r>
    </w:p>
    <w:p w14:paraId="6C154550">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告警闭环管理：构建“采集-告警-派单-处置-归档”全生命周期管理流程，实现告警事件自动分级、跨部门工单自动流转，闭环处置率≥99%。</w:t>
      </w:r>
    </w:p>
    <w:p w14:paraId="729F3B2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3.数据应用与决策目标</w:t>
      </w:r>
    </w:p>
    <w:p w14:paraId="28EAB290">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可视化分析：提供开发屏中心，为数据可视化开发场景提供丰富的组件和应用模板库，支持监控对象“全局概览-逐层钻取-细节定位”的可视化分析。</w:t>
      </w:r>
    </w:p>
    <w:p w14:paraId="687B438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智能化决策：基于历史数据生成趋势分析报告、风险预警报告、资源优化建议等，为信息化系统运维运营管理等决策提供数据驱动支撑。</w:t>
      </w:r>
    </w:p>
    <w:p w14:paraId="5667EB18">
      <w:pPr>
        <w:pStyle w:val="10"/>
        <w:widowControl/>
        <w:numPr>
          <w:ilvl w:val="3"/>
          <w:numId w:val="0"/>
        </w:numPr>
        <w:ind w:left="0" w:leftChars="0" w:firstLine="0" w:firstLine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w:t>
      </w:r>
      <w:r>
        <w:rPr>
          <w:rFonts w:hint="default" w:ascii="宋体" w:hAnsi="宋体" w:eastAsia="宋体" w:cs="宋体"/>
          <w:b/>
          <w:bCs/>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信息采集和共享目标</w:t>
      </w:r>
    </w:p>
    <w:p w14:paraId="06FA46DA">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全要素接入：实现获取全市政务信创云、政务外网和一体化平台市级节点等区域的网络安全设备、服务器、存储设备、数据库、操作系统、中间件、业务系统、业务接口、应用软件等运维监控指标数据，并纳入平台进行统一监控、统一管理、统一分析，实现监控预警、故障发现、问题定位，完成工单的转派、处置等。</w:t>
      </w:r>
    </w:p>
    <w:p w14:paraId="0E183C8F">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省市互联互通：按照运维平台省市对接规范将9类运维数据上报至省平台，完成省市互联互通。</w:t>
      </w:r>
    </w:p>
    <w:p w14:paraId="7B6AE072">
      <w:pPr>
        <w:pStyle w:val="10"/>
        <w:widowControl/>
        <w:numPr>
          <w:ilvl w:val="3"/>
          <w:numId w:val="0"/>
        </w:numPr>
        <w:ind w:left="0" w:leftChars="0" w:firstLine="0" w:firstLineChars="0"/>
        <w:outlineLvl w:val="4"/>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w:t>
      </w:r>
      <w:r>
        <w:rPr>
          <w:rFonts w:hint="default" w:ascii="宋体" w:hAnsi="宋体" w:eastAsia="宋体" w:cs="宋体"/>
          <w:b/>
          <w:bCs/>
          <w:color w:val="auto"/>
          <w:kern w:val="2"/>
          <w:sz w:val="24"/>
          <w:szCs w:val="24"/>
          <w:highlight w:val="none"/>
          <w:lang w:val="en-US" w:eastAsia="zh-CN" w:bidi="ar-SA"/>
        </w:rPr>
        <w:t>2.3.</w:t>
      </w:r>
      <w:r>
        <w:rPr>
          <w:rFonts w:hint="eastAsia" w:ascii="宋体" w:hAnsi="宋体" w:eastAsia="宋体" w:cs="宋体"/>
          <w:b/>
          <w:bCs/>
          <w:color w:val="auto"/>
          <w:kern w:val="2"/>
          <w:sz w:val="24"/>
          <w:szCs w:val="24"/>
          <w:highlight w:val="none"/>
          <w:lang w:val="en-US" w:eastAsia="zh-CN" w:bidi="ar-SA"/>
        </w:rPr>
        <w:t>硬件性能目标</w:t>
      </w:r>
    </w:p>
    <w:p w14:paraId="6E0B2796">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保障网络、存储、主机等硬件设备具备高性能和可靠性，能够满足平台高并发、大数据量的需求；确保硬件设备与软件系统的兼容性，提高系统的稳定性和可靠性；不断引入新技术、新设备，提升硬件基础设施的水平和能力，支持平台的持续发展和创新。</w:t>
      </w:r>
    </w:p>
    <w:p w14:paraId="491C9BFB">
      <w:pPr>
        <w:pStyle w:val="10"/>
        <w:widowControl/>
        <w:numPr>
          <w:ilvl w:val="3"/>
          <w:numId w:val="0"/>
        </w:numPr>
        <w:ind w:left="0" w:leftChars="0" w:firstLine="0" w:firstLine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w:t>
      </w:r>
      <w:r>
        <w:rPr>
          <w:rFonts w:hint="default" w:ascii="宋体" w:hAnsi="宋体" w:eastAsia="宋体" w:cs="宋体"/>
          <w:b/>
          <w:bCs/>
          <w:color w:val="auto"/>
          <w:kern w:val="2"/>
          <w:sz w:val="24"/>
          <w:szCs w:val="24"/>
          <w:highlight w:val="none"/>
          <w:lang w:val="en-US" w:eastAsia="zh-CN" w:bidi="ar-SA"/>
        </w:rPr>
        <w:t>.4.</w:t>
      </w:r>
      <w:r>
        <w:rPr>
          <w:rFonts w:hint="eastAsia" w:ascii="宋体" w:hAnsi="宋体" w:eastAsia="宋体" w:cs="宋体"/>
          <w:b/>
          <w:bCs/>
          <w:color w:val="auto"/>
          <w:kern w:val="2"/>
          <w:sz w:val="24"/>
          <w:szCs w:val="24"/>
          <w:highlight w:val="none"/>
          <w:lang w:val="en-US" w:eastAsia="zh-CN" w:bidi="ar-SA"/>
        </w:rPr>
        <w:t>系统安全防护目标</w:t>
      </w:r>
    </w:p>
    <w:p w14:paraId="7BBE01A8">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针对系统的安全风险，采取物理、网络、主机、应用、数据备份等多层次的安全保护措施，确保系统的安全性和稳定性；根据系统的安全等级要求，制定相应的安全保护方案和措施，保障系统的安全运行；不断引入新的安全技术和手段，提高系统的安全防护能力，保障系统信息的安全性和完整性。</w:t>
      </w:r>
    </w:p>
    <w:p w14:paraId="3C963AE0">
      <w:pPr>
        <w:pStyle w:val="10"/>
        <w:widowControl/>
        <w:numPr>
          <w:ilvl w:val="3"/>
          <w:numId w:val="0"/>
        </w:numPr>
        <w:ind w:left="0" w:leftChars="0" w:firstLine="0" w:firstLine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w:t>
      </w:r>
      <w:r>
        <w:rPr>
          <w:rFonts w:hint="default" w:ascii="宋体" w:hAnsi="宋体" w:eastAsia="宋体" w:cs="宋体"/>
          <w:b/>
          <w:bCs/>
          <w:color w:val="auto"/>
          <w:kern w:val="2"/>
          <w:sz w:val="24"/>
          <w:szCs w:val="24"/>
          <w:highlight w:val="none"/>
          <w:lang w:val="en-US" w:eastAsia="zh-CN" w:bidi="ar-SA"/>
        </w:rPr>
        <w:t>2.5.</w:t>
      </w:r>
      <w:r>
        <w:rPr>
          <w:rFonts w:hint="eastAsia" w:ascii="宋体" w:hAnsi="宋体" w:eastAsia="宋体" w:cs="宋体"/>
          <w:b/>
          <w:bCs/>
          <w:color w:val="auto"/>
          <w:kern w:val="2"/>
          <w:sz w:val="24"/>
          <w:szCs w:val="24"/>
          <w:highlight w:val="none"/>
          <w:lang w:val="en-US" w:eastAsia="zh-CN" w:bidi="ar-SA"/>
        </w:rPr>
        <w:t>技术保障运维目标</w:t>
      </w:r>
    </w:p>
    <w:p w14:paraId="3EA6A150">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建立健全的运维体系，确保系统的持续稳定运行，及时发现和解决系统问题；提供全面的技术支持，保障业务的顺利开展和用户的正常使用；建立完善的数据备份和恢复机制，保障数据的安全和完整性；制定应急预案和应对措施，应对突发事件和灾难，保障系统的持续可用性和稳定性。</w:t>
      </w:r>
    </w:p>
    <w:p w14:paraId="54689734">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val="0"/>
          <w:color w:val="auto"/>
          <w:kern w:val="2"/>
          <w:sz w:val="24"/>
          <w:szCs w:val="24"/>
          <w:highlight w:val="none"/>
          <w:lang w:val="en-US" w:eastAsia="zh-CN" w:bidi="ar-SA"/>
        </w:rPr>
      </w:pPr>
    </w:p>
    <w:p w14:paraId="65136ED5">
      <w:pPr>
        <w:numPr>
          <w:ilvl w:val="0"/>
          <w:numId w:val="0"/>
        </w:numPr>
        <w:spacing w:line="480" w:lineRule="exact"/>
        <w:ind w:firstLine="482" w:firstLineChars="200"/>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color w:val="auto"/>
          <w:sz w:val="24"/>
          <w:szCs w:val="24"/>
          <w:highlight w:val="none"/>
          <w:lang w:val="en-US" w:eastAsia="zh-CN"/>
        </w:rPr>
        <w:t>建设内容</w:t>
      </w:r>
    </w:p>
    <w:p w14:paraId="5F07DAC4">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本项目依托省一体化数据基础平台进行开发建设，建设内容具体包含如下：</w:t>
      </w:r>
    </w:p>
    <w:p w14:paraId="7C3F8AFE">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r>
        <w:rPr>
          <w:rFonts w:hint="default" w:ascii="宋体" w:hAnsi="宋体" w:eastAsia="宋体" w:cs="宋体"/>
          <w:b w:val="0"/>
          <w:bCs w:val="0"/>
          <w:color w:val="auto"/>
          <w:kern w:val="2"/>
          <w:sz w:val="24"/>
          <w:szCs w:val="24"/>
          <w:highlight w:val="none"/>
          <w:lang w:val="en-US" w:eastAsia="zh-CN" w:bidi="ar-SA"/>
        </w:rPr>
        <w:t>对全市政务信创云、政务外网和一体化平台市级节点所涉及的网络设备、服务器、存储设备、数据库、操作系统、中间件、业务系统、业务接口、应用软件等运维监控指标数据进行采集和对接。</w:t>
      </w:r>
    </w:p>
    <w:p w14:paraId="0E8BF4DB">
      <w:pPr>
        <w:keepNext/>
        <w:keepLines/>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w:t>
      </w:r>
      <w:r>
        <w:rPr>
          <w:rFonts w:hint="default" w:ascii="宋体" w:hAnsi="宋体" w:eastAsia="宋体" w:cs="宋体"/>
          <w:b w:val="0"/>
          <w:bCs w:val="0"/>
          <w:color w:val="auto"/>
          <w:kern w:val="2"/>
          <w:sz w:val="24"/>
          <w:szCs w:val="24"/>
          <w:highlight w:val="none"/>
          <w:lang w:val="en-US" w:eastAsia="zh-CN" w:bidi="ar-SA"/>
        </w:rPr>
        <w:t>按照全省一体化平台建设要求和运维平台省市级联技术规范建设滁州市一体化运维平台，系统主要功能模块包括运维数据采集平台、资产管理子平台、全栈监控子平台、统一告警子平台、运维工作台等。</w:t>
      </w:r>
    </w:p>
    <w:p w14:paraId="0A7A1284">
      <w:pPr>
        <w:pStyle w:val="16"/>
        <w:numPr>
          <w:ilvl w:val="0"/>
          <w:numId w:val="0"/>
        </w:numPr>
        <w:rPr>
          <w:rFonts w:hint="eastAsia"/>
          <w:color w:val="auto"/>
          <w:highlight w:val="none"/>
        </w:rPr>
      </w:pPr>
    </w:p>
    <w:p w14:paraId="7CB9CF38">
      <w:pPr>
        <w:numPr>
          <w:ilvl w:val="0"/>
          <w:numId w:val="0"/>
        </w:numPr>
        <w:spacing w:line="480" w:lineRule="exact"/>
        <w:ind w:firstLine="482" w:firstLineChars="200"/>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5.总体设计</w:t>
      </w:r>
    </w:p>
    <w:p w14:paraId="3DF8F45E">
      <w:pPr>
        <w:numPr>
          <w:ilvl w:val="0"/>
          <w:numId w:val="0"/>
        </w:numPr>
        <w:spacing w:line="480" w:lineRule="exact"/>
        <w:ind w:firstLine="482" w:firstLineChars="200"/>
        <w:outlineLvl w:val="3"/>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5.1业务架构</w:t>
      </w:r>
    </w:p>
    <w:p w14:paraId="26E26F3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滁州市一体化运维平台主要功能模块包括运维数据采集平台、资产管理子平台、全栈监控子平台、统一告警子平台、运维工作台等。通过主动采集、对接等方式获取到全市政务云、政务外网和一体化平台市级节点等区域的网络安全设备、服务器、存储设备、数据库、操作系统、中间件、业务系统、业务接口、应用软件等运维监控指标数据，并纳入平台进行统一监控、统一管理、统一分析，实现监控预警、故障发现、问题定位，并将告警数据推送至滁州市安全运营（监测）平台协同处置模块，同时按照运维平台省市对接规范将9类运维数据上报至省平台，完成省市互联互通。</w:t>
      </w:r>
    </w:p>
    <w:p w14:paraId="18C346FD">
      <w:pPr>
        <w:keepNext w:val="0"/>
        <w:keepLines w:val="0"/>
        <w:widowControl w:val="0"/>
        <w:suppressLineNumbers w:val="0"/>
        <w:autoSpaceDE w:val="0"/>
        <w:autoSpaceDN/>
        <w:spacing w:before="0" w:beforeAutospacing="0" w:after="0" w:afterAutospacing="0" w:line="240" w:lineRule="atLeast"/>
        <w:ind w:left="0" w:leftChars="0" w:right="0" w:firstLine="0" w:firstLineChars="0"/>
        <w:jc w:val="center"/>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8"/>
          <w:szCs w:val="28"/>
          <w:highlight w:val="none"/>
          <w:lang w:val="en-US" w:eastAsia="zh-CN" w:bidi="ar"/>
        </w:rPr>
        <w:drawing>
          <wp:inline distT="0" distB="0" distL="114300" distR="114300">
            <wp:extent cx="5276850" cy="2895600"/>
            <wp:effectExtent l="0" t="0" r="6350" b="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8"/>
                    <a:stretch>
                      <a:fillRect/>
                    </a:stretch>
                  </pic:blipFill>
                  <pic:spPr>
                    <a:xfrm>
                      <a:off x="0" y="0"/>
                      <a:ext cx="5276850" cy="2895600"/>
                    </a:xfrm>
                    <a:prstGeom prst="rect">
                      <a:avLst/>
                    </a:prstGeom>
                    <a:noFill/>
                    <a:ln w="9525">
                      <a:noFill/>
                    </a:ln>
                  </pic:spPr>
                </pic:pic>
              </a:graphicData>
            </a:graphic>
          </wp:inline>
        </w:drawing>
      </w:r>
    </w:p>
    <w:p w14:paraId="7E1759CD">
      <w:pPr>
        <w:numPr>
          <w:ilvl w:val="0"/>
          <w:numId w:val="0"/>
        </w:numPr>
        <w:spacing w:line="480" w:lineRule="exact"/>
        <w:ind w:firstLine="482" w:firstLineChars="200"/>
        <w:outlineLvl w:val="3"/>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5.2应用架构</w:t>
      </w:r>
    </w:p>
    <w:p w14:paraId="67FE16F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运维平台由省市分级建设，属于一体化平台运维运营体系建设部分。该系统建设依托安徽省一体化数据基础平台进行开发，部署在滁州市政务信创云环境中，复用一体化平台相关组件，发布至皖政通。</w:t>
      </w:r>
    </w:p>
    <w:p w14:paraId="2701E3E7">
      <w:pPr>
        <w:keepNext w:val="0"/>
        <w:keepLines w:val="0"/>
        <w:widowControl w:val="0"/>
        <w:suppressLineNumbers w:val="0"/>
        <w:autoSpaceDE w:val="0"/>
        <w:autoSpaceDN/>
        <w:spacing w:before="0" w:beforeAutospacing="0" w:after="0" w:afterAutospacing="0" w:line="240" w:lineRule="atLeast"/>
        <w:ind w:left="0" w:leftChars="0" w:right="0" w:firstLine="0" w:firstLineChars="0"/>
        <w:jc w:val="center"/>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8"/>
          <w:szCs w:val="28"/>
          <w:highlight w:val="none"/>
          <w:lang w:val="en-US" w:eastAsia="zh-CN" w:bidi="ar"/>
        </w:rPr>
        <w:drawing>
          <wp:inline distT="0" distB="0" distL="114300" distR="114300">
            <wp:extent cx="5276850" cy="3848100"/>
            <wp:effectExtent l="0" t="0" r="6350" b="0"/>
            <wp:docPr id="12"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7"/>
                    <pic:cNvPicPr>
                      <a:picLocks noChangeAspect="1"/>
                    </pic:cNvPicPr>
                  </pic:nvPicPr>
                  <pic:blipFill>
                    <a:blip r:embed="rId9"/>
                    <a:stretch>
                      <a:fillRect/>
                    </a:stretch>
                  </pic:blipFill>
                  <pic:spPr>
                    <a:xfrm>
                      <a:off x="0" y="0"/>
                      <a:ext cx="5276850" cy="3848100"/>
                    </a:xfrm>
                    <a:prstGeom prst="rect">
                      <a:avLst/>
                    </a:prstGeom>
                    <a:noFill/>
                    <a:ln w="9525">
                      <a:noFill/>
                    </a:ln>
                  </pic:spPr>
                </pic:pic>
              </a:graphicData>
            </a:graphic>
          </wp:inline>
        </w:drawing>
      </w:r>
      <w:r>
        <w:rPr>
          <w:rFonts w:hint="eastAsia" w:ascii="仿宋" w:hAnsi="仿宋" w:eastAsia="仿宋" w:cs="Times New Roman"/>
          <w:color w:val="auto"/>
          <w:kern w:val="2"/>
          <w:sz w:val="24"/>
          <w:szCs w:val="24"/>
          <w:highlight w:val="none"/>
          <w:lang w:val="en-US" w:eastAsia="zh-CN" w:bidi="ar"/>
        </w:rPr>
        <w:t xml:space="preserve"> </w:t>
      </w:r>
    </w:p>
    <w:p w14:paraId="3C4154B1">
      <w:pPr>
        <w:keepNext w:val="0"/>
        <w:keepLines w:val="0"/>
        <w:widowControl w:val="0"/>
        <w:suppressLineNumbers w:val="0"/>
        <w:autoSpaceDE w:val="0"/>
        <w:autoSpaceDN/>
        <w:spacing w:before="0" w:beforeAutospacing="0" w:after="0" w:afterAutospacing="0" w:line="240" w:lineRule="atLeast"/>
        <w:ind w:left="0" w:leftChars="0" w:right="0" w:firstLine="0" w:firstLineChars="0"/>
        <w:jc w:val="center"/>
        <w:rPr>
          <w:rFonts w:hint="eastAsia" w:ascii="仿宋" w:hAnsi="仿宋" w:eastAsia="仿宋" w:cs="Times New Roman"/>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图-应用架构图</w:t>
      </w:r>
    </w:p>
    <w:p w14:paraId="0DF43AB7">
      <w:pPr>
        <w:keepNext w:val="0"/>
        <w:keepLines w:val="0"/>
        <w:widowControl w:val="0"/>
        <w:suppressLineNumbers w:val="0"/>
        <w:autoSpaceDE w:val="0"/>
        <w:autoSpaceDN/>
        <w:spacing w:before="0" w:beforeAutospacing="0" w:after="0" w:afterAutospacing="0" w:line="240" w:lineRule="atLeast"/>
        <w:ind w:left="0" w:leftChars="0" w:right="0" w:firstLine="0" w:firstLineChars="0"/>
        <w:jc w:val="center"/>
        <w:rPr>
          <w:rFonts w:hint="eastAsia" w:ascii="仿宋" w:hAnsi="仿宋" w:eastAsia="仿宋" w:cs="Times New Roman"/>
          <w:color w:val="auto"/>
          <w:kern w:val="2"/>
          <w:sz w:val="28"/>
          <w:szCs w:val="28"/>
          <w:highlight w:val="none"/>
        </w:rPr>
      </w:pPr>
      <w:r>
        <w:rPr>
          <w:rFonts w:hint="eastAsia" w:ascii="仿宋" w:hAnsi="仿宋" w:eastAsia="仿宋" w:cs="Times New Roman"/>
          <w:color w:val="auto"/>
          <w:kern w:val="2"/>
          <w:sz w:val="28"/>
          <w:szCs w:val="28"/>
          <w:highlight w:val="none"/>
          <w:lang w:val="en-US" w:eastAsia="zh-CN" w:bidi="ar"/>
        </w:rPr>
        <w:t xml:space="preserve"> </w:t>
      </w:r>
    </w:p>
    <w:p w14:paraId="4F4E432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（1）服务入口：省一体化数据基础平台门户和皖政通。</w:t>
      </w:r>
    </w:p>
    <w:p w14:paraId="27D6D03F">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（2）业务功能：平台功能包括运维数据采集、资产管理、全栈监控、统一告警和运维工作台。</w:t>
      </w:r>
    </w:p>
    <w:p w14:paraId="252CFE4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（3）应用支撑：本项目复用一体化平台行政区划、组织机构、政务人员统一认证、短信服务等组件，沉淀相关业务组件上架至一体化平台。</w:t>
      </w:r>
    </w:p>
    <w:p w14:paraId="1B5FCE6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（4）数据资源：描述本项目在一体化数据基础平台上进行应用系统的数据架构设计和数据模型设计。</w:t>
      </w:r>
    </w:p>
    <w:p w14:paraId="77AD0CB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（5）基础设施：本项目部署于滁州政务信创云环境，复用一体化平台滁州市级节点国产化数据库。</w:t>
      </w:r>
    </w:p>
    <w:p w14:paraId="1905A07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（6）保障体系：不涉及。</w:t>
      </w:r>
    </w:p>
    <w:p w14:paraId="5D4D46D9">
      <w:pPr>
        <w:pStyle w:val="9"/>
        <w:widowControl/>
        <w:numPr>
          <w:ilvl w:val="2"/>
          <w:numId w:val="0"/>
        </w:numPr>
        <w:ind w:left="0" w:leftChars="0" w:firstLine="0" w:firstLineChars="0"/>
        <w:outlineLvl w:val="3"/>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5.3.数据架构</w:t>
      </w:r>
    </w:p>
    <w:p w14:paraId="295C24A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本项目建设的应用以数据工程及相关标准规范为指引，在一体化数据基础平台上进行应用系统的数据架构设计和数据模型设计，不建设相关主题库。数据架构按照内部运行管理（L1业务域）、信息安全（L2主题域）进行分类。</w:t>
      </w:r>
    </w:p>
    <w:p w14:paraId="0BE84A94">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仿宋" w:hAnsi="仿宋" w:eastAsia="仿宋" w:cs="Times New Roman"/>
          <w:color w:val="auto"/>
          <w:kern w:val="2"/>
          <w:sz w:val="24"/>
          <w:szCs w:val="24"/>
          <w:highlight w:val="none"/>
        </w:rPr>
      </w:pPr>
      <w:r>
        <w:rPr>
          <w:rFonts w:hint="eastAsia" w:ascii="仿宋" w:hAnsi="仿宋" w:eastAsia="仿宋" w:cs="Times New Roman"/>
          <w:color w:val="auto"/>
          <w:kern w:val="2"/>
          <w:sz w:val="28"/>
          <w:szCs w:val="28"/>
          <w:highlight w:val="none"/>
          <w:lang w:val="en-US" w:eastAsia="zh-CN" w:bidi="ar"/>
        </w:rPr>
        <w:drawing>
          <wp:inline distT="0" distB="0" distL="114300" distR="114300">
            <wp:extent cx="5276850" cy="3762375"/>
            <wp:effectExtent l="0" t="0" r="6350" b="9525"/>
            <wp:docPr id="11"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9"/>
                    <pic:cNvPicPr>
                      <a:picLocks noChangeAspect="1"/>
                    </pic:cNvPicPr>
                  </pic:nvPicPr>
                  <pic:blipFill>
                    <a:blip r:embed="rId10"/>
                    <a:stretch>
                      <a:fillRect/>
                    </a:stretch>
                  </pic:blipFill>
                  <pic:spPr>
                    <a:xfrm>
                      <a:off x="0" y="0"/>
                      <a:ext cx="5276850" cy="3762375"/>
                    </a:xfrm>
                    <a:prstGeom prst="rect">
                      <a:avLst/>
                    </a:prstGeom>
                    <a:noFill/>
                    <a:ln w="9525">
                      <a:noFill/>
                    </a:ln>
                  </pic:spPr>
                </pic:pic>
              </a:graphicData>
            </a:graphic>
          </wp:inline>
        </w:drawing>
      </w:r>
      <w:r>
        <w:rPr>
          <w:rFonts w:hint="eastAsia" w:ascii="仿宋" w:hAnsi="仿宋" w:eastAsia="仿宋" w:cs="Times New Roman"/>
          <w:color w:val="auto"/>
          <w:kern w:val="2"/>
          <w:sz w:val="24"/>
          <w:szCs w:val="24"/>
          <w:highlight w:val="none"/>
          <w:lang w:val="en-US" w:eastAsia="zh-CN" w:bidi="ar"/>
        </w:rPr>
        <w:t xml:space="preserve"> </w:t>
      </w:r>
    </w:p>
    <w:p w14:paraId="2302D0D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（1）数据来源：本项目不涉及存量数据治理，本项目实施需采集政务外网、政务信创云以及一体化平台滁州市级节点相关的网络设备、服务器、应用等运维监控数据。</w:t>
      </w:r>
    </w:p>
    <w:p w14:paraId="7A023FE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2）L1-L5数据架构：L1业务域（内部运行管理），L2主题域（信息安全），L3业务对象（网络设备、服务器、业务系统、业务接口、应用软件资源信息、性能信息、告警事件、协同运维、运维节点），L4逻辑实体（网络设备数据、服务器数据、业务系统数据、业务接口数据、应用软件资源信息、性能信息、告警事件数据、协同运维信息、运维节点信息）。</w:t>
      </w:r>
    </w:p>
    <w:p w14:paraId="33A94E3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（3）数据开发利用：本项目不建设相关主题库或基础库，相关数据指标或数据服务按需求进行开发。</w:t>
      </w:r>
    </w:p>
    <w:p w14:paraId="27541E7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（4）标准规范建设：本项目不涉及。</w:t>
      </w:r>
    </w:p>
    <w:p w14:paraId="3C5C6C50">
      <w:pPr>
        <w:pStyle w:val="9"/>
        <w:widowControl/>
        <w:numPr>
          <w:ilvl w:val="2"/>
          <w:numId w:val="0"/>
        </w:numPr>
        <w:ind w:left="0" w:leftChars="0" w:firstLine="0" w:firstLineChars="0"/>
        <w:outlineLvl w:val="3"/>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5.4.部署架构</w:t>
      </w:r>
    </w:p>
    <w:p w14:paraId="6386897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网络拓扑结构：本次项目部署在滁州市政务信创云中，复用一体化数据基础平台滁州市级节点数据库资源，依托市级节点现有网络架构进行部署。当前市级节点网络架构分为政务外网区和互联网区,两个区域通过网闸进行物理隔离。</w:t>
      </w:r>
    </w:p>
    <w:p w14:paraId="5E10E92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2.部署架构图如下：</w:t>
      </w:r>
    </w:p>
    <w:p w14:paraId="71054A9E">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64A415C8">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7C18CA7F">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7B16697E">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56BFBD99">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10D33D2A">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7DE52E7F">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266A43B2">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3909C4B6">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3AA7281C">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仿宋" w:hAnsi="仿宋" w:eastAsia="仿宋" w:cs="Times New Roman"/>
          <w:color w:val="auto"/>
          <w:kern w:val="2"/>
          <w:sz w:val="24"/>
          <w:szCs w:val="24"/>
          <w:highlight w:val="none"/>
          <w:lang w:val="en-US" w:eastAsia="zh-CN" w:bidi="ar"/>
        </w:rPr>
      </w:pPr>
    </w:p>
    <w:p w14:paraId="3262B4D1">
      <w:pPr>
        <w:keepNext w:val="0"/>
        <w:keepLines w:val="0"/>
        <w:widowControl w:val="0"/>
        <w:suppressLineNumbers w:val="0"/>
        <w:spacing w:before="0" w:beforeAutospacing="0" w:after="0" w:afterAutospacing="0" w:line="360" w:lineRule="auto"/>
        <w:ind w:right="0"/>
        <w:jc w:val="center"/>
        <w:rPr>
          <w:rFonts w:hint="eastAsia" w:ascii="仿宋" w:hAnsi="仿宋" w:eastAsia="仿宋" w:cs="Times New Roman"/>
          <w:color w:val="auto"/>
          <w:kern w:val="2"/>
          <w:sz w:val="24"/>
          <w:szCs w:val="24"/>
          <w:highlight w:val="none"/>
          <w:lang w:val="en-US" w:eastAsia="zh-CN" w:bidi="ar"/>
        </w:rPr>
      </w:pPr>
      <w:r>
        <w:rPr>
          <w:rFonts w:hint="eastAsia" w:ascii="仿宋" w:hAnsi="仿宋" w:eastAsia="仿宋" w:cs="Times New Roman"/>
          <w:color w:val="auto"/>
          <w:kern w:val="2"/>
          <w:sz w:val="24"/>
          <w:szCs w:val="24"/>
          <w:highlight w:val="none"/>
          <w:lang w:val="en-US" w:eastAsia="zh-CN" w:bidi="ar"/>
        </w:rPr>
        <w:t>容器云部署方式：</w:t>
      </w:r>
    </w:p>
    <w:p w14:paraId="6F134A1F">
      <w:pPr>
        <w:keepNext w:val="0"/>
        <w:keepLines w:val="0"/>
        <w:widowControl w:val="0"/>
        <w:suppressLineNumbers w:val="0"/>
        <w:autoSpaceDE w:val="0"/>
        <w:autoSpaceDN/>
        <w:spacing w:before="0" w:beforeAutospacing="0" w:after="0" w:afterAutospacing="0" w:line="360" w:lineRule="auto"/>
        <w:ind w:left="0" w:leftChars="0" w:right="451" w:rightChars="215" w:firstLine="0" w:firstLineChars="0"/>
        <w:jc w:val="both"/>
        <w:rPr>
          <w:rFonts w:hint="eastAsia" w:ascii="仿宋" w:hAnsi="仿宋" w:eastAsia="仿宋" w:cs="Times New Roman"/>
          <w:i w:val="0"/>
          <w:iCs/>
          <w:color w:val="auto"/>
          <w:kern w:val="2"/>
          <w:sz w:val="28"/>
          <w:szCs w:val="28"/>
          <w:highlight w:val="none"/>
        </w:rPr>
      </w:pPr>
      <w:r>
        <w:rPr>
          <w:rFonts w:hint="eastAsia" w:ascii="仿宋" w:hAnsi="仿宋" w:eastAsia="仿宋" w:cs="Times New Roman"/>
          <w:color w:val="auto"/>
          <w:kern w:val="2"/>
          <w:sz w:val="28"/>
          <w:szCs w:val="28"/>
          <w:highlight w:val="none"/>
          <w:lang w:val="en-US" w:eastAsia="zh-CN" w:bidi="ar"/>
        </w:rPr>
        <w:drawing>
          <wp:inline distT="0" distB="0" distL="114300" distR="114300">
            <wp:extent cx="5391150" cy="3429000"/>
            <wp:effectExtent l="0" t="0" r="6350" b="0"/>
            <wp:docPr id="13"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0"/>
                    <pic:cNvPicPr>
                      <a:picLocks noChangeAspect="1"/>
                    </pic:cNvPicPr>
                  </pic:nvPicPr>
                  <pic:blipFill>
                    <a:blip r:embed="rId11"/>
                    <a:stretch>
                      <a:fillRect/>
                    </a:stretch>
                  </pic:blipFill>
                  <pic:spPr>
                    <a:xfrm>
                      <a:off x="0" y="0"/>
                      <a:ext cx="5391150" cy="3429000"/>
                    </a:xfrm>
                    <a:prstGeom prst="rect">
                      <a:avLst/>
                    </a:prstGeom>
                    <a:noFill/>
                    <a:ln w="9525">
                      <a:noFill/>
                    </a:ln>
                  </pic:spPr>
                </pic:pic>
              </a:graphicData>
            </a:graphic>
          </wp:inline>
        </w:drawing>
      </w:r>
      <w:r>
        <w:rPr>
          <w:rFonts w:hint="eastAsia" w:ascii="仿宋" w:hAnsi="仿宋" w:eastAsia="仿宋" w:cs="Times New Roman"/>
          <w:i w:val="0"/>
          <w:iCs/>
          <w:color w:val="auto"/>
          <w:kern w:val="2"/>
          <w:sz w:val="28"/>
          <w:szCs w:val="28"/>
          <w:highlight w:val="none"/>
          <w:lang w:val="en-US" w:eastAsia="zh-CN" w:bidi="ar"/>
        </w:rPr>
        <w:t xml:space="preserve">  </w:t>
      </w:r>
    </w:p>
    <w:p w14:paraId="025B8A5C">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仿宋" w:hAnsi="仿宋" w:eastAsia="仿宋" w:cs="Times New Roman"/>
          <w:color w:val="auto"/>
          <w:kern w:val="2"/>
          <w:sz w:val="24"/>
          <w:szCs w:val="24"/>
          <w:highlight w:val="none"/>
          <w:lang w:val="en-US" w:eastAsia="zh-CN" w:bidi="ar"/>
        </w:rPr>
      </w:pPr>
      <w:r>
        <w:rPr>
          <w:rFonts w:hint="eastAsia" w:ascii="仿宋" w:hAnsi="仿宋" w:eastAsia="仿宋" w:cs="Times New Roman"/>
          <w:color w:val="auto"/>
          <w:kern w:val="2"/>
          <w:sz w:val="24"/>
          <w:szCs w:val="24"/>
          <w:highlight w:val="none"/>
          <w:lang w:val="en-US" w:eastAsia="zh-CN" w:bidi="ar"/>
        </w:rPr>
        <w:t>云主机部署方式：</w:t>
      </w:r>
    </w:p>
    <w:p w14:paraId="1FAFE9F5">
      <w:pPr>
        <w:keepNext w:val="0"/>
        <w:keepLines w:val="0"/>
        <w:widowControl w:val="0"/>
        <w:suppressLineNumbers w:val="0"/>
        <w:autoSpaceDE w:val="0"/>
        <w:autoSpaceDN/>
        <w:spacing w:before="0" w:beforeAutospacing="0" w:after="0" w:afterAutospacing="0" w:line="360" w:lineRule="auto"/>
        <w:ind w:left="0" w:leftChars="0" w:right="451" w:rightChars="215" w:firstLine="0" w:firstLineChars="0"/>
        <w:jc w:val="both"/>
        <w:rPr>
          <w:rFonts w:hint="eastAsia" w:ascii="仿宋" w:hAnsi="仿宋" w:eastAsia="仿宋" w:cs="Times New Roman"/>
          <w:i w:val="0"/>
          <w:iCs/>
          <w:color w:val="auto"/>
          <w:kern w:val="2"/>
          <w:sz w:val="28"/>
          <w:szCs w:val="28"/>
          <w:highlight w:val="none"/>
        </w:rPr>
      </w:pPr>
      <w:r>
        <w:rPr>
          <w:rFonts w:hint="eastAsia" w:ascii="仿宋" w:hAnsi="仿宋" w:eastAsia="仿宋" w:cs="Times New Roman"/>
          <w:color w:val="auto"/>
          <w:kern w:val="2"/>
          <w:sz w:val="28"/>
          <w:szCs w:val="28"/>
          <w:highlight w:val="none"/>
          <w:lang w:val="en-US" w:eastAsia="zh-CN" w:bidi="ar"/>
        </w:rPr>
        <w:drawing>
          <wp:inline distT="0" distB="0" distL="114300" distR="114300">
            <wp:extent cx="5353050" cy="3552825"/>
            <wp:effectExtent l="0" t="0" r="6350" b="3175"/>
            <wp:docPr id="14"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1"/>
                    <pic:cNvPicPr>
                      <a:picLocks noChangeAspect="1"/>
                    </pic:cNvPicPr>
                  </pic:nvPicPr>
                  <pic:blipFill>
                    <a:blip r:embed="rId12"/>
                    <a:stretch>
                      <a:fillRect/>
                    </a:stretch>
                  </pic:blipFill>
                  <pic:spPr>
                    <a:xfrm>
                      <a:off x="0" y="0"/>
                      <a:ext cx="5353050" cy="3552825"/>
                    </a:xfrm>
                    <a:prstGeom prst="rect">
                      <a:avLst/>
                    </a:prstGeom>
                    <a:noFill/>
                    <a:ln w="9525">
                      <a:noFill/>
                    </a:ln>
                  </pic:spPr>
                </pic:pic>
              </a:graphicData>
            </a:graphic>
          </wp:inline>
        </w:drawing>
      </w:r>
      <w:r>
        <w:rPr>
          <w:rFonts w:hint="eastAsia" w:ascii="仿宋" w:hAnsi="仿宋" w:eastAsia="仿宋" w:cs="Times New Roman"/>
          <w:i w:val="0"/>
          <w:iCs/>
          <w:color w:val="auto"/>
          <w:kern w:val="2"/>
          <w:sz w:val="28"/>
          <w:szCs w:val="28"/>
          <w:highlight w:val="none"/>
          <w:lang w:val="en-US" w:eastAsia="zh-CN" w:bidi="ar"/>
        </w:rPr>
        <w:t xml:space="preserve"> </w:t>
      </w:r>
    </w:p>
    <w:p w14:paraId="7B2EDDF3">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（1）网络区域：平台应用主要部署在政务外网区，根据业务需要在互联网区部署监控代理服务，两区之间通过开通跨网访问策略进行访问连接；</w:t>
      </w:r>
    </w:p>
    <w:p w14:paraId="04A320D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（2）域名地址：不涉及互联网域名申请，复用一体化滁州市级节点现有政务外网域名；</w:t>
      </w:r>
    </w:p>
    <w:p w14:paraId="42B0258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（3）IP地址：不涉及互联网IP地址申请，平台需申请政务外网IP地址，使用路径区配置分在同一域名下通过不同URL路径指向不同系统；</w:t>
      </w:r>
    </w:p>
    <w:p w14:paraId="44EF0A3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（4）负载均衡：用政务信创云管理平台弹性IP地址配置链路负载均衡；</w:t>
      </w:r>
    </w:p>
    <w:p w14:paraId="379C2A82">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（5）应用系统：优先选用省一体化平台容器云市级节点资源进行部署。若选用云主机方式部署，须与业主方对其技术架构进行评估，确认后申请资源开展实施；</w:t>
      </w:r>
    </w:p>
    <w:p w14:paraId="2FBC522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（6）数据库：复用一体化平台滁州市级节点现有数据库，需要申请开通应用系统访问数据库的网络策略；</w:t>
      </w:r>
    </w:p>
    <w:p w14:paraId="7BA8C44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（7）数据湖：本项目不涉及访问数据湖网络策略；</w:t>
      </w:r>
    </w:p>
    <w:p w14:paraId="305FB2F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（8）平台组件：部署于政务信创云政务外网区生产环境，需要申请开通应用系统访问平台组件的网络策略；</w:t>
      </w:r>
    </w:p>
    <w:p w14:paraId="181758D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（9）业务组件：本项目沉淀的业务组件，部署并托管于一体化数据基础平台滁州市级节点；</w:t>
      </w:r>
    </w:p>
    <w:p w14:paraId="75314B0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（10）运行环境：容器云和云主机环境。</w:t>
      </w:r>
    </w:p>
    <w:p w14:paraId="167D22E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3.容灾设计：本项目容灾备份纳入一体化平台滁州市级节点现有灾备体系中，采用相同备份策略。</w:t>
      </w:r>
    </w:p>
    <w:p w14:paraId="38462FCB">
      <w:pPr>
        <w:pStyle w:val="9"/>
        <w:outlineLvl w:val="3"/>
        <w:rPr>
          <w:rFonts w:hint="eastAsia" w:ascii="宋体" w:hAnsi="宋体" w:eastAsia="宋体" w:cs="宋体"/>
          <w:b/>
          <w:bCs/>
          <w:color w:val="auto"/>
          <w:kern w:val="2"/>
          <w:sz w:val="24"/>
          <w:szCs w:val="24"/>
          <w:highlight w:val="none"/>
          <w:lang w:val="en-US" w:eastAsia="zh-CN" w:bidi="ar-SA"/>
        </w:rPr>
      </w:pPr>
      <w:bookmarkStart w:id="53" w:name="_Toc865376506"/>
      <w:bookmarkStart w:id="54" w:name="_Toc215432708"/>
      <w:bookmarkStart w:id="55" w:name="_Toc138615925"/>
      <w:bookmarkStart w:id="56" w:name="_Toc26958"/>
      <w:bookmarkStart w:id="57" w:name="_Toc225574988"/>
      <w:bookmarkStart w:id="58" w:name="_Toc148980163"/>
      <w:bookmarkStart w:id="59" w:name="_Toc7962"/>
      <w:r>
        <w:rPr>
          <w:rFonts w:hint="eastAsia" w:ascii="宋体" w:hAnsi="宋体" w:eastAsia="宋体" w:cs="宋体"/>
          <w:b/>
          <w:bCs/>
          <w:color w:val="auto"/>
          <w:kern w:val="2"/>
          <w:sz w:val="24"/>
          <w:szCs w:val="24"/>
          <w:highlight w:val="none"/>
          <w:lang w:val="en-US" w:eastAsia="zh-CN" w:bidi="ar-SA"/>
        </w:rPr>
        <w:t>5.5与存量系统、数据关系</w:t>
      </w:r>
      <w:bookmarkEnd w:id="53"/>
      <w:bookmarkEnd w:id="54"/>
      <w:bookmarkEnd w:id="55"/>
      <w:bookmarkEnd w:id="56"/>
      <w:bookmarkEnd w:id="57"/>
      <w:bookmarkEnd w:id="58"/>
      <w:bookmarkEnd w:id="59"/>
    </w:p>
    <w:p w14:paraId="0680B09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与本项目有关联关系的系统有2个。具体情况如下所示：</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4"/>
        <w:gridCol w:w="2228"/>
        <w:gridCol w:w="1159"/>
        <w:gridCol w:w="3404"/>
        <w:gridCol w:w="994"/>
      </w:tblGrid>
      <w:tr w14:paraId="61294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1" w:type="pct"/>
            <w:shd w:val="clear" w:color="auto" w:fill="FFFFFF"/>
            <w:noWrap w:val="0"/>
            <w:vAlign w:val="center"/>
          </w:tcPr>
          <w:p w14:paraId="25C235BB">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307" w:type="pct"/>
            <w:shd w:val="clear" w:color="auto" w:fill="FFFFFF"/>
            <w:noWrap w:val="0"/>
            <w:vAlign w:val="center"/>
          </w:tcPr>
          <w:p w14:paraId="01DEE7C2">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系统名称</w:t>
            </w:r>
          </w:p>
        </w:tc>
        <w:tc>
          <w:tcPr>
            <w:tcW w:w="680" w:type="pct"/>
            <w:shd w:val="clear" w:color="auto" w:fill="FFFFFF"/>
            <w:noWrap w:val="0"/>
            <w:vAlign w:val="center"/>
          </w:tcPr>
          <w:p w14:paraId="7FCFB3D3">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使用范围</w:t>
            </w:r>
          </w:p>
        </w:tc>
        <w:tc>
          <w:tcPr>
            <w:tcW w:w="1997" w:type="pct"/>
            <w:shd w:val="clear" w:color="auto" w:fill="FFFFFF"/>
            <w:noWrap w:val="0"/>
            <w:vAlign w:val="center"/>
          </w:tcPr>
          <w:p w14:paraId="20FE9318">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关系</w:t>
            </w:r>
          </w:p>
        </w:tc>
        <w:tc>
          <w:tcPr>
            <w:tcW w:w="583" w:type="pct"/>
            <w:shd w:val="clear" w:color="auto" w:fill="FFFFFF"/>
            <w:noWrap w:val="0"/>
            <w:vAlign w:val="center"/>
          </w:tcPr>
          <w:p w14:paraId="7024AF7D">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备注</w:t>
            </w:r>
          </w:p>
        </w:tc>
      </w:tr>
      <w:tr w14:paraId="5AD04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1" w:type="pct"/>
            <w:noWrap w:val="0"/>
            <w:vAlign w:val="center"/>
          </w:tcPr>
          <w:p w14:paraId="69E24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07" w:type="pct"/>
            <w:noWrap w:val="0"/>
            <w:vAlign w:val="center"/>
          </w:tcPr>
          <w:p w14:paraId="651E9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安徽省一体化数据基础平台</w:t>
            </w:r>
          </w:p>
        </w:tc>
        <w:tc>
          <w:tcPr>
            <w:tcW w:w="680" w:type="pct"/>
            <w:noWrap w:val="0"/>
            <w:vAlign w:val="center"/>
          </w:tcPr>
          <w:p w14:paraId="0961C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省级</w:t>
            </w:r>
          </w:p>
        </w:tc>
        <w:tc>
          <w:tcPr>
            <w:tcW w:w="1997" w:type="pct"/>
            <w:noWrap w:val="0"/>
            <w:vAlign w:val="center"/>
          </w:tcPr>
          <w:p w14:paraId="4002D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复用一体化平台组织机构、行政区划、政务人员统一认证体系。</w:t>
            </w:r>
          </w:p>
        </w:tc>
        <w:tc>
          <w:tcPr>
            <w:tcW w:w="583" w:type="pct"/>
            <w:noWrap w:val="0"/>
            <w:vAlign w:val="center"/>
          </w:tcPr>
          <w:p w14:paraId="3D3A4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存在平台对接工作</w:t>
            </w:r>
          </w:p>
        </w:tc>
      </w:tr>
      <w:tr w14:paraId="645AD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33385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307" w:type="pct"/>
            <w:noWrap w:val="0"/>
            <w:vAlign w:val="center"/>
          </w:tcPr>
          <w:p w14:paraId="258A7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安徽省一体化数据基础平台滁州市级安全运营（监测）平台</w:t>
            </w:r>
          </w:p>
        </w:tc>
        <w:tc>
          <w:tcPr>
            <w:tcW w:w="680" w:type="pct"/>
            <w:noWrap w:val="0"/>
            <w:vAlign w:val="center"/>
          </w:tcPr>
          <w:p w14:paraId="50B15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市级</w:t>
            </w:r>
          </w:p>
        </w:tc>
        <w:tc>
          <w:tcPr>
            <w:tcW w:w="1997" w:type="pct"/>
            <w:noWrap w:val="0"/>
            <w:vAlign w:val="center"/>
          </w:tcPr>
          <w:p w14:paraId="08383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复用安全运营平台协同处置模块进行工单处置。</w:t>
            </w:r>
          </w:p>
        </w:tc>
        <w:tc>
          <w:tcPr>
            <w:tcW w:w="583" w:type="pct"/>
            <w:noWrap w:val="0"/>
            <w:vAlign w:val="center"/>
          </w:tcPr>
          <w:p w14:paraId="337B0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存在平台对接工作</w:t>
            </w:r>
          </w:p>
        </w:tc>
      </w:tr>
    </w:tbl>
    <w:p w14:paraId="378ACDF9">
      <w:pPr>
        <w:pStyle w:val="8"/>
        <w:widowControl/>
        <w:numPr>
          <w:ilvl w:val="0"/>
          <w:numId w:val="0"/>
        </w:numPr>
        <w:ind w:leftChars="0"/>
        <w:outlineLvl w:val="2"/>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6.软件功能设计</w:t>
      </w:r>
    </w:p>
    <w:p w14:paraId="1683DDB2">
      <w:pPr>
        <w:pStyle w:val="10"/>
        <w:widowControl/>
        <w:numPr>
          <w:ilvl w:val="0"/>
          <w:numId w:val="0"/>
        </w:numPr>
        <w:ind w:left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6.1运维数据采集平台</w:t>
      </w:r>
    </w:p>
    <w:p w14:paraId="2ECDDA0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运维数据采集平台能够把滁州市政务信创云、政务外网和一体化数据基础平台滁州市级节点所涉及的网络设备、服务器、业务系统、业务接口、应用软件的资源信息、性能信息、告警事件、协同运维信息、运维节点信息等采集、汇聚，上传到省级一体化运维平台。并根据日志、服务调用等标准数据规范，将日志等数据以文件方式存储在运维数据采集平台服务器上，供运维平台进行处理分析和运维。</w:t>
      </w:r>
    </w:p>
    <w:p w14:paraId="55C5FD8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运维数据采集平台主要功能包括但不限于：客户端管理、采集管理、数据安全、数据采集、数据上报、日志调用链汇聚等。</w:t>
      </w:r>
    </w:p>
    <w:p w14:paraId="4535FABF">
      <w:pPr>
        <w:pStyle w:val="11"/>
        <w:widowControl/>
        <w:numPr>
          <w:ilvl w:val="0"/>
          <w:numId w:val="0"/>
        </w:numPr>
        <w:ind w:leftChars="0"/>
        <w:jc w:val="left"/>
        <w:outlineLvl w:val="5"/>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6.1.1.客户端管理</w:t>
      </w:r>
    </w:p>
    <w:p w14:paraId="5108E263">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通过可视化界面管理采集客户端，包含采集客户端安装、卸载、升级、标签、安装配置等。同时，该模块还支持批量管理，方便快捷地对多个客户端进行操作。</w:t>
      </w:r>
    </w:p>
    <w:p w14:paraId="12881408">
      <w:pPr>
        <w:pStyle w:val="11"/>
        <w:widowControl/>
        <w:numPr>
          <w:ilvl w:val="0"/>
          <w:numId w:val="0"/>
        </w:numPr>
        <w:ind w:leftChars="0"/>
        <w:jc w:val="left"/>
        <w:outlineLvl w:val="5"/>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6.1.2.采集管理</w:t>
      </w:r>
    </w:p>
    <w:p w14:paraId="3C4E2F9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（1）采集器设置</w:t>
      </w:r>
    </w:p>
    <w:p w14:paraId="5C773C72">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通过可视化界面来实现采集配置下发、采集频率设置、采集模板设置等。支持对采集器的版本进行管理，查看和选择不同版本进行部署，针对不同的操作系统架构，提供相应的采集器包。</w:t>
      </w:r>
    </w:p>
    <w:p w14:paraId="690236D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（2）远程部署和批量管理</w:t>
      </w:r>
    </w:p>
    <w:p w14:paraId="46941BD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远程将采集器包部署到指定目录，形成详细的部署清单，记录部署状态和相关信息；支持修改部分采集器的配置文件，并批量下发，通过可视化界面远程升级、卸载、重启采集器；展示采集器的所有配置文件更新、记录。</w:t>
      </w:r>
    </w:p>
    <w:p w14:paraId="2564493B">
      <w:pPr>
        <w:pStyle w:val="11"/>
        <w:widowControl/>
        <w:numPr>
          <w:ilvl w:val="4"/>
          <w:numId w:val="0"/>
        </w:numPr>
        <w:tabs>
          <w:tab w:val="clear" w:pos="360"/>
        </w:tabs>
        <w:ind w:left="0" w:leftChars="0" w:firstLine="0" w:firstLineChars="0"/>
        <w:outlineLvl w:val="5"/>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6.1.3.数据安全</w:t>
      </w:r>
    </w:p>
    <w:p w14:paraId="4EAFA78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数据采集传输中数据安全管理，包含https协议传输加密、用户操作日志审计、数据压缩等。</w:t>
      </w:r>
    </w:p>
    <w:p w14:paraId="4BDA2EE8">
      <w:pPr>
        <w:pStyle w:val="11"/>
        <w:widowControl/>
        <w:numPr>
          <w:ilvl w:val="4"/>
          <w:numId w:val="0"/>
        </w:numPr>
        <w:tabs>
          <w:tab w:val="clear" w:pos="360"/>
        </w:tabs>
        <w:ind w:left="0" w:leftChars="0" w:firstLine="0" w:firstLineChars="0"/>
        <w:jc w:val="left"/>
        <w:outlineLvl w:val="5"/>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6.1.4.数据采集</w:t>
      </w:r>
    </w:p>
    <w:p w14:paraId="701F889F">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具备通过客户端采集监控数据的能力，包含主机指标（CPU、内存、磁盘、IO等）、容器指标（CPU、内存等）、数据库指标、中间件指标采集，以及应用日志采集。</w:t>
      </w:r>
    </w:p>
    <w:p w14:paraId="5447EF58">
      <w:pPr>
        <w:pStyle w:val="11"/>
        <w:widowControl/>
        <w:numPr>
          <w:ilvl w:val="4"/>
          <w:numId w:val="0"/>
        </w:numPr>
        <w:tabs>
          <w:tab w:val="clear" w:pos="360"/>
        </w:tabs>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6.1.5.数据上报</w:t>
      </w:r>
    </w:p>
    <w:p w14:paraId="5741AF53">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（1）数据上报</w:t>
      </w:r>
    </w:p>
    <w:p w14:paraId="7CEF21FB">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与省级运维平台对接，具备通过网络接口、服务接口、文件接口、消息接口等方式将网络设备、服务器、业务系统、业务接口、应用软件的资源信息、性能信息、告警事件、协同运维、运维节点信息等9类运维数据上报至省平台。</w:t>
      </w:r>
    </w:p>
    <w:p w14:paraId="074F249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（2）数据上报状态统计</w:t>
      </w:r>
    </w:p>
    <w:p w14:paraId="45341E2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通过指定的格式要求，将市局节点运维数据及时上报省级平台。平台需对上报运维数据的成功状态进行显示和统计，包括上报数据名称、时间、上报成功数量、上报失败数量。</w:t>
      </w:r>
    </w:p>
    <w:p w14:paraId="2E9AB546">
      <w:pPr>
        <w:pStyle w:val="11"/>
        <w:widowControl/>
        <w:numPr>
          <w:ilvl w:val="4"/>
          <w:numId w:val="0"/>
        </w:numPr>
        <w:tabs>
          <w:tab w:val="clear" w:pos="360"/>
        </w:tabs>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6.1.6.指标日志调用链汇聚存储</w:t>
      </w:r>
    </w:p>
    <w:p w14:paraId="7A14E39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提供主机、数据库、中间件指标、应用系统日志、应用系统调用链采集并保存到本地，以供市级运维平台数据对接，市运维平台可以对指标数据、日志数据、调用链数据进行二次开发，通过对指标、日志、调用链分析，快速定位系统组件和接口性能问题。</w:t>
      </w:r>
    </w:p>
    <w:p w14:paraId="2A21232C">
      <w:pPr>
        <w:pStyle w:val="11"/>
        <w:widowControl/>
        <w:numPr>
          <w:ilvl w:val="4"/>
          <w:numId w:val="0"/>
        </w:numPr>
        <w:tabs>
          <w:tab w:val="clear" w:pos="360"/>
        </w:tabs>
        <w:ind w:left="0" w:leftChars="0" w:firstLine="0" w:firstLineChars="0"/>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6.1.7.自监控管理</w:t>
      </w:r>
    </w:p>
    <w:p w14:paraId="715F3EE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为保障平台自身可靠性，配置自监控管理功能，提供监控平台自身健康度检测能力。</w:t>
      </w:r>
    </w:p>
    <w:p w14:paraId="273DCF8F">
      <w:pPr>
        <w:pStyle w:val="10"/>
        <w:widowControl/>
        <w:numPr>
          <w:ilvl w:val="3"/>
          <w:numId w:val="0"/>
        </w:numPr>
        <w:ind w:left="0" w:leftChars="0" w:firstLine="0" w:firstLine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w:t>
      </w:r>
      <w:r>
        <w:rPr>
          <w:rFonts w:hint="default" w:ascii="宋体" w:hAnsi="宋体" w:eastAsia="宋体" w:cs="宋体"/>
          <w:b/>
          <w:bCs/>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资产管理子平台</w:t>
      </w:r>
    </w:p>
    <w:p w14:paraId="1ACD5D6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资产管理实现对所有IT资产的统一管理，包括服务器、操作系统、中间件、容器、应用系统、应用模块、应用部署等，建立每类资产的数据模型，通过自动采集、调和、变更控制等手段，保证资产管理的完整性和精准性，优化IT资源，同时监控系统的集成可以提供更全面的洞察力，确保及时决策和问题解决。云主机类资产需对接省一体化云管平台，获取主机资产列表，并关联系统信息、部门信息。资产管理子平台主要功能包括但不限于：资产模型、资产稽核、拓扑管理等。</w:t>
      </w:r>
    </w:p>
    <w:p w14:paraId="3399DDE3">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6.2.1.资产模型</w:t>
      </w:r>
    </w:p>
    <w:p w14:paraId="18885A6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具备机房、IP地址、操作系统、物理机、防火墙、负载均衡器、安全设备、网络设备等基础资源资产的管理；具备数据库、缓存、消息队列等中间件资产的管理；具备容器集群命名空间、服务、pod、工作负载等资产的管理；具备应用系统、应用模块、应用部署、服务端口等应用资产的管理；具备业务资产的管理。资产数据之间具备关联性，可构建完整的资产拓扑。</w:t>
      </w:r>
    </w:p>
    <w:p w14:paraId="686FA37B">
      <w:pPr>
        <w:pStyle w:val="11"/>
        <w:widowControl/>
        <w:numPr>
          <w:ilvl w:val="4"/>
          <w:numId w:val="0"/>
        </w:numPr>
        <w:tabs>
          <w:tab w:val="clear" w:pos="360"/>
        </w:tabs>
        <w:ind w:left="0" w:leftChars="0" w:firstLine="0" w:firstLineChars="0"/>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6.2.2.资产稽核</w:t>
      </w:r>
    </w:p>
    <w:p w14:paraId="724694C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自动化稽核资产数据的缺失性、重复性、资产配置的合理性（如基线配置、负载配置等）、探针安装情况、监控和运维人员配置情况，保证资产数据的完整性和精准性。</w:t>
      </w:r>
    </w:p>
    <w:p w14:paraId="584BAE68">
      <w:pPr>
        <w:pStyle w:val="11"/>
        <w:widowControl/>
        <w:numPr>
          <w:ilvl w:val="4"/>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6.2.3.资产分析</w:t>
      </w:r>
    </w:p>
    <w:p w14:paraId="36EF8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基于采集汇总后的数据，实现多维分析系统，实现故障的快速定位，影响分析，及时预警和自动化处置。为运维管理人员提供集中化的预警控制操作台，实现监控对象的告警信息进行统一发现，统一处理，以便快速确认故障，缩短排障时间，为及时恢复业务运行打下良好基础。包括实时预警、监控大数据、动态日志管理和在线控制管理等。满足对整体运行情况、主机运行情况、容器运行情况、系统运行情况、调用链情况等进行可视化展示。具备自动生成系统分析报告。具备告警根因分析、历史告警查询、根因分析规则、动态阀值告警、趋势告警分析等。</w:t>
      </w:r>
    </w:p>
    <w:p w14:paraId="022E79D2">
      <w:pPr>
        <w:pageBreakBefore w:val="0"/>
        <w:widowControl/>
        <w:numPr>
          <w:ilvl w:val="5"/>
          <w:numId w:val="0"/>
        </w:numPr>
        <w:tabs>
          <w:tab w:val="left" w:pos="360"/>
        </w:tabs>
        <w:kinsoku/>
        <w:wordWrap/>
        <w:overflowPunct/>
        <w:topLinePunct w:val="0"/>
        <w:autoSpaceDE/>
        <w:autoSpaceDN/>
        <w:bidi w:val="0"/>
        <w:adjustRightInd/>
        <w:snapToGrid/>
        <w:ind w:left="0" w:leftChars="0" w:right="210" w:rightChars="100" w:firstLine="480" w:firstLineChars="200"/>
        <w:textAlignment w:val="auto"/>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（1）图表分析</w:t>
      </w:r>
    </w:p>
    <w:p w14:paraId="456ED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集成了告警图表、工单图表、资产图表、监控图表以图表的形式展现相关数据。图表类型不限于柱状图和饼状图。</w:t>
      </w:r>
    </w:p>
    <w:p w14:paraId="47ED8132">
      <w:pPr>
        <w:pageBreakBefore w:val="0"/>
        <w:widowControl/>
        <w:numPr>
          <w:ilvl w:val="5"/>
          <w:numId w:val="0"/>
        </w:numPr>
        <w:tabs>
          <w:tab w:val="left" w:pos="360"/>
        </w:tabs>
        <w:kinsoku/>
        <w:wordWrap/>
        <w:overflowPunct/>
        <w:topLinePunct w:val="0"/>
        <w:autoSpaceDE/>
        <w:autoSpaceDN/>
        <w:bidi w:val="0"/>
        <w:adjustRightInd/>
        <w:snapToGrid/>
        <w:ind w:left="0" w:leftChars="0" w:right="210" w:rightChars="100" w:firstLine="480" w:firstLineChars="200"/>
        <w:textAlignment w:val="auto"/>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（2）资产报表</w:t>
      </w:r>
    </w:p>
    <w:p w14:paraId="2B2588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以资产的维度对资产进行分类汇总，形成相关报表，用户可以将资产报表导出。</w:t>
      </w:r>
    </w:p>
    <w:p w14:paraId="01804AD4">
      <w:pPr>
        <w:widowControl/>
        <w:numPr>
          <w:ilvl w:val="5"/>
          <w:numId w:val="0"/>
        </w:numPr>
        <w:tabs>
          <w:tab w:val="left" w:pos="360"/>
        </w:tabs>
        <w:ind w:left="0" w:leftChars="0" w:right="210" w:rightChars="100" w:firstLine="480" w:firstLineChars="200"/>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（3）监控项报表</w:t>
      </w:r>
    </w:p>
    <w:p w14:paraId="391670AB">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以监控项为维度对一定单位时间内的监控项告警信息进行统计，归类。用户可以直观看出哪一个类型的监控项告警次数最多，分别对应了哪一个或者哪一类的资产。</w:t>
      </w:r>
    </w:p>
    <w:p w14:paraId="4375D2FB">
      <w:pPr>
        <w:widowControl/>
        <w:numPr>
          <w:ilvl w:val="5"/>
          <w:numId w:val="0"/>
        </w:numPr>
        <w:tabs>
          <w:tab w:val="left" w:pos="360"/>
        </w:tabs>
        <w:ind w:left="0" w:leftChars="0" w:right="210" w:rightChars="100" w:firstLine="480" w:firstLineChars="200"/>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（4）告警报表</w:t>
      </w:r>
    </w:p>
    <w:p w14:paraId="60BF3F1F">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以资产告警为维度对一定单位时间内的各资产的告警信息进行统计，能够分别统计出某一个资产或某一类型资产哪一项告警次数最多。用户可以直观看到资产与告警的对应关系，方便用户能针对性的对资产进行配置处理。</w:t>
      </w:r>
    </w:p>
    <w:p w14:paraId="549E10AE">
      <w:pPr>
        <w:widowControl/>
        <w:numPr>
          <w:ilvl w:val="5"/>
          <w:numId w:val="0"/>
        </w:numPr>
        <w:tabs>
          <w:tab w:val="left" w:pos="360"/>
        </w:tabs>
        <w:ind w:left="0" w:leftChars="0" w:right="210" w:rightChars="100" w:firstLine="480" w:firstLineChars="200"/>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（5）工单报表</w:t>
      </w:r>
    </w:p>
    <w:p w14:paraId="34E19C01">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工单报表以工单处理时长，工单处理人的关联关系进行统计汇总。能够准确得出某个用户处理的告警工单时长，作业计划时长，方便后期对运维人员工作量的考核。</w:t>
      </w:r>
    </w:p>
    <w:p w14:paraId="229132B8">
      <w:pPr>
        <w:widowControl/>
        <w:numPr>
          <w:ilvl w:val="5"/>
          <w:numId w:val="0"/>
        </w:numPr>
        <w:tabs>
          <w:tab w:val="left" w:pos="360"/>
        </w:tabs>
        <w:ind w:left="0" w:leftChars="0" w:right="210" w:rightChars="100" w:firstLine="480" w:firstLineChars="200"/>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（6）系统分析报告</w:t>
      </w:r>
    </w:p>
    <w:p w14:paraId="77C40753">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用户可以查看各个系统主机、容器及告警相关信息，包括cpu使用率、内存使用率、磁盘空间使用率等，实现用户将这些信息以分析报告形式进行导出。</w:t>
      </w:r>
    </w:p>
    <w:p w14:paraId="48AD415E">
      <w:pPr>
        <w:pStyle w:val="11"/>
        <w:widowControl/>
        <w:numPr>
          <w:ilvl w:val="4"/>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6.2.4.资产监控关联</w:t>
      </w:r>
    </w:p>
    <w:p w14:paraId="0EF6E46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为每个资产分配唯一标识符，如资产编号。在监控系统中，使用相同的标识符来关联资产和监控点，以便形成系统和业务完整关系拓扑，当出现故障时，可以迅速识别受影响的资产，有助于关联分析故障原因。</w:t>
      </w:r>
    </w:p>
    <w:p w14:paraId="7203B433">
      <w:pPr>
        <w:pStyle w:val="11"/>
        <w:widowControl/>
        <w:numPr>
          <w:ilvl w:val="4"/>
          <w:numId w:val="0"/>
        </w:numPr>
        <w:tabs>
          <w:tab w:val="clear" w:pos="360"/>
        </w:tabs>
        <w:ind w:left="0" w:leftChars="0" w:firstLine="0" w:firstLineChars="0"/>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6.2.5.拓扑管理</w:t>
      </w:r>
    </w:p>
    <w:p w14:paraId="40C924FB">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实现资产数据之间关联，构建完整的关系拓扑。实时呈现资产自身及对端资产的当前状态，通过自动关联/手动修改资产的对应关系，实现资产信息可视化管理。针对系统的业务逻辑架构进行梳理与分析，能够展示业务逻辑关系、数据读取关系、以及主机网络安全等设备关联关系。故障发生时，能够及时了解业务影响面，快速定位故障点并及时处置。</w:t>
      </w:r>
    </w:p>
    <w:p w14:paraId="00CB0D29">
      <w:pPr>
        <w:pStyle w:val="10"/>
        <w:widowControl/>
        <w:numPr>
          <w:ilvl w:val="3"/>
          <w:numId w:val="0"/>
        </w:numPr>
        <w:ind w:left="0" w:leftChars="0" w:firstLine="0" w:firstLine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w:t>
      </w:r>
      <w:r>
        <w:rPr>
          <w:rFonts w:hint="default" w:ascii="宋体" w:hAnsi="宋体" w:eastAsia="宋体" w:cs="宋体"/>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全栈监控子平台</w:t>
      </w:r>
    </w:p>
    <w:p w14:paraId="4A247102">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全栈监控子平台的主要功能包括但不限于：基础设施监控、应用性能监控、日志分析监控、用户体验监控、统计分析中心等。</w:t>
      </w:r>
    </w:p>
    <w:p w14:paraId="78B18503">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6.3.1.基础设施监控</w:t>
      </w:r>
    </w:p>
    <w:p w14:paraId="02B0506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基础设施监控可对接一体化平台相关联基础设施，对接安全运营、一体化云管平台、政务外网网管平台等。具备以下功能：</w:t>
      </w:r>
    </w:p>
    <w:p w14:paraId="3FCC3603">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具备网络设备、服务器、存储设备、虚拟化、操作系统、数据库、中间件的监控和网络配置功能。</w:t>
      </w:r>
    </w:p>
    <w:p w14:paraId="4AB5783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（1）网络设备监控</w:t>
      </w:r>
    </w:p>
    <w:p w14:paraId="130F4E3E">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网络设备监控通过不限于SNMP等协议方式对网络设备的CPU、内存、带宽、丢包、错包、链路以及状态等指标进行监控，网络设备交换机、路由器、负载均衡、防火墙、防毒墙等，包含但不限于华为、浪潮、中兴、锐捷、天融信、深信服、启明星辰、华三等品牌。</w:t>
      </w:r>
    </w:p>
    <w:p w14:paraId="2337B30F">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（2）存储设备监控</w:t>
      </w:r>
    </w:p>
    <w:p w14:paraId="7142CCC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存储设备监控可通过不限于SNMP、Telnet、CLI、URL等方式对存储的状态、控制器、存储容量等信息进行进行实时监控，包含但不限于华为、浪潮、曙光等品牌。</w:t>
      </w:r>
    </w:p>
    <w:p w14:paraId="4120AD2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（3）虚拟化监控</w:t>
      </w:r>
    </w:p>
    <w:p w14:paraId="69916BC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虚拟化监控具备对虚拟化状态、性能、基础信息等进行监控，包含但不限于华为、华三、深信服等品牌。</w:t>
      </w:r>
    </w:p>
    <w:p w14:paraId="0417504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（4）操作系统监控</w:t>
      </w:r>
    </w:p>
    <w:p w14:paraId="490F791E">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操作系统监控可通过不限于Agent、SSH、Telnet、SNMP、WMI等多种方式对国产操作系统的性能指标进行监控，包含但不限于麒麟、统信、欧拉等国产操作系统。</w:t>
      </w:r>
    </w:p>
    <w:p w14:paraId="3210DD2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（5）数据库监控</w:t>
      </w:r>
    </w:p>
    <w:p w14:paraId="086EA60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数据库监控可通过不限于OCI、JDBC、ODBC等方式对国产数据库的状态、性能、基础信息等指标进行实时监控，包含但不限于人大金仓、南大通用、达梦、神州通用、GreatDB、GaussDB、OceanBase等国产数据库。</w:t>
      </w:r>
    </w:p>
    <w:p w14:paraId="1658DDB2">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（6）中间件监控</w:t>
      </w:r>
    </w:p>
    <w:p w14:paraId="1AD5AAB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中间件监控满足对不同类型中间件的状态、JVM、队列、堆栈等指标进行监控，包含但不限于nginx、zookeeper、rocketmq、rabbitmq、东方通、金蝶、tomcat、kubernetes等常用中间件。</w:t>
      </w:r>
    </w:p>
    <w:p w14:paraId="4C48B00E">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（7）容器监控</w:t>
      </w:r>
    </w:p>
    <w:p w14:paraId="456794E3">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对一体化平台市级节点中部署的容器进行监控，动态展示容器运行指标，实时显示指标异常及故障告警。</w:t>
      </w:r>
    </w:p>
    <w:p w14:paraId="3D65384B">
      <w:pPr>
        <w:pStyle w:val="11"/>
        <w:widowControl/>
        <w:numPr>
          <w:ilvl w:val="4"/>
          <w:numId w:val="0"/>
        </w:numPr>
        <w:tabs>
          <w:tab w:val="clear" w:pos="360"/>
        </w:tabs>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6.3.2.应用性能监控</w:t>
      </w:r>
    </w:p>
    <w:p w14:paraId="34095099">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应用性能监控应具备对应用端、移动端和浏览器的性能监控。</w:t>
      </w:r>
    </w:p>
    <w:p w14:paraId="593D17C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（1）应用端性能监控</w:t>
      </w:r>
    </w:p>
    <w:p w14:paraId="2860E63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应用端性能监控支持监控Java、PHP、Node.js、Python和Go等应用服务，支持包含应用拓扑图和代码层事物追踪等功能，应用端整合前端请求动作并从宏观视角分析系统运行的整体状态，同时从前端到后端细化追踪和分析代码堆栈和数据库，能精确到单条SQL的执行性能。</w:t>
      </w:r>
    </w:p>
    <w:p w14:paraId="62B2274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（2）移动应用性能管理</w:t>
      </w:r>
    </w:p>
    <w:p w14:paraId="3805C2E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移动应用性能管理支持在移动App中嵌入SDK探针，捕捉和采集真实用户体验数据，从而帮助运维人员实时监控并发现移动应用崩溃、加载缓慢等影响用户体验的性能问题。</w:t>
      </w:r>
    </w:p>
    <w:p w14:paraId="58A83BAF">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（3）浏览器性能管理</w:t>
      </w:r>
    </w:p>
    <w:p w14:paraId="4EBAE0A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浏览器性能管理支持通过JS探针监控浏览器端的用户行为与体验数据，提供JavaScript、Ajax请求错误诊断和页面加载深度分析，并细化追踪单个页面在用户访问时的详细信息。支持展示所有浏览器应用服务的运行状态、分析浏览器应用性能、浏览器应用概览、页面分析、错误分析、用户分析、Ajax分析。</w:t>
      </w:r>
    </w:p>
    <w:p w14:paraId="70685E2F">
      <w:pPr>
        <w:pStyle w:val="11"/>
        <w:widowControl/>
        <w:numPr>
          <w:ilvl w:val="4"/>
          <w:numId w:val="0"/>
        </w:numPr>
        <w:tabs>
          <w:tab w:val="clear" w:pos="360"/>
        </w:tabs>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6.3.3.日志分析监控</w:t>
      </w:r>
    </w:p>
    <w:p w14:paraId="73C0DF5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日志分析监控具备日志管理、日志分组、日志检索、日志检测、异常分析和日志链路分析功能。</w:t>
      </w:r>
    </w:p>
    <w:p w14:paraId="07CC08BE">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（1）日志管理具备接入日志采集任务、配置数据表、数据源、处理流程等功能。</w:t>
      </w:r>
    </w:p>
    <w:p w14:paraId="5818128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（2）日志分组应满足按照业务系统、日志类型组等方式对日志内容进行多层级管理，通过用户日志分组目录的维护和查看权限。</w:t>
      </w:r>
    </w:p>
    <w:p w14:paraId="61A9108E">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（3）日志检索具备日志全文检索、划词分析、字段过滤、日志上下文、常用搜索结果保存等功能，能够全方位满足日志查询和使用的需求。</w:t>
      </w:r>
    </w:p>
    <w:p w14:paraId="61CD158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4）异常分析满足对发现的异常日志进行汇总显示，包括检测的历史新增、时段新增、时段突增、时段突降、监控识别异常等。用户可根据监控对象筛选不同的异常模式，同时可根据趋势图分析各模式的相关性。</w:t>
      </w:r>
    </w:p>
    <w:p w14:paraId="125F8B5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（5）日志链路分析具备提供面向业务的服务拓扑展示、服务分析、全链路追踪功能，帮助运维人员快速分析系统性能消耗的根本原因，追踪交易链路，准确定位异常请求。</w:t>
      </w:r>
    </w:p>
    <w:p w14:paraId="75809221">
      <w:pPr>
        <w:pStyle w:val="11"/>
        <w:widowControl/>
        <w:numPr>
          <w:ilvl w:val="4"/>
          <w:numId w:val="0"/>
        </w:numPr>
        <w:tabs>
          <w:tab w:val="clear" w:pos="360"/>
        </w:tabs>
        <w:ind w:left="0" w:leftChars="0" w:firstLine="0" w:firstLineChars="0"/>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6.3.4.用户体验监控</w:t>
      </w:r>
    </w:p>
    <w:p w14:paraId="399CBA89">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用户体验监控具备网页监控和API监控能力。</w:t>
      </w:r>
    </w:p>
    <w:p w14:paraId="6C5EA8E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（1）网页监控</w:t>
      </w:r>
    </w:p>
    <w:p w14:paraId="3752776B">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网页监控支持监控页面可用性、页面性能、资源可用性、资源性能、首屏时间等，支持定位到网站性能问题的具体原因及所在的区域。</w:t>
      </w:r>
    </w:p>
    <w:p w14:paraId="07506C1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（2）API监控</w:t>
      </w:r>
    </w:p>
    <w:p w14:paraId="5C618ACA">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API监控支持数据概览、监控概览、可用率统计、正确率统计、响应时间统计、历史快照管理、告警消息管理等功能。</w:t>
      </w:r>
    </w:p>
    <w:p w14:paraId="1A059053">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支持页面、服务、组件3类对象的主动拨测，支持ping、http、dns、traceroute、tcp、udp等主流网络传输协议，全面问诊网络业务健康。</w:t>
      </w:r>
    </w:p>
    <w:p w14:paraId="4672113D">
      <w:pPr>
        <w:pStyle w:val="11"/>
        <w:widowControl/>
        <w:numPr>
          <w:ilvl w:val="4"/>
          <w:numId w:val="0"/>
        </w:numPr>
        <w:tabs>
          <w:tab w:val="clear" w:pos="360"/>
        </w:tabs>
        <w:ind w:left="0" w:leftChars="0" w:right="280" w:rightChars="0" w:firstLine="0" w:firstLineChars="0"/>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6.3.5.统计分析中心</w:t>
      </w:r>
    </w:p>
    <w:p w14:paraId="5485EFC2">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为数据可视化开发场景提供丰富的组件和应用模板库，可通过拖拉拽的形式完成数据可视化开发，提供了灵活的拓展能力，支持组件开发、自定义函数与全局事件等配置。</w:t>
      </w:r>
    </w:p>
    <w:p w14:paraId="027EBB9C">
      <w:pPr>
        <w:pStyle w:val="10"/>
        <w:widowControl/>
        <w:numPr>
          <w:ilvl w:val="3"/>
          <w:numId w:val="0"/>
        </w:numPr>
        <w:ind w:left="0" w:leftChars="0" w:firstLine="0" w:firstLineChars="0"/>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w:t>
      </w:r>
      <w:r>
        <w:rPr>
          <w:rFonts w:hint="default" w:ascii="宋体" w:hAnsi="宋体" w:eastAsia="宋体" w:cs="宋体"/>
          <w:b/>
          <w:bCs/>
          <w:color w:val="auto"/>
          <w:kern w:val="2"/>
          <w:sz w:val="24"/>
          <w:szCs w:val="24"/>
          <w:highlight w:val="none"/>
          <w:lang w:val="en-US" w:eastAsia="zh-CN" w:bidi="ar-SA"/>
        </w:rPr>
        <w:t>.4.</w:t>
      </w:r>
      <w:r>
        <w:rPr>
          <w:rFonts w:hint="eastAsia" w:ascii="宋体" w:hAnsi="宋体" w:eastAsia="宋体" w:cs="宋体"/>
          <w:b/>
          <w:bCs/>
          <w:color w:val="auto"/>
          <w:kern w:val="2"/>
          <w:sz w:val="24"/>
          <w:szCs w:val="24"/>
          <w:highlight w:val="none"/>
          <w:lang w:val="en-US" w:eastAsia="zh-CN" w:bidi="ar-SA"/>
        </w:rPr>
        <w:t>统一告警子平台</w:t>
      </w:r>
    </w:p>
    <w:p w14:paraId="365EE8A1">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统一告警子平台的主要功能包括但不限于：统一指标管理、全链路监控中心、集中告警管理等。</w:t>
      </w:r>
    </w:p>
    <w:p w14:paraId="586C77A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全面监控触发的告警机制，故障告警、容量预警等集中可视化告警管理，支持皖政通消息提示、短信、邮件等告警通知。</w:t>
      </w:r>
    </w:p>
    <w:p w14:paraId="074BC16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实现告警全生命周期的集中监控、集中管理协调处理。多条相同告警自动收敛，避免“告警风暴”淹没其他重要告警信息。告警一键确认，对于非重要的告警支持一键确认，直接关闭告警。告警待确认，对于不满足实施条件或无影响的告警可以进行待确认处理，待确认可以确认或发起工单处理。支持告警流程化处理，进行告警处置派单，并进行闭环处置。对历史告警信息集中管理，可按需查询各类告警信息和处理状态，按照告警级别、告警时间、所属机房以及告警来源进行查询、统计和展示。对处理中和待处理告警进行监督，了解处理进度。</w:t>
      </w:r>
    </w:p>
    <w:p w14:paraId="59905621">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6.4.1.统一指标管理</w:t>
      </w:r>
    </w:p>
    <w:p w14:paraId="5238A48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（1）智能预警</w:t>
      </w:r>
    </w:p>
    <w:p w14:paraId="621BD5F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市级一体化运维平台针对每个设备可进行实时监控，并可查看历史监控数据，如过去1小时、6小时、12小时、1天、自定义等，监控指标包括CPU、内存、硬盘读写、磁盘读写、网络传输、网络丢包率等。并能根据历史数据变化趋势智能预测每天/每周/每月的变化趋势，并进行智能预警。</w:t>
      </w:r>
    </w:p>
    <w:p w14:paraId="7847541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（2）阈值设置</w:t>
      </w:r>
    </w:p>
    <w:p w14:paraId="2D5F4AE9">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通过监控管理，可查看设备CPU使用率排行、磁盘使用率排行、内存使用率排行。并能根据历史数据变化趋势智能预测下一阶段的变化趋势，并进行智能预警。</w:t>
      </w:r>
    </w:p>
    <w:p w14:paraId="23AF4EB4">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通过红、橙、绿等不同颜色表示主机、中间件、网络设备的运行状况，并可以动态调整主机、中间件、网络设备的变色阈值。通过不同颜色的告警图标，显示各个主机、中间件、网络设备的告警触发情况。通过依赖关系和拓扑感知的智能告警，对告警故障进行直观溯源和快速定位。</w:t>
      </w:r>
    </w:p>
    <w:p w14:paraId="1A737315">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6.4.2.全链路监控中心</w:t>
      </w:r>
    </w:p>
    <w:p w14:paraId="42D1868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满足纵向和横向全链路监控。</w:t>
      </w:r>
    </w:p>
    <w:p w14:paraId="61CDF27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（1）纵向全链路监控</w:t>
      </w:r>
    </w:p>
    <w:p w14:paraId="3A96840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纵向全链路监控为“IT基础架构→端到端业务路径→业务用户体验→日志”的全链路监控体系，对云上云下业务、应用、服务、基础设施进行全资源统一监控、统一分析，形成全链路统一监控，帮助快速分析并定位故障。</w:t>
      </w:r>
    </w:p>
    <w:p w14:paraId="78BCB12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（2）横向全链路监控</w:t>
      </w:r>
    </w:p>
    <w:p w14:paraId="6F12BF0E">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横向全链路监控应用之间的调用过程，基于调用链日志对业务系统进行全流程服务调用拓扑分析，从业务视角对各服务流程的服务请求进行整体统计和耗时分析。通过日志数据，智能化展现交易全链路拓扑图，通过拓扑图直观查看全链路情况。</w:t>
      </w:r>
    </w:p>
    <w:p w14:paraId="1CF4C8D3">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6.4.3.集中告警管理</w:t>
      </w:r>
    </w:p>
    <w:p w14:paraId="6A970AB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实现各监控告警在同一平台上以统一格式、高可读性进行标准化呈现，实现故障及时发现、故障快速定位和故障转为工单、告警查询统计等，达到告警全生命周期的集中监控、集中管理协调处理。避免多平台切换，提升运维效率。</w:t>
      </w:r>
    </w:p>
    <w:p w14:paraId="6F426B1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根据定义的相关性规则，对告警信息按规则进行相应的告警相关性分析，当有多条相同或类似的告警出现，系统可自动收敛，保留有效告警信息，避免“告警风暴”淹没其他重要告警信息。达到消除冗余告警，提升报警准确率，凸现真实告警的目的。</w:t>
      </w:r>
    </w:p>
    <w:p w14:paraId="5EB315BD">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支持统一的告警管理，通过RESTAPI、URL回调等多种告警源接入方式，获得平台各类告警数据，在对告警数据进行清洗、过滤、压缩处理后，支持告警通知能力，至少支持皖政通、邮件、短信、企业微信等通知方式，支持生成告警分析统计报告，为用户提供主动式的故障解决方式。</w:t>
      </w:r>
    </w:p>
    <w:p w14:paraId="4BF2B2D4">
      <w:pPr>
        <w:pStyle w:val="10"/>
        <w:widowControl/>
        <w:numPr>
          <w:ilvl w:val="3"/>
          <w:numId w:val="0"/>
        </w:numPr>
        <w:tabs>
          <w:tab w:val="left" w:pos="360"/>
        </w:tabs>
        <w:ind w:left="0" w:leftChars="0" w:firstLine="0" w:firstLineChars="0"/>
        <w:jc w:val="left"/>
        <w:outlineLvl w:val="4"/>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w:t>
      </w:r>
      <w:r>
        <w:rPr>
          <w:rFonts w:hint="default" w:ascii="宋体" w:hAnsi="宋体" w:eastAsia="宋体" w:cs="宋体"/>
          <w:b/>
          <w:bCs/>
          <w:color w:val="auto"/>
          <w:kern w:val="2"/>
          <w:sz w:val="24"/>
          <w:szCs w:val="24"/>
          <w:highlight w:val="none"/>
          <w:lang w:val="en-US" w:eastAsia="zh-CN" w:bidi="ar-SA"/>
        </w:rPr>
        <w:t>5.</w:t>
      </w:r>
      <w:r>
        <w:rPr>
          <w:rFonts w:hint="eastAsia" w:ascii="宋体" w:hAnsi="宋体" w:eastAsia="宋体" w:cs="宋体"/>
          <w:b/>
          <w:bCs/>
          <w:color w:val="auto"/>
          <w:kern w:val="2"/>
          <w:sz w:val="24"/>
          <w:szCs w:val="24"/>
          <w:highlight w:val="none"/>
          <w:lang w:val="en-US" w:eastAsia="zh-CN" w:bidi="ar-SA"/>
        </w:rPr>
        <w:t>运维工作台</w:t>
      </w:r>
    </w:p>
    <w:p w14:paraId="6BBD0AA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运维工作台的主要功能包括但不限于：智能运维、告警派单、故障处置、运维管控平台等。</w:t>
      </w:r>
    </w:p>
    <w:p w14:paraId="214BD02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工作台实现对用户请求统一受理和分派，流程查询功能方便服务台人员可及时查看流程状态、停留时间及实施情况，以便于及时监督服务效率及服务质量，针对问题工单的处理结果，用户可通过客服中心或工单流程对服务质量进行评价。</w:t>
      </w:r>
    </w:p>
    <w:p w14:paraId="5E6CBDA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工作台作为调度中心，在工作中接收来自不同渠道的反馈意见，用户问题的统一入口，实现工单的统一受理，将接收到的工单进行筛选和分派，需要处理的工单则安排工程师进行办理。支持查看所有的工单信息，包含待受理、处理中、待办、已处理、已回访等等。</w:t>
      </w:r>
    </w:p>
    <w:p w14:paraId="39ED7B02">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在进行工单的分派时，系统支持查看工程师的工作量情况，实现智能分派，将任务分配给专业且有时间的工程师，保证工作的正常化运转，提高工作效率。</w:t>
      </w:r>
    </w:p>
    <w:p w14:paraId="0ED1E5A7">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支持客服回访记录功能，客服针对处理的工单进行回访，若问题没有解决，可在此触发处理机制，从而不断的提高问题处理的效率和服务质量。</w:t>
      </w:r>
    </w:p>
    <w:p w14:paraId="27935DAF">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标准的运维管理流程，让各项运维工作开展有章可循，定制标准化的流程，通过闭环工单进行流程管控，支持发布、变更、事件、配置、问题、账号申请等标准流程管理，同时要求支持自定义流程管理。</w:t>
      </w:r>
    </w:p>
    <w:p w14:paraId="08AE358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所有的工单集中进行展示，可以根据工单处理状态分为处理中、待处理、待回访和已回访等状态进行分类，工单采用闭环流程管理，确保每一项工单服务处理及时、责任到人、接受租户中心监督管理。</w:t>
      </w:r>
    </w:p>
    <w:p w14:paraId="269D0FD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针对不同的工单进行相应专业的空闲工程师派单，统筹管理工程师资源，协调工单与工程师管控。</w:t>
      </w:r>
    </w:p>
    <w:p w14:paraId="62A2FC66">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资源全生命周期管理，支持对平台业务所消耗的资源进行全生命周期管理。</w:t>
      </w:r>
    </w:p>
    <w:p w14:paraId="3DC51F6F">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工作台接入皖政通PC端。</w:t>
      </w:r>
    </w:p>
    <w:p w14:paraId="1B25A0CE">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6.5.1.智能运维</w:t>
      </w:r>
    </w:p>
    <w:p w14:paraId="2514BF00">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具备对关键指标进行时间序列预测以生成动态阈值，自动化监测识别指标异常波动，并推送告警。</w:t>
      </w:r>
    </w:p>
    <w:p w14:paraId="2CA019E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具备对关键指标进行趋势识别，针对异常趋势提前发现，并推送告警辅助运维人员提前解决潜在问题。</w:t>
      </w:r>
    </w:p>
    <w:p w14:paraId="75DDCA45">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6.5.2.运维处置</w:t>
      </w:r>
    </w:p>
    <w:p w14:paraId="6CF2BA9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复用安徽省一体化数据基础平台滁州市市级节点安全运营（监测）平台协同处置模块，实现运维工单闭环处置。</w:t>
      </w:r>
    </w:p>
    <w:p w14:paraId="33F28A6A">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6.5.3.故障处置</w:t>
      </w:r>
    </w:p>
    <w:p w14:paraId="6327064C">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预定义故障处置场景，包含不限于资源不足、服务异常、服务器宕机等故障，可配置故障处置模板，包括但不限于一键重启、一键部署、配置修改、自定义执行脚本等，通过远程执行操作命令，加快故障处置速度，故障处置可配置申请、审核、执行流程。</w:t>
      </w:r>
    </w:p>
    <w:p w14:paraId="478C6D1F">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6.5.4.运维门户</w:t>
      </w:r>
    </w:p>
    <w:p w14:paraId="6DF242F5">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提供运维管理门户界面，可集成现有动环系统、软硬件设备（堡垒机等）、应用系统的相关用户工具以及数据，进行集中的健康状态查看以及快捷登录。</w:t>
      </w:r>
    </w:p>
    <w:p w14:paraId="0BF033EE">
      <w:pPr>
        <w:pStyle w:val="11"/>
        <w:widowControl/>
        <w:numPr>
          <w:ilvl w:val="3"/>
          <w:numId w:val="0"/>
        </w:numPr>
        <w:ind w:left="0" w:leftChars="0" w:firstLine="0" w:firstLineChars="0"/>
        <w:jc w:val="left"/>
        <w:outlineLvl w:val="5"/>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6.5.5.运维管控平台</w:t>
      </w:r>
    </w:p>
    <w:p w14:paraId="3EAAC0D2">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主要是针对软硬件设备、应用系统等提供集中的运行维护管理。</w:t>
      </w:r>
    </w:p>
    <w:p w14:paraId="60E97993">
      <w:pPr>
        <w:widowControl/>
        <w:numPr>
          <w:ilvl w:val="5"/>
          <w:numId w:val="0"/>
        </w:numPr>
        <w:tabs>
          <w:tab w:val="left" w:pos="360"/>
        </w:tabs>
        <w:ind w:left="0" w:leftChars="0" w:right="210" w:rightChars="100" w:firstLine="0" w:firstLineChars="0"/>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p>
    <w:p w14:paraId="42D7D423">
      <w:pPr>
        <w:widowControl/>
        <w:numPr>
          <w:ilvl w:val="5"/>
          <w:numId w:val="0"/>
        </w:numPr>
        <w:tabs>
          <w:tab w:val="left" w:pos="360"/>
        </w:tabs>
        <w:ind w:left="0" w:leftChars="0" w:right="210" w:rightChars="100" w:firstLine="480" w:firstLineChars="200"/>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（1）业务管理</w:t>
      </w:r>
    </w:p>
    <w:p w14:paraId="00C50F7F">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可根据业务的实际需要，建设业务流程管理中心模块，对涉及到各类业务流程进行统一管理。流程管理中心主要展示我发起的、待我处理的和我处理过的流程，可以查询流程的相关记录。系统需具备流程引擎，既能预设固定流程，也能支持用户自定义设置流程。根据所需业务系统开放接口协议即可实现跨系统集成。</w:t>
      </w:r>
    </w:p>
    <w:p w14:paraId="38AF7392">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（2）资源统计</w:t>
      </w:r>
    </w:p>
    <w:p w14:paraId="6764D0D0">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以资产管理、事件管理、指标管理、日志管理、用户管理等消除数据中心管理盲区。让管理者从容量分析、性能分析各个不同的角度充分了解IT资产的管理和使用情况。帮助及时准确决策。例如哪些设备使用率怎么样，哪些设备快要过期了，资源均衡调配和下次采购时间及规模如何规划等等。</w:t>
      </w:r>
    </w:p>
    <w:p w14:paraId="1FE1B153">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可提供各业务数据的丰富图表统计和分析。包括但不限于：</w:t>
      </w:r>
    </w:p>
    <w:p w14:paraId="647DC282">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巡检明细：展示所有巡检任务相关信息，如巡检时间、巡检对象、巡检标准、巡检结论、巡检人等。</w:t>
      </w:r>
    </w:p>
    <w:p w14:paraId="771BE72E">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员工任务统计：展示所有巡检人任务总数、完成任务数、未完成数、超时任务数、任务完成率、任务准点率、异常率等。</w:t>
      </w:r>
    </w:p>
    <w:p w14:paraId="4E4E11DD">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任务汇总统计：按日期展示每天计划任务数、未完成数、超时任务数、任务完成率、任务准点率、异常率。</w:t>
      </w:r>
    </w:p>
    <w:p w14:paraId="1518B821">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日志审核基本报表：统计日志审计数量排行、严重级别日志排行、告警级别日志趋势，并可筛选不同时间维度统计结果。</w:t>
      </w:r>
    </w:p>
    <w:p w14:paraId="1AB6BF86">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计划报表：可创建按天/周/月/年维度的报表，统计指标包括操作系统、数据库、网络设备、安全设备、其他设备等。</w:t>
      </w:r>
    </w:p>
    <w:p w14:paraId="42FD2245">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日志报表：基于不同的统计指标如操作系统、数据库、网络设备、安全设备、其他设备，创建日志排行、日志级别排行、日志数据趋势统计图，并可筛选不同时间维度统计结果。</w:t>
      </w:r>
    </w:p>
    <w:p w14:paraId="12666BB4">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日志下载：可搜索指定日期的历史日志并进行下载。</w:t>
      </w:r>
    </w:p>
    <w:p w14:paraId="60DE16A5">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流程报表：统计每个流程的处理时间、回访时间、服务质量等；</w:t>
      </w:r>
    </w:p>
    <w:p w14:paraId="1B26CD73">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NAT分析：展示不同公网IP对应的公网端口、私网IP、私网端口、有效期等。</w:t>
      </w:r>
    </w:p>
    <w:p w14:paraId="47E87FBB">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资产种类：柱状图展示不同类型资产数量，并可筛选指定资产进行统计。</w:t>
      </w:r>
    </w:p>
    <w:p w14:paraId="45891E1F">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资产状态：饼状图展示不同状态的资产数量，并可筛选指定资产进行统计。</w:t>
      </w:r>
    </w:p>
    <w:p w14:paraId="7B2AB747">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质保期限：以图形的形式展示处于不同质保状态的资产数量，并可筛选指定的资产进行统计。</w:t>
      </w:r>
    </w:p>
    <w:p w14:paraId="31599EC2">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维保期限：以图形的形式展示处于不同维保状态的资产数量，并可筛选指定的资产进行统计。</w:t>
      </w:r>
    </w:p>
    <w:p w14:paraId="2C210A6F">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使用期限：以图形的形式展示处于不同使用期限的资产数量，并可筛选指定的资产进行统计。</w:t>
      </w:r>
    </w:p>
    <w:p w14:paraId="2E4249E9">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客户可根据实际需要导出报表信息。</w:t>
      </w:r>
    </w:p>
    <w:p w14:paraId="30621163">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（3）数据接入</w:t>
      </w:r>
    </w:p>
    <w:p w14:paraId="054F22FE">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以API为核心，支持多来源API接入与管理，灵活数据对接。</w:t>
      </w:r>
    </w:p>
    <w:p w14:paraId="30268632">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通过采集IT数据、业务应用数据进行数据接入，部分部署Agent或直接通过SNMP、SSH、Hadoop、IPMI、JDBC、Restful、SDK、SOAP等协议进行不同数据的采集。</w:t>
      </w:r>
    </w:p>
    <w:p w14:paraId="49D99DB5">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（4）数据计算</w:t>
      </w:r>
    </w:p>
    <w:p w14:paraId="2E30A67B">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提供统一运维数据处理能力：消除系统内部模块的数据孤岛，实现数据统一管理。</w:t>
      </w:r>
    </w:p>
    <w:p w14:paraId="5A0A4035">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构建智能运维算法能力：提供多种算法场景，提升运维工作效率。</w:t>
      </w:r>
    </w:p>
    <w:p w14:paraId="70FD32E7">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（5）数据存储</w:t>
      </w:r>
    </w:p>
    <w:p w14:paraId="60D50DB3">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数据存储采用分布式架构构建，确保系统线性扩展能力，互联网行业最佳实践，支持千台实例规模集群，PB级存储容量。</w:t>
      </w:r>
    </w:p>
    <w:p w14:paraId="77542CC2">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（6）实施数据分析</w:t>
      </w:r>
    </w:p>
    <w:p w14:paraId="0F7DDB60">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基于大数据技术与智能算法，实现PB级多源、离散日志的统一采集、处理、存储与查询分析。</w:t>
      </w:r>
    </w:p>
    <w:p w14:paraId="16B25DD9">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统一收集、处理、分析业务系统运维数据、日志数据和关键指标数据。准确定位故障问题和根因。</w:t>
      </w:r>
    </w:p>
    <w:p w14:paraId="0405C118">
      <w:pPr>
        <w:keepNext w:val="0"/>
        <w:keepLines w:val="0"/>
        <w:widowControl w:val="0"/>
        <w:suppressLineNumbers w:val="0"/>
        <w:spacing w:before="0" w:beforeAutospacing="0" w:after="0" w:afterAutospacing="0" w:line="360" w:lineRule="auto"/>
        <w:ind w:left="0" w:right="0" w:firstLine="480" w:firstLineChars="200"/>
        <w:jc w:val="both"/>
        <w:outlineLvl w:val="9"/>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形成运维数据中台，做到全链路监控数据的呈现，满足智慧经营决策能力的提升。</w:t>
      </w:r>
    </w:p>
    <w:p w14:paraId="1363C24A">
      <w:pPr>
        <w:keepNext w:val="0"/>
        <w:keepLines w:val="0"/>
        <w:widowControl w:val="0"/>
        <w:suppressLineNumbers w:val="0"/>
        <w:spacing w:before="0" w:beforeAutospacing="0" w:after="0" w:afterAutospacing="0" w:line="360" w:lineRule="auto"/>
        <w:ind w:left="0" w:right="0" w:firstLine="480" w:firstLineChars="200"/>
        <w:jc w:val="both"/>
        <w:outlineLvl w:val="9"/>
        <w:rPr>
          <w:rFonts w:hint="default" w:ascii="宋体" w:hAnsi="宋体" w:eastAsia="宋体" w:cs="宋体"/>
          <w:b/>
          <w:bCs/>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
        </w:rPr>
        <w:t>充分发挥数据的潜力和价值，构建精益化运营管理分析场景，为领导辅助决策提供数字化支撑。</w:t>
      </w:r>
    </w:p>
    <w:p w14:paraId="3BE95D00">
      <w:pPr>
        <w:pStyle w:val="7"/>
        <w:bidi w:val="0"/>
        <w:rPr>
          <w:rFonts w:hint="eastAsia"/>
          <w:color w:val="auto"/>
          <w:highlight w:val="none"/>
          <w:lang w:val="en-US" w:eastAsia="zh-CN"/>
        </w:rPr>
      </w:pPr>
      <w:bookmarkStart w:id="60" w:name="_Toc27920"/>
      <w:bookmarkStart w:id="61" w:name="_Toc13016"/>
      <w:r>
        <w:rPr>
          <w:rFonts w:hint="eastAsia"/>
          <w:color w:val="auto"/>
          <w:highlight w:val="none"/>
          <w:lang w:val="en-US" w:eastAsia="zh-CN"/>
        </w:rPr>
        <w:t>三、</w:t>
      </w:r>
      <w:r>
        <w:rPr>
          <w:rFonts w:hint="eastAsia"/>
          <w:color w:val="auto"/>
          <w:highlight w:val="none"/>
        </w:rPr>
        <w:t>服务需求</w:t>
      </w:r>
      <w:bookmarkEnd w:id="60"/>
      <w:bookmarkEnd w:id="61"/>
    </w:p>
    <w:p w14:paraId="39C7D718">
      <w:pPr>
        <w:numPr>
          <w:ilvl w:val="0"/>
          <w:numId w:val="0"/>
        </w:numPr>
        <w:spacing w:line="480" w:lineRule="exact"/>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w:t>
      </w:r>
      <w:r>
        <w:rPr>
          <w:rFonts w:hint="default"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sz w:val="24"/>
          <w:szCs w:val="24"/>
          <w:highlight w:val="none"/>
          <w:lang w:val="en-US" w:eastAsia="zh-CN"/>
        </w:rPr>
        <w:t>项目设计需求</w:t>
      </w:r>
    </w:p>
    <w:p w14:paraId="4C4F6685">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供应商需完成项目设计，主要包系括统架构、业务流程、数据库、接口、功能规格说明书等。</w:t>
      </w:r>
    </w:p>
    <w:p w14:paraId="1BEACB8F">
      <w:pPr>
        <w:numPr>
          <w:ilvl w:val="0"/>
          <w:numId w:val="0"/>
        </w:numPr>
        <w:spacing w:line="480" w:lineRule="exact"/>
        <w:ind w:firstLine="482" w:firstLineChars="200"/>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2.数据资源建设需求</w:t>
      </w:r>
    </w:p>
    <w:p w14:paraId="7230AAFD">
      <w:pPr>
        <w:numPr>
          <w:ilvl w:val="0"/>
          <w:numId w:val="0"/>
        </w:numPr>
        <w:spacing w:line="480" w:lineRule="exact"/>
        <w:ind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default" w:ascii="宋体" w:hAnsi="宋体" w:eastAsia="宋体" w:cs="宋体"/>
          <w:color w:val="auto"/>
          <w:sz w:val="24"/>
          <w:szCs w:val="24"/>
          <w:highlight w:val="none"/>
          <w:lang w:val="en-US" w:eastAsia="zh-CN"/>
        </w:rPr>
        <w:t>的数据资源</w:t>
      </w:r>
      <w:r>
        <w:rPr>
          <w:rFonts w:hint="eastAsia" w:ascii="宋体" w:hAnsi="宋体" w:eastAsia="宋体" w:cs="宋体"/>
          <w:color w:val="auto"/>
          <w:sz w:val="24"/>
          <w:szCs w:val="24"/>
          <w:highlight w:val="none"/>
          <w:lang w:val="en-US" w:eastAsia="zh-CN"/>
        </w:rPr>
        <w:t>建设</w:t>
      </w:r>
      <w:r>
        <w:rPr>
          <w:rFonts w:hint="default" w:ascii="宋体" w:hAnsi="宋体" w:eastAsia="宋体" w:cs="宋体"/>
          <w:color w:val="auto"/>
          <w:sz w:val="24"/>
          <w:szCs w:val="24"/>
          <w:highlight w:val="none"/>
          <w:lang w:val="en-US" w:eastAsia="zh-CN"/>
        </w:rPr>
        <w:t>是支撑业务目标</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确保数据能被高效利用、安全管理且的核心环节，其范围涵盖数据从产生到销毁的全生命周期，涉及需求分析、模型构建、集成共享、安全合规等多个维度</w:t>
      </w:r>
      <w:r>
        <w:rPr>
          <w:rFonts w:hint="eastAsia" w:ascii="宋体" w:hAnsi="宋体" w:eastAsia="宋体" w:cs="宋体"/>
          <w:color w:val="auto"/>
          <w:sz w:val="24"/>
          <w:szCs w:val="24"/>
          <w:highlight w:val="none"/>
          <w:lang w:val="en-US" w:eastAsia="zh-CN"/>
        </w:rPr>
        <w:t>，供应商应深入分析本项目的需求和建设目标，数据资源建设须符合如下要求：</w:t>
      </w:r>
    </w:p>
    <w:p w14:paraId="2846F8A4">
      <w:pPr>
        <w:numPr>
          <w:ilvl w:val="0"/>
          <w:numId w:val="0"/>
        </w:numPr>
        <w:spacing w:line="480" w:lineRule="exact"/>
        <w:ind w:firstLine="480" w:firstLineChars="200"/>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（1）遵照《安徽省数据工程实施指南V2.0》开展本项目的数据架构设计，完成数据工程实施工作。</w:t>
      </w:r>
    </w:p>
    <w:p w14:paraId="195C012B">
      <w:pPr>
        <w:numPr>
          <w:ilvl w:val="0"/>
          <w:numId w:val="0"/>
        </w:numPr>
        <w:spacing w:line="480" w:lineRule="exact"/>
        <w:ind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（2）本项目在开发实施过程中，数据库业务对象设计须与数据架构中的业务对象、逻辑实体、属性保持高度一致，如有修改，须与建设单位沟通后同步调整。</w:t>
      </w:r>
    </w:p>
    <w:p w14:paraId="495F82A1">
      <w:pPr>
        <w:numPr>
          <w:ilvl w:val="0"/>
          <w:numId w:val="0"/>
        </w:numPr>
        <w:spacing w:line="480" w:lineRule="exact"/>
        <w:ind w:firstLine="480"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标准接口设计须遵循统一性、安全性、可扩展性等规范。请求和响应体统一使用JSON格式，统一命名风格，使用标准状态码；接口可注册至一体化数管平台API网关中，复用网关认证授权、限流等安全能力，但接口设计须校验所有输入参数（长度、格式、内容），防止SQL注入或XSS攻击；需支持业务迭代，避免频繁重构，提供标准接口文档，包含版本管理、请求示例、字段说明及测试方法。</w:t>
      </w:r>
    </w:p>
    <w:p w14:paraId="1BA79740">
      <w:pPr>
        <w:numPr>
          <w:ilvl w:val="0"/>
          <w:numId w:val="0"/>
        </w:numPr>
        <w:spacing w:line="480" w:lineRule="exact"/>
        <w:ind w:firstLine="480" w:firstLineChars="200"/>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（4）数据库须合理使用范式设计，减少数据冗余、避免更新异常（插入、删除、修改异常），保证数据一致性。</w:t>
      </w:r>
    </w:p>
    <w:p w14:paraId="5718F017">
      <w:pPr>
        <w:numPr>
          <w:ilvl w:val="0"/>
          <w:numId w:val="0"/>
        </w:numPr>
        <w:spacing w:line="480" w:lineRule="exact"/>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3</w:t>
      </w:r>
      <w:r>
        <w:rPr>
          <w:rFonts w:hint="default"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sz w:val="24"/>
          <w:szCs w:val="24"/>
          <w:highlight w:val="none"/>
          <w:lang w:val="en-US" w:eastAsia="zh-CN"/>
        </w:rPr>
        <w:t>实施进度需求</w:t>
      </w:r>
    </w:p>
    <w:p w14:paraId="41119651">
      <w:pPr>
        <w:pageBreakBefore w:val="0"/>
        <w:kinsoku/>
        <w:overflowPunct/>
        <w:topLinePunct w:val="0"/>
        <w:bidi w:val="0"/>
        <w:snapToGrid/>
        <w:spacing w:line="42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本项目建设周期3个月（自合同签订之日计算），平台基本功能建设完成后开展项目初验，试运行期6个月（自初验合格之日计算）后开展项目终验。项目终验合格后需提供3年免费运维服务。</w:t>
      </w:r>
    </w:p>
    <w:p w14:paraId="0AA2DC97">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项目主要任务包括：项目前期工作（项目立项审批、建设方案编制论证等）、项目招投标、项目建设（项目建设实施、初验、试运行、终验等）。</w:t>
      </w:r>
    </w:p>
    <w:p w14:paraId="0BC69290">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本项目实施进度计划如下：</w:t>
      </w:r>
    </w:p>
    <w:p w14:paraId="6CBDD6F3">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（1）2025年6月底前完成项目前期工作（项目立项审批、建设方案编制论证等）。</w:t>
      </w:r>
    </w:p>
    <w:p w14:paraId="25F93709">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（2）2025年8月底完成项目采购招标。</w:t>
      </w:r>
    </w:p>
    <w:p w14:paraId="2AE34357">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（3）2025年9月启动项目实施。</w:t>
      </w:r>
    </w:p>
    <w:p w14:paraId="624266F4">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（4）2025年11月底完成整体项目建设，并开展项目初验。</w:t>
      </w:r>
    </w:p>
    <w:p w14:paraId="79F53BAC">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（5）2025年12月至2026年5月底，开展项目试运行工作。</w:t>
      </w:r>
    </w:p>
    <w:p w14:paraId="0C36E3F1">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（6）2026年6月完成项目终验工作，开展项目运维工作。</w:t>
      </w:r>
    </w:p>
    <w:p w14:paraId="5FE508B5">
      <w:pPr>
        <w:numPr>
          <w:ilvl w:val="0"/>
          <w:numId w:val="0"/>
        </w:numPr>
        <w:spacing w:line="480" w:lineRule="exact"/>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4</w:t>
      </w:r>
      <w:r>
        <w:rPr>
          <w:rFonts w:hint="default" w:ascii="宋体" w:hAnsi="宋体" w:eastAsia="宋体" w:cs="宋体"/>
          <w:b/>
          <w:bCs/>
          <w:color w:val="auto"/>
          <w:kern w:val="2"/>
          <w:sz w:val="24"/>
          <w:szCs w:val="24"/>
          <w:highlight w:val="none"/>
          <w:lang w:val="en-US" w:eastAsia="zh-CN" w:bidi="ar-SA"/>
        </w:rPr>
        <w:t>.</w:t>
      </w:r>
      <w:r>
        <w:rPr>
          <w:rFonts w:hint="default" w:ascii="宋体" w:hAnsi="宋体" w:eastAsia="宋体" w:cs="宋体"/>
          <w:b/>
          <w:bCs/>
          <w:color w:val="auto"/>
          <w:sz w:val="24"/>
          <w:szCs w:val="24"/>
          <w:highlight w:val="none"/>
          <w:lang w:val="en-US" w:eastAsia="zh-CN"/>
        </w:rPr>
        <w:t>相关保障措施</w:t>
      </w:r>
    </w:p>
    <w:p w14:paraId="39BC7CA0">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针对项目实施过程中可能存在的质量、进度、人员等方面的问题，提出相应的应对保障措施，具体包括：</w:t>
      </w:r>
    </w:p>
    <w:p w14:paraId="6A009D3E">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质量管控方面：实施严格的质量管理体系，包括定期的质量评审、代码审查和测试等。预见可能的质量风险，如技术难题、需求变更等，并制定相应的应对策略。加强项目团队的质量意识培训，确保每个成员都理解并遵循质量标准。</w:t>
      </w:r>
    </w:p>
    <w:p w14:paraId="5EAAB12A">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（2）进度保证方面：制定详细的项目进度计划，明确各阶段的任务、时间节点和责任人。</w:t>
      </w:r>
    </w:p>
    <w:p w14:paraId="0E65AD11">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人员配备方面：供应商应为本项目建立一个完善和稳定的管理组织机构。项目建设和试运行期间，需安排不少于3人的项目团队在滁州驻点工作，人员组成应包括：项目经理、技术负责人、工程师等，并服从招标单位的统一安排。在项目完成验收前，不得随意更换项目实施人员。在项目建设期内，项目实施人员须配合建设方完成与相关单位的需求调研、数据对接、沟通协调、技术培训等建设工作。</w:t>
      </w:r>
    </w:p>
    <w:p w14:paraId="15B804DE">
      <w:pPr>
        <w:numPr>
          <w:ilvl w:val="0"/>
          <w:numId w:val="0"/>
        </w:numPr>
        <w:spacing w:line="480" w:lineRule="exact"/>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5</w:t>
      </w:r>
      <w:r>
        <w:rPr>
          <w:rFonts w:hint="default"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sz w:val="24"/>
          <w:szCs w:val="24"/>
          <w:highlight w:val="none"/>
          <w:lang w:val="en-US" w:eastAsia="zh-CN"/>
        </w:rPr>
        <w:t>运维需求</w:t>
      </w:r>
    </w:p>
    <w:p w14:paraId="29AD99D0">
      <w:pPr>
        <w:spacing w:line="480" w:lineRule="exact"/>
        <w:ind w:firstLine="484"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bidi="ar-SA"/>
        </w:rPr>
        <w:t>项目进入运维周期后，供应商须为本项目开发的软件提供免费原厂质保以及维保服务</w:t>
      </w:r>
      <w:r>
        <w:rPr>
          <w:rFonts w:hint="default" w:ascii="宋体" w:hAnsi="宋体" w:eastAsia="宋体" w:cs="宋体"/>
          <w:color w:val="auto"/>
          <w:sz w:val="24"/>
          <w:szCs w:val="24"/>
          <w:highlight w:val="none"/>
          <w:lang w:val="en-US" w:eastAsia="zh-CN"/>
        </w:rPr>
        <w:t>，按照好用、易用原则定期对系统使用成效进行评估总结，并免费完成系统升级迭代（非新增功能定制化开发）。</w:t>
      </w:r>
    </w:p>
    <w:p w14:paraId="18D70042">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维保要求如下：</w:t>
      </w:r>
    </w:p>
    <w:p w14:paraId="2A75C406">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在运维期内供应商应免费提供3人/月的定制开发服务，该定制开发服务内容不包含对系统原有功能的升级完善，新功能模块须经双方确认后实施。在运维期内供应商须无条件免费按项目建设单位要求提供数据共享接口的开发服务，满足与其他系统对接共享要求。</w:t>
      </w:r>
    </w:p>
    <w:p w14:paraId="1D55C439">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2.在运维期内供应商应免费提供至少1次系统迁移服务。</w:t>
      </w:r>
    </w:p>
    <w:p w14:paraId="7E5117C5">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3.在运维期内须安排</w:t>
      </w:r>
      <w:r>
        <w:rPr>
          <w:rFonts w:hint="eastAsia" w:ascii="宋体" w:hAnsi="宋体" w:eastAsia="宋体" w:cs="宋体"/>
          <w:color w:val="auto"/>
          <w:sz w:val="24"/>
          <w:szCs w:val="24"/>
          <w:highlight w:val="none"/>
          <w:lang w:val="en-US" w:eastAsia="zh-CN"/>
        </w:rPr>
        <w:t>至少2名</w:t>
      </w:r>
      <w:r>
        <w:rPr>
          <w:rFonts w:hint="default" w:ascii="宋体" w:hAnsi="宋体" w:eastAsia="宋体" w:cs="宋体"/>
          <w:color w:val="auto"/>
          <w:sz w:val="24"/>
          <w:szCs w:val="24"/>
          <w:highlight w:val="none"/>
          <w:lang w:val="en-US" w:eastAsia="zh-CN"/>
        </w:rPr>
        <w:t>专职技术人员</w:t>
      </w:r>
      <w:r>
        <w:rPr>
          <w:rFonts w:hint="eastAsia" w:ascii="宋体" w:hAnsi="宋体" w:eastAsia="宋体" w:cs="宋体"/>
          <w:color w:val="auto"/>
          <w:sz w:val="24"/>
          <w:szCs w:val="24"/>
          <w:highlight w:val="none"/>
          <w:lang w:val="en-US" w:eastAsia="zh-CN"/>
        </w:rPr>
        <w:t>提供</w:t>
      </w:r>
      <w:r>
        <w:rPr>
          <w:rFonts w:hint="default" w:ascii="宋体" w:hAnsi="宋体" w:eastAsia="宋体" w:cs="宋体"/>
          <w:color w:val="auto"/>
          <w:sz w:val="24"/>
          <w:szCs w:val="24"/>
          <w:highlight w:val="none"/>
          <w:lang w:val="en-US" w:eastAsia="zh-CN"/>
        </w:rPr>
        <w:t>5×8小时的驻场服务，随时提供技术支持与使用指导，包括免费升级、故障排除、性能调优、技术咨询等。人员必须服从采购人统一管理，遵守岗位职责和各项管理制度。</w:t>
      </w:r>
    </w:p>
    <w:p w14:paraId="4E2D93D1">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根据《安徽省数据资源管理局网络和数据安全制度》要求，为做好运维设备的安全管理和规范接入，在运维期内供应商须免费为项目提供两台全新专用运维终端接入政务外网运维域，专门用于运维人员开展系统升级、维护、巡检，数据导入、导出等工作，其中1台固定终端用于定点运维场景，1台移动终端用于现场巡检、移动维护等场景。专用运维终端设备在运维期内由建设单位负责全程管理，在运维期结束后由建设单位对专用运维终端中的核心数据和重要数据进行销毁，确保数据不可恢复后方可退还供应商。</w:t>
      </w:r>
    </w:p>
    <w:p w14:paraId="32C8E4EA">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5.须定期安排相关技术工程师到业主方现场进行软件系统的全面巡检服务，例行检测、排除隐患，对软件系统的整体运行状态进行评估分析，提供详细巡检报告，并给出优化调整建议。</w:t>
      </w:r>
    </w:p>
    <w:p w14:paraId="4802DD26">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6.须提供7×24小时的技术服务热线，负责解答用户在使用中遇到的问题，并及时提出解决问题的建议和操作方法。</w:t>
      </w:r>
    </w:p>
    <w:p w14:paraId="282CE957">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7.在接到用户故障报告后响应时间不超过30分钟，并在2小时内定位故障，4小时内恢复系统，保证系统的安全和可靠运行。</w:t>
      </w:r>
    </w:p>
    <w:p w14:paraId="0398EF9F">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供应商应按照以上要求，规划设计合理可行的（运维）售后服务方案。</w:t>
      </w:r>
    </w:p>
    <w:p w14:paraId="77CEF6F0">
      <w:pPr>
        <w:numPr>
          <w:ilvl w:val="0"/>
          <w:numId w:val="0"/>
        </w:numPr>
        <w:spacing w:line="480" w:lineRule="exact"/>
        <w:ind w:firstLine="482" w:firstLineChars="200"/>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6.</w:t>
      </w:r>
      <w:r>
        <w:rPr>
          <w:rFonts w:hint="eastAsia" w:ascii="宋体" w:hAnsi="宋体" w:eastAsia="宋体" w:cs="宋体"/>
          <w:b/>
          <w:bCs/>
          <w:color w:val="auto"/>
          <w:sz w:val="24"/>
          <w:szCs w:val="24"/>
          <w:highlight w:val="none"/>
          <w:lang w:val="en-US" w:eastAsia="zh-CN"/>
        </w:rPr>
        <w:t>培训需求</w:t>
      </w:r>
    </w:p>
    <w:p w14:paraId="72B1861D">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（1）培训目标</w:t>
      </w:r>
    </w:p>
    <w:p w14:paraId="5FC225EF">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为使用户方人员能够更好的了解、使用滁州市一体化运维平台，包括运维数据采集平台、资产管理子平台、全栈监控子平台、统一告警子平台、运维工作台等模块的操作方式，并可以独立完成日常管理维护、操作使用、服务测试、一般的故障处理等工作，确保系统的正常运转；项目供应商需选派资深技术人员，结合用户的现有资源和需求，进行内容丰富、形式多样的专业技术培训课程。</w:t>
      </w:r>
    </w:p>
    <w:p w14:paraId="47CE7B0A">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（2）培训对象</w:t>
      </w:r>
    </w:p>
    <w:p w14:paraId="15A78FF7">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本项目培训对象主要包括第三方</w:t>
      </w:r>
      <w:r>
        <w:rPr>
          <w:rFonts w:hint="eastAsia" w:ascii="宋体" w:hAnsi="宋体" w:eastAsia="宋体" w:cs="宋体"/>
          <w:color w:val="auto"/>
          <w:sz w:val="24"/>
          <w:szCs w:val="24"/>
          <w:highlight w:val="none"/>
          <w:lang w:val="en-US" w:eastAsia="zh-CN"/>
        </w:rPr>
        <w:t>技术</w:t>
      </w:r>
      <w:r>
        <w:rPr>
          <w:rFonts w:hint="default" w:ascii="宋体" w:hAnsi="宋体" w:eastAsia="宋体" w:cs="宋体"/>
          <w:color w:val="auto"/>
          <w:sz w:val="24"/>
          <w:szCs w:val="24"/>
          <w:highlight w:val="none"/>
          <w:lang w:val="en-US" w:eastAsia="zh-CN"/>
        </w:rPr>
        <w:t>人员、系统管理（技术）人员、</w:t>
      </w:r>
      <w:r>
        <w:rPr>
          <w:rFonts w:hint="eastAsia" w:ascii="宋体" w:hAnsi="宋体" w:eastAsia="宋体" w:cs="宋体"/>
          <w:color w:val="auto"/>
          <w:sz w:val="24"/>
          <w:szCs w:val="24"/>
          <w:highlight w:val="none"/>
          <w:lang w:val="en-US" w:eastAsia="zh-CN"/>
        </w:rPr>
        <w:t>各部门信息化</w:t>
      </w:r>
      <w:r>
        <w:rPr>
          <w:rFonts w:hint="default" w:ascii="宋体" w:hAnsi="宋体" w:eastAsia="宋体" w:cs="宋体"/>
          <w:color w:val="auto"/>
          <w:sz w:val="24"/>
          <w:szCs w:val="24"/>
          <w:highlight w:val="none"/>
          <w:lang w:val="en-US" w:eastAsia="zh-CN"/>
        </w:rPr>
        <w:t>项目负责人等。</w:t>
      </w:r>
    </w:p>
    <w:p w14:paraId="396C0EE8">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（3）培训地点、时间安排</w:t>
      </w:r>
    </w:p>
    <w:p w14:paraId="73CD6DC2">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培训地点和时间的选择相对灵活。根据不同设备配置，充分结合现场和项目实施进度的实际情况，体现培训的针对性，增强培训的预期效果，培训地点、时间由双方协商确定。</w:t>
      </w:r>
    </w:p>
    <w:p w14:paraId="53D544C2">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（4）培训方式</w:t>
      </w:r>
    </w:p>
    <w:p w14:paraId="6C480280">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培训根据不同课程内容分批、分阶段进行。项目供应商需根据用户的要求和实际需要提供培训资料和课程，在合同签订并征得用户同意后赋予实施。本项目培训包括理论知识培训和现场实践培训。</w:t>
      </w:r>
    </w:p>
    <w:p w14:paraId="67C2360E">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（5）培训内容</w:t>
      </w:r>
    </w:p>
    <w:p w14:paraId="1432EE4E">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根据项目实施进度计划和各种岗位人员的不同需求，对培训课程进行安排，具体包括应用操作、管理及维护等培训课程，同时所有培训课程均为免费培训。具体如下：</w:t>
      </w:r>
    </w:p>
    <w:p w14:paraId="183B29E2">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应用操作培训课程内容：针对各级、各部门工作人员日常对于滁州市一体化运维平台，包括运维数据采集平台、资产管理子平台、全栈监控子平台、统一告警子平台、运维工作台等业务应用系统软件的使用和操作方法进行培训。</w:t>
      </w:r>
    </w:p>
    <w:p w14:paraId="22072EA4">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2）平台使用安全管理培训课程内容：重点针对平台涉及到的网络安全、密码应用安全、平台日常运行管理制度、应急事件处置流程等管理制度进行培训。</w:t>
      </w:r>
    </w:p>
    <w:p w14:paraId="25B8EAB4">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3）维护培训包括专业技术培训、系统总体培训及系统软件培训，具体内容如下：</w:t>
      </w:r>
    </w:p>
    <w:p w14:paraId="5D89DB45">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①专业技术培训课程内容：包括网络基础、系统安全、数据库知识、存储备份管理、应用系统、系统监控等运行维护知识等系列课程内容。</w:t>
      </w:r>
    </w:p>
    <w:p w14:paraId="40C99407">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②网络基础培训课程内容：本课程能够帮助系统管理人员了解掌握网络的硬件及软件的构成，包括局域网、广域网讲解；TCP/IP协议；子网划分；路由器的使用及常用命令；交换机的产品讲解；网络设计及维护等课程内容。</w:t>
      </w:r>
    </w:p>
    <w:p w14:paraId="29B7DE01">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③系统安全培训课程内容：本课程包括计算机系统安全策略；安全体系结构与安全模型；访问控制与防火墙；网络与通信安全；操作系统安全；应用系统安全；漏洞扫描与入侵检测等培训内容。</w:t>
      </w:r>
    </w:p>
    <w:p w14:paraId="0DDFD7EA">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④数据库知识培训课程内容：本课程能够帮助系统管理人员了解数据库的运行方法及原理，使其能够实现基础的数据库备份和恢复、数据检索以及数据库运行情况检查和问题处理、维护。</w:t>
      </w:r>
    </w:p>
    <w:p w14:paraId="4CBF0147">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⑤应用系统管理培训课程内容：本课程是对应用系统、应用支撑系统、权限管理等信息系统管理端运行维护方法和工作流程的系列培训。</w:t>
      </w:r>
    </w:p>
    <w:p w14:paraId="42B01DF1">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⑥系统总体培训课程内容：包括系统体系结构、系统总体设计、系统组成和配置现状等内容。</w:t>
      </w:r>
    </w:p>
    <w:p w14:paraId="3AFCB8F6">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⑦硬件支撑环境培训课程内容：针对硬件支撑环境包含的所有相关技术和产品，以及各类设备的安装、配置、使用、维护方法进行培训；培训范围包括网络系统、数据采集系统。</w:t>
      </w:r>
    </w:p>
    <w:p w14:paraId="7253245D">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⑧系统软件培训课程内容：针对系统软件包含的所有相关技术和产品，以及各类软件的安装、配置、使用、维护方法进行培训；培训范围包括操作系统、数据库。</w:t>
      </w:r>
    </w:p>
    <w:p w14:paraId="4158133F">
      <w:pPr>
        <w:numPr>
          <w:ilvl w:val="0"/>
          <w:numId w:val="0"/>
        </w:numPr>
        <w:spacing w:line="480" w:lineRule="exact"/>
        <w:ind w:firstLine="482" w:firstLineChars="200"/>
        <w:outlineLvl w:val="2"/>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7</w:t>
      </w:r>
      <w:r>
        <w:rPr>
          <w:rFonts w:hint="default" w:ascii="宋体" w:hAnsi="宋体" w:eastAsia="宋体" w:cs="宋体"/>
          <w:b/>
          <w:bCs/>
          <w:color w:val="auto"/>
          <w:kern w:val="2"/>
          <w:sz w:val="24"/>
          <w:szCs w:val="24"/>
          <w:highlight w:val="none"/>
          <w:lang w:val="en-US" w:eastAsia="zh-CN" w:bidi="ar-SA"/>
        </w:rPr>
        <w:t>.</w:t>
      </w:r>
      <w:r>
        <w:rPr>
          <w:rFonts w:hint="default" w:ascii="宋体" w:hAnsi="宋体" w:eastAsia="宋体" w:cs="宋体"/>
          <w:b/>
          <w:bCs/>
          <w:color w:val="auto"/>
          <w:sz w:val="24"/>
          <w:szCs w:val="24"/>
          <w:highlight w:val="none"/>
          <w:lang w:val="en-US" w:eastAsia="zh-CN"/>
        </w:rPr>
        <w:t>安全测评及软件测评</w:t>
      </w:r>
    </w:p>
    <w:p w14:paraId="2886AE0B">
      <w:pPr>
        <w:spacing w:line="480" w:lineRule="exact"/>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项目属于安徽省一体化数据基础平台滁州市级节点建设内容的补充，相关的功能、性能及安全测试基于省一体化数据基础平台提供的服务完成。项目建成后，等保测评工作纳入滁州市城市大脑（省一体化平台滁州市级节点）中统一开展，</w:t>
      </w:r>
      <w:r>
        <w:rPr>
          <w:rFonts w:hint="eastAsia" w:ascii="宋体" w:hAnsi="宋体" w:eastAsia="宋体" w:cs="宋体"/>
          <w:color w:val="auto"/>
          <w:sz w:val="24"/>
          <w:szCs w:val="24"/>
          <w:highlight w:val="none"/>
          <w:lang w:val="en-US" w:eastAsia="zh-CN"/>
        </w:rPr>
        <w:t>供应商需配合完成本项目建设内容的等保测评工作，并确保系统符合三级等保要求</w:t>
      </w:r>
      <w:r>
        <w:rPr>
          <w:rFonts w:hint="default" w:ascii="宋体" w:hAnsi="宋体" w:eastAsia="宋体" w:cs="宋体"/>
          <w:color w:val="auto"/>
          <w:sz w:val="24"/>
          <w:szCs w:val="24"/>
          <w:highlight w:val="none"/>
          <w:lang w:val="en-US" w:eastAsia="zh-CN"/>
        </w:rPr>
        <w:t>。</w:t>
      </w:r>
    </w:p>
    <w:p w14:paraId="23441F96">
      <w:pPr>
        <w:numPr>
          <w:ilvl w:val="0"/>
          <w:numId w:val="0"/>
        </w:numPr>
        <w:spacing w:line="480" w:lineRule="exact"/>
        <w:ind w:firstLine="482" w:firstLineChars="200"/>
        <w:jc w:val="left"/>
        <w:rPr>
          <w:rFonts w:hint="eastAsia" w:ascii="宋体" w:hAnsi="宋体" w:eastAsia="宋体" w:cs="宋体"/>
          <w:b/>
          <w:color w:val="auto"/>
          <w:kern w:val="2"/>
          <w:sz w:val="24"/>
          <w:szCs w:val="18"/>
          <w:highlight w:val="none"/>
          <w:lang w:val="en-US" w:eastAsia="zh-CN" w:bidi="ar-SA"/>
        </w:rPr>
      </w:pPr>
    </w:p>
    <w:p w14:paraId="00F083BE">
      <w:pPr>
        <w:numPr>
          <w:ilvl w:val="0"/>
          <w:numId w:val="0"/>
        </w:numPr>
        <w:spacing w:line="480" w:lineRule="exact"/>
        <w:ind w:firstLine="482" w:firstLineChars="200"/>
        <w:jc w:val="left"/>
        <w:outlineLvl w:val="1"/>
        <w:rPr>
          <w:rFonts w:hint="eastAsia" w:ascii="宋体" w:hAnsi="宋体" w:eastAsia="宋体" w:cs="宋体"/>
          <w:b/>
          <w:color w:val="auto"/>
          <w:sz w:val="24"/>
          <w:szCs w:val="18"/>
          <w:highlight w:val="none"/>
          <w:lang w:val="en-US" w:eastAsia="zh-CN"/>
        </w:rPr>
      </w:pPr>
      <w:r>
        <w:rPr>
          <w:rFonts w:hint="eastAsia" w:ascii="宋体" w:hAnsi="宋体" w:eastAsia="宋体" w:cs="宋体"/>
          <w:b/>
          <w:color w:val="auto"/>
          <w:kern w:val="2"/>
          <w:sz w:val="24"/>
          <w:szCs w:val="18"/>
          <w:highlight w:val="none"/>
          <w:lang w:val="en-US" w:eastAsia="zh-CN" w:bidi="ar-SA"/>
        </w:rPr>
        <w:t>四、</w:t>
      </w:r>
      <w:r>
        <w:rPr>
          <w:rFonts w:hint="eastAsia" w:ascii="宋体" w:hAnsi="宋体" w:eastAsia="宋体" w:cs="宋体"/>
          <w:b/>
          <w:color w:val="auto"/>
          <w:sz w:val="24"/>
          <w:szCs w:val="18"/>
          <w:highlight w:val="none"/>
          <w:lang w:val="en-US" w:eastAsia="zh-CN"/>
        </w:rPr>
        <w:t>报价要求</w:t>
      </w:r>
    </w:p>
    <w:p w14:paraId="75F99713">
      <w:pPr>
        <w:spacing w:line="480" w:lineRule="exact"/>
        <w:ind w:firstLine="480" w:firstLineChars="200"/>
        <w:rPr>
          <w:rFonts w:hint="eastAsia" w:ascii="宋体" w:hAnsi="宋体" w:eastAsia="宋体" w:cs="宋体"/>
          <w:color w:val="auto"/>
          <w:sz w:val="24"/>
          <w:szCs w:val="24"/>
          <w:highlight w:val="none"/>
        </w:rPr>
      </w:pPr>
      <w:bookmarkStart w:id="62" w:name="_Toc8283"/>
      <w:bookmarkStart w:id="63" w:name="_Toc18794"/>
      <w:r>
        <w:rPr>
          <w:rFonts w:hint="eastAsia" w:ascii="宋体" w:hAnsi="宋体" w:eastAsia="宋体" w:cs="宋体"/>
          <w:color w:val="auto"/>
          <w:sz w:val="24"/>
          <w:szCs w:val="24"/>
          <w:highlight w:val="none"/>
        </w:rPr>
        <w:t>1.投标报价的价格是完成项目全部内容（包括后期的相关服务）的价格，其</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价即为履行合同的固定</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w:t>
      </w:r>
    </w:p>
    <w:p w14:paraId="34B25D4E">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总价不得超过预算，报价包括完成本项目所需的全部费用，中标后采购人不再另行支付其他任何费用，结算时不再根据服务期的调整而变动，投标人须自行考虑投标风险，在充分了解本项目的基础上合理报价。</w:t>
      </w:r>
    </w:p>
    <w:p w14:paraId="0A1579B0">
      <w:pPr>
        <w:numPr>
          <w:ilvl w:val="0"/>
          <w:numId w:val="0"/>
        </w:numPr>
        <w:spacing w:line="480" w:lineRule="exact"/>
        <w:ind w:firstLine="482" w:firstLineChars="200"/>
        <w:jc w:val="left"/>
        <w:outlineLvl w:val="1"/>
        <w:rPr>
          <w:rFonts w:hint="eastAsia" w:ascii="宋体" w:hAnsi="宋体" w:eastAsia="宋体" w:cs="宋体"/>
          <w:b/>
          <w:color w:val="auto"/>
          <w:sz w:val="24"/>
          <w:szCs w:val="18"/>
          <w:highlight w:val="none"/>
        </w:rPr>
      </w:pPr>
      <w:r>
        <w:rPr>
          <w:rFonts w:hint="eastAsia" w:ascii="宋体" w:hAnsi="宋体" w:eastAsia="宋体" w:cs="宋体"/>
          <w:b/>
          <w:color w:val="auto"/>
          <w:kern w:val="2"/>
          <w:sz w:val="24"/>
          <w:szCs w:val="18"/>
          <w:highlight w:val="none"/>
          <w:lang w:val="en-US" w:eastAsia="zh-CN" w:bidi="ar-SA"/>
        </w:rPr>
        <w:t>五、</w:t>
      </w:r>
      <w:r>
        <w:rPr>
          <w:rFonts w:hint="eastAsia" w:ascii="宋体" w:hAnsi="宋体" w:eastAsia="宋体" w:cs="宋体"/>
          <w:b/>
          <w:color w:val="auto"/>
          <w:sz w:val="24"/>
          <w:szCs w:val="18"/>
          <w:highlight w:val="none"/>
        </w:rPr>
        <w:t>其他要求</w:t>
      </w:r>
      <w:bookmarkEnd w:id="62"/>
      <w:bookmarkEnd w:id="63"/>
    </w:p>
    <w:p w14:paraId="763519DF">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专利权：中标人须保障采购人在使用该方案时不受到第三方关于侵犯专利权或工业设计权等知识产权的指控。如果任何第三方提出侵权指控与采购人无关，中标人须与第三方交涉并承担可能发生的责任与一切费用。如采购人因此而遭致损失的，中标人应赔偿该损失。</w:t>
      </w:r>
    </w:p>
    <w:p w14:paraId="6035F647">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.本项目定制软件知识产权归采购人所有。</w:t>
      </w:r>
    </w:p>
    <w:p w14:paraId="20A807B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采购人不组织</w:t>
      </w:r>
      <w:r>
        <w:rPr>
          <w:rFonts w:hint="eastAsia" w:ascii="宋体" w:hAnsi="宋体" w:eastAsia="宋体" w:cs="宋体"/>
          <w:bCs/>
          <w:color w:val="auto"/>
          <w:sz w:val="24"/>
          <w:szCs w:val="22"/>
          <w:highlight w:val="none"/>
        </w:rPr>
        <w:t>现场考察</w:t>
      </w:r>
      <w:r>
        <w:rPr>
          <w:rFonts w:hint="eastAsia" w:ascii="宋体" w:hAnsi="宋体" w:eastAsia="宋体" w:cs="宋体"/>
          <w:color w:val="auto"/>
          <w:sz w:val="24"/>
          <w:szCs w:val="24"/>
          <w:highlight w:val="none"/>
        </w:rPr>
        <w:t>：供应商应根据其实际需求自行安排时间进行</w:t>
      </w:r>
      <w:r>
        <w:rPr>
          <w:rFonts w:hint="eastAsia" w:ascii="宋体" w:hAnsi="宋体" w:eastAsia="宋体" w:cs="宋体"/>
          <w:bCs/>
          <w:color w:val="auto"/>
          <w:sz w:val="24"/>
          <w:szCs w:val="22"/>
          <w:highlight w:val="none"/>
        </w:rPr>
        <w:t>现场考察</w:t>
      </w:r>
      <w:r>
        <w:rPr>
          <w:rFonts w:hint="eastAsia" w:ascii="宋体" w:hAnsi="宋体" w:eastAsia="宋体" w:cs="宋体"/>
          <w:color w:val="auto"/>
          <w:sz w:val="24"/>
          <w:szCs w:val="24"/>
          <w:highlight w:val="none"/>
        </w:rPr>
        <w:t>。供应商</w:t>
      </w:r>
      <w:r>
        <w:rPr>
          <w:rFonts w:hint="eastAsia" w:ascii="宋体" w:hAnsi="宋体" w:eastAsia="宋体" w:cs="宋体"/>
          <w:bCs/>
          <w:color w:val="auto"/>
          <w:sz w:val="24"/>
          <w:szCs w:val="22"/>
          <w:highlight w:val="none"/>
        </w:rPr>
        <w:t>现场考察</w:t>
      </w:r>
      <w:r>
        <w:rPr>
          <w:rFonts w:hint="eastAsia" w:ascii="宋体" w:hAnsi="宋体" w:eastAsia="宋体" w:cs="宋体"/>
          <w:color w:val="auto"/>
          <w:sz w:val="24"/>
          <w:szCs w:val="24"/>
          <w:highlight w:val="none"/>
        </w:rPr>
        <w:t>的费用自理，为投标报价取得依据。一旦中标，不得以不了解现场情况为理由而提出额外费用。在现场考察过程中，投标人如果发生人身伤亡、财务或其它损失，不论何种原因造成，均由投标人自负。</w:t>
      </w:r>
    </w:p>
    <w:p w14:paraId="1639BE0F">
      <w:pPr>
        <w:pStyle w:val="1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ajorEastAsia" w:hAnsiTheme="majorEastAsia" w:eastAsiaTheme="majorEastAsia" w:cstheme="majorEastAsia"/>
          <w:b w:val="0"/>
          <w:bCs w:val="0"/>
          <w:color w:val="auto"/>
          <w:kern w:val="2"/>
          <w:sz w:val="24"/>
          <w:szCs w:val="24"/>
          <w:highlight w:val="none"/>
          <w:lang w:val="en-US" w:eastAsia="zh-CN" w:bidi="ar-SA"/>
        </w:rPr>
      </w:pPr>
    </w:p>
    <w:p w14:paraId="1193D927">
      <w:pPr>
        <w:spacing w:line="360" w:lineRule="auto"/>
        <w:rPr>
          <w:rFonts w:hint="eastAsia" w:asciiTheme="majorEastAsia" w:hAnsiTheme="majorEastAsia" w:eastAsiaTheme="majorEastAsia" w:cstheme="majorEastAsia"/>
          <w:b/>
          <w:color w:val="auto"/>
          <w:sz w:val="24"/>
          <w:szCs w:val="24"/>
          <w:highlight w:val="none"/>
        </w:rPr>
      </w:pPr>
      <w:r>
        <w:rPr>
          <w:rFonts w:hint="eastAsia" w:asciiTheme="majorEastAsia" w:hAnsiTheme="majorEastAsia" w:eastAsiaTheme="majorEastAsia" w:cstheme="majorEastAsia"/>
          <w:b/>
          <w:color w:val="auto"/>
          <w:sz w:val="24"/>
          <w:szCs w:val="24"/>
          <w:highlight w:val="none"/>
        </w:rPr>
        <w:br w:type="page"/>
      </w:r>
    </w:p>
    <w:p w14:paraId="57BF1869">
      <w:pPr>
        <w:spacing w:line="360" w:lineRule="auto"/>
        <w:jc w:val="center"/>
        <w:outlineLvl w:val="0"/>
        <w:rPr>
          <w:rFonts w:hint="eastAsia" w:asciiTheme="minorEastAsia" w:hAnsiTheme="minorEastAsia" w:eastAsiaTheme="minorEastAsia"/>
          <w:b/>
          <w:color w:val="auto"/>
          <w:sz w:val="28"/>
          <w:highlight w:val="none"/>
        </w:rPr>
      </w:pPr>
      <w:r>
        <w:rPr>
          <w:rFonts w:hint="eastAsia" w:asciiTheme="majorEastAsia" w:hAnsiTheme="majorEastAsia" w:eastAsiaTheme="majorEastAsia" w:cstheme="majorEastAsia"/>
          <w:b/>
          <w:color w:val="auto"/>
          <w:sz w:val="24"/>
          <w:szCs w:val="24"/>
          <w:highlight w:val="none"/>
        </w:rPr>
        <w:t>第四章  评标方法和标准（综合评分法）</w:t>
      </w:r>
      <w:bookmarkEnd w:id="46"/>
    </w:p>
    <w:p w14:paraId="2802FB49">
      <w:pPr>
        <w:spacing w:line="440" w:lineRule="exact"/>
        <w:ind w:firstLine="437"/>
        <w:outlineLvl w:val="1"/>
        <w:rPr>
          <w:rFonts w:hint="eastAsia" w:asciiTheme="minorEastAsia" w:hAnsiTheme="minorEastAsia" w:eastAsiaTheme="minorEastAsia"/>
          <w:b/>
          <w:color w:val="auto"/>
          <w:sz w:val="24"/>
          <w:highlight w:val="none"/>
        </w:rPr>
      </w:pPr>
      <w:bookmarkStart w:id="64" w:name="_Toc4705"/>
      <w:bookmarkStart w:id="65" w:name="_Toc11823"/>
      <w:r>
        <w:rPr>
          <w:rFonts w:hint="eastAsia" w:asciiTheme="minorEastAsia" w:hAnsiTheme="minorEastAsia" w:eastAsiaTheme="minorEastAsia"/>
          <w:b/>
          <w:color w:val="auto"/>
          <w:sz w:val="24"/>
          <w:highlight w:val="none"/>
        </w:rPr>
        <w:t>一、总则</w:t>
      </w:r>
      <w:bookmarkEnd w:id="64"/>
      <w:bookmarkEnd w:id="65"/>
    </w:p>
    <w:p w14:paraId="545F0F67">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269D9DB6">
      <w:pPr>
        <w:spacing w:line="440" w:lineRule="exact"/>
        <w:ind w:firstLine="437"/>
        <w:outlineLvl w:val="1"/>
        <w:rPr>
          <w:rFonts w:hint="eastAsia" w:asciiTheme="minorEastAsia" w:hAnsiTheme="minorEastAsia" w:eastAsiaTheme="minorEastAsia"/>
          <w:b/>
          <w:color w:val="auto"/>
          <w:sz w:val="24"/>
          <w:highlight w:val="none"/>
        </w:rPr>
      </w:pPr>
      <w:bookmarkStart w:id="66" w:name="_Toc31871"/>
      <w:bookmarkStart w:id="67" w:name="_Toc32410"/>
      <w:r>
        <w:rPr>
          <w:rFonts w:hint="eastAsia" w:asciiTheme="minorEastAsia" w:hAnsiTheme="minorEastAsia" w:eastAsiaTheme="minorEastAsia"/>
          <w:b/>
          <w:color w:val="auto"/>
          <w:sz w:val="24"/>
          <w:highlight w:val="none"/>
        </w:rPr>
        <w:t>二、评标方法</w:t>
      </w:r>
      <w:bookmarkEnd w:id="66"/>
      <w:bookmarkEnd w:id="67"/>
    </w:p>
    <w:p w14:paraId="309B42EB">
      <w:pPr>
        <w:spacing w:line="440" w:lineRule="exact"/>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32"/>
        <w:tblW w:w="51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647"/>
        <w:gridCol w:w="4556"/>
        <w:gridCol w:w="1974"/>
      </w:tblGrid>
      <w:tr w14:paraId="2E31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1F412DD8">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b/>
                <w:color w:val="auto"/>
                <w:sz w:val="24"/>
                <w:szCs w:val="22"/>
                <w:highlight w:val="none"/>
              </w:rPr>
              <w:t>资格审查表</w:t>
            </w:r>
          </w:p>
        </w:tc>
      </w:tr>
      <w:tr w14:paraId="3961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bottom w:val="single" w:color="auto" w:sz="4" w:space="0"/>
            </w:tcBorders>
            <w:vAlign w:val="center"/>
          </w:tcPr>
          <w:p w14:paraId="441E68A2">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序号</w:t>
            </w:r>
          </w:p>
        </w:tc>
        <w:tc>
          <w:tcPr>
            <w:tcW w:w="933" w:type="pct"/>
            <w:tcBorders>
              <w:bottom w:val="single" w:color="auto" w:sz="4" w:space="0"/>
            </w:tcBorders>
            <w:vAlign w:val="center"/>
          </w:tcPr>
          <w:p w14:paraId="32C072D9">
            <w:pPr>
              <w:pStyle w:val="53"/>
              <w:keepNext w:val="0"/>
              <w:keepLines w:val="0"/>
              <w:suppressLineNumbers w:val="0"/>
              <w:pBdr>
                <w:bottom w:val="none" w:color="auto" w:sz="0" w:space="0"/>
              </w:pBdr>
              <w:tabs>
                <w:tab w:val="clear" w:pos="4153"/>
                <w:tab w:val="clear" w:pos="8306"/>
              </w:tabs>
              <w:snapToGrid w:val="0"/>
              <w:spacing w:before="0" w:beforeAutospacing="0" w:after="0" w:afterAutospacing="0" w:line="440" w:lineRule="exact"/>
              <w:ind w:left="0" w:right="-10"/>
              <w:textAlignment w:val="auto"/>
              <w:rPr>
                <w:rFonts w:hint="eastAsia" w:ascii="宋体" w:hAnsi="宋体" w:eastAsia="宋体"/>
                <w:color w:val="auto"/>
                <w:kern w:val="2"/>
                <w:szCs w:val="24"/>
                <w:highlight w:val="none"/>
              </w:rPr>
            </w:pPr>
            <w:r>
              <w:rPr>
                <w:rFonts w:hint="eastAsia" w:ascii="宋体" w:hAnsi="宋体" w:eastAsia="宋体"/>
                <w:color w:val="auto"/>
                <w:kern w:val="2"/>
                <w:szCs w:val="24"/>
                <w:highlight w:val="none"/>
              </w:rPr>
              <w:t>审查因素</w:t>
            </w:r>
          </w:p>
        </w:tc>
        <w:tc>
          <w:tcPr>
            <w:tcW w:w="2580" w:type="pct"/>
            <w:tcBorders>
              <w:bottom w:val="single" w:color="auto" w:sz="4" w:space="0"/>
            </w:tcBorders>
            <w:vAlign w:val="center"/>
          </w:tcPr>
          <w:p w14:paraId="250F77F2">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审查内容</w:t>
            </w:r>
          </w:p>
        </w:tc>
        <w:tc>
          <w:tcPr>
            <w:tcW w:w="1116" w:type="pct"/>
            <w:tcBorders>
              <w:bottom w:val="single" w:color="auto" w:sz="4" w:space="0"/>
            </w:tcBorders>
            <w:vAlign w:val="center"/>
          </w:tcPr>
          <w:p w14:paraId="35B08513">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格式要求</w:t>
            </w:r>
          </w:p>
        </w:tc>
      </w:tr>
      <w:tr w14:paraId="6C63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69" w:type="pct"/>
            <w:tcBorders>
              <w:bottom w:val="single" w:color="auto" w:sz="4" w:space="0"/>
            </w:tcBorders>
            <w:vAlign w:val="center"/>
          </w:tcPr>
          <w:p w14:paraId="7E02F184">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1</w:t>
            </w:r>
          </w:p>
        </w:tc>
        <w:tc>
          <w:tcPr>
            <w:tcW w:w="933" w:type="pct"/>
            <w:tcBorders>
              <w:bottom w:val="single" w:color="auto" w:sz="4" w:space="0"/>
            </w:tcBorders>
            <w:vAlign w:val="center"/>
          </w:tcPr>
          <w:p w14:paraId="0B24CF75">
            <w:pPr>
              <w:keepNext w:val="0"/>
              <w:keepLines w:val="0"/>
              <w:suppressLineNumbers w:val="0"/>
              <w:spacing w:before="0" w:beforeAutospacing="0" w:after="50" w:afterAutospacing="0" w:line="440" w:lineRule="exact"/>
              <w:ind w:left="0" w:right="-10"/>
              <w:jc w:val="center"/>
              <w:rPr>
                <w:rFonts w:hint="eastAsia" w:ascii="宋体" w:hAnsi="宋体" w:eastAsia="宋体"/>
                <w:color w:val="auto"/>
                <w:sz w:val="24"/>
                <w:szCs w:val="28"/>
                <w:highlight w:val="none"/>
              </w:rPr>
            </w:pPr>
            <w:r>
              <w:rPr>
                <w:rFonts w:hint="default" w:ascii="宋体" w:hAnsi="宋体" w:eastAsia="宋体" w:cs="宋体"/>
                <w:color w:val="auto"/>
                <w:spacing w:val="9"/>
                <w:sz w:val="24"/>
                <w:szCs w:val="24"/>
                <w:highlight w:val="none"/>
              </w:rPr>
              <w:t>营业执照等证明</w:t>
            </w:r>
            <w:r>
              <w:rPr>
                <w:rFonts w:hint="default" w:ascii="宋体" w:hAnsi="宋体" w:eastAsia="宋体" w:cs="宋体"/>
                <w:color w:val="auto"/>
                <w:spacing w:val="-3"/>
                <w:sz w:val="24"/>
                <w:szCs w:val="24"/>
                <w:highlight w:val="none"/>
              </w:rPr>
              <w:t>文件</w:t>
            </w:r>
          </w:p>
        </w:tc>
        <w:tc>
          <w:tcPr>
            <w:tcW w:w="2580" w:type="pct"/>
            <w:tcBorders>
              <w:bottom w:val="single" w:color="auto" w:sz="4" w:space="0"/>
            </w:tcBorders>
            <w:vAlign w:val="center"/>
          </w:tcPr>
          <w:p w14:paraId="210FC6E2">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default"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rPr>
              <w:t>提</w:t>
            </w:r>
            <w:r>
              <w:rPr>
                <w:rFonts w:hint="default" w:ascii="宋体" w:hAnsi="宋体" w:eastAsia="宋体" w:cs="宋体"/>
                <w:color w:val="auto"/>
                <w:sz w:val="24"/>
                <w:szCs w:val="24"/>
                <w:highlight w:val="none"/>
              </w:rPr>
              <w:t>供有效的营业执照；</w:t>
            </w:r>
          </w:p>
          <w:p w14:paraId="6A18C578">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default"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rPr>
              <w:t>提</w:t>
            </w:r>
            <w:r>
              <w:rPr>
                <w:rFonts w:hint="default" w:ascii="宋体" w:hAnsi="宋体" w:eastAsia="宋体" w:cs="宋体"/>
                <w:color w:val="auto"/>
                <w:sz w:val="24"/>
                <w:szCs w:val="24"/>
                <w:highlight w:val="none"/>
              </w:rPr>
              <w:t>供有效的事业单位法人证书；</w:t>
            </w:r>
          </w:p>
          <w:p w14:paraId="15B595EA">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default"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rPr>
              <w:t>提</w:t>
            </w:r>
            <w:r>
              <w:rPr>
                <w:rFonts w:hint="default"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rPr>
              <w:t>或</w:t>
            </w:r>
            <w:r>
              <w:rPr>
                <w:rFonts w:hint="default" w:ascii="宋体" w:hAnsi="宋体" w:eastAsia="宋体" w:cs="宋体"/>
                <w:color w:val="auto"/>
                <w:sz w:val="24"/>
                <w:szCs w:val="24"/>
                <w:highlight w:val="none"/>
              </w:rPr>
              <w:t>登记证书等证明文件；</w:t>
            </w:r>
          </w:p>
          <w:p w14:paraId="7FB88C5B">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default"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rPr>
              <w:t>提</w:t>
            </w:r>
            <w:r>
              <w:rPr>
                <w:rFonts w:hint="default" w:ascii="宋体" w:hAnsi="宋体" w:eastAsia="宋体" w:cs="宋体"/>
                <w:color w:val="auto"/>
                <w:sz w:val="24"/>
                <w:szCs w:val="24"/>
                <w:highlight w:val="none"/>
              </w:rPr>
              <w:t>供有效的个体工商户营业执照；</w:t>
            </w:r>
          </w:p>
          <w:p w14:paraId="4E54E454">
            <w:pPr>
              <w:keepNext w:val="0"/>
              <w:keepLines w:val="0"/>
              <w:suppressLineNumbers w:val="0"/>
              <w:spacing w:before="0" w:beforeAutospacing="0" w:after="50" w:afterAutospacing="0" w:line="440" w:lineRule="exact"/>
              <w:ind w:left="0" w:right="-1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rPr>
              <w:t>（5）</w:t>
            </w:r>
            <w:r>
              <w:rPr>
                <w:rFonts w:hint="default"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rPr>
              <w:t>提</w:t>
            </w:r>
            <w:r>
              <w:rPr>
                <w:rFonts w:hint="default" w:ascii="宋体" w:hAnsi="宋体" w:eastAsia="宋体" w:cs="宋体"/>
                <w:color w:val="auto"/>
                <w:sz w:val="24"/>
                <w:szCs w:val="24"/>
                <w:highlight w:val="none"/>
              </w:rPr>
              <w:t>供有效的自然人身份证明。</w:t>
            </w:r>
          </w:p>
        </w:tc>
        <w:tc>
          <w:tcPr>
            <w:tcW w:w="1116" w:type="pct"/>
            <w:vAlign w:val="center"/>
          </w:tcPr>
          <w:p w14:paraId="53FCB7AE">
            <w:pPr>
              <w:keepNext w:val="0"/>
              <w:keepLines w:val="0"/>
              <w:suppressLineNumbers w:val="0"/>
              <w:spacing w:before="0" w:beforeAutospacing="0" w:after="0" w:afterAutospacing="0" w:line="440" w:lineRule="exact"/>
              <w:ind w:left="0" w:right="0"/>
              <w:jc w:val="left"/>
              <w:rPr>
                <w:rFonts w:hint="eastAsia" w:ascii="宋体" w:hAnsi="宋体" w:eastAsia="宋体"/>
                <w:color w:val="auto"/>
                <w:sz w:val="24"/>
                <w:szCs w:val="20"/>
                <w:highlight w:val="none"/>
              </w:rPr>
            </w:pPr>
            <w:r>
              <w:rPr>
                <w:rFonts w:hint="eastAsia" w:ascii="宋体" w:hAnsi="宋体" w:eastAsia="宋体" w:cs="宋体"/>
                <w:color w:val="auto"/>
                <w:sz w:val="24"/>
                <w:szCs w:val="24"/>
                <w:highlight w:val="none"/>
              </w:rPr>
              <w:t>提供材料扫描件或电子证照，应完整的体现出材料或电子证照全部内容。联合体投标的联合体各方均须提供。</w:t>
            </w:r>
          </w:p>
        </w:tc>
      </w:tr>
      <w:tr w14:paraId="5512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69" w:type="pct"/>
            <w:tcBorders>
              <w:bottom w:val="single" w:color="auto" w:sz="4" w:space="0"/>
            </w:tcBorders>
            <w:vAlign w:val="center"/>
          </w:tcPr>
          <w:p w14:paraId="76D329A3">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2</w:t>
            </w:r>
          </w:p>
        </w:tc>
        <w:tc>
          <w:tcPr>
            <w:tcW w:w="933" w:type="pct"/>
            <w:tcBorders>
              <w:bottom w:val="single" w:color="auto" w:sz="4" w:space="0"/>
            </w:tcBorders>
            <w:vAlign w:val="center"/>
          </w:tcPr>
          <w:p w14:paraId="4FDDE7F2">
            <w:pPr>
              <w:keepNext w:val="0"/>
              <w:keepLines w:val="0"/>
              <w:suppressLineNumbers w:val="0"/>
              <w:spacing w:before="0" w:beforeAutospacing="0" w:after="50" w:afterAutospacing="0" w:line="440" w:lineRule="exact"/>
              <w:ind w:left="0" w:right="-10"/>
              <w:jc w:val="center"/>
              <w:rPr>
                <w:rFonts w:hint="eastAsia" w:ascii="宋体" w:hAnsi="宋体" w:eastAsia="宋体"/>
                <w:color w:val="auto"/>
                <w:sz w:val="24"/>
                <w:szCs w:val="28"/>
                <w:highlight w:val="none"/>
              </w:rPr>
            </w:pPr>
            <w:r>
              <w:rPr>
                <w:rFonts w:hint="eastAsia" w:ascii="宋体" w:hAnsi="宋体" w:eastAsia="宋体"/>
                <w:color w:val="auto"/>
                <w:sz w:val="24"/>
                <w:szCs w:val="18"/>
                <w:highlight w:val="none"/>
              </w:rPr>
              <w:t>投标人资格声明书</w:t>
            </w:r>
          </w:p>
        </w:tc>
        <w:tc>
          <w:tcPr>
            <w:tcW w:w="2580" w:type="pct"/>
            <w:tcBorders>
              <w:bottom w:val="single" w:color="auto" w:sz="4" w:space="0"/>
            </w:tcBorders>
            <w:vAlign w:val="center"/>
          </w:tcPr>
          <w:p w14:paraId="3D1C001F">
            <w:pPr>
              <w:keepNext w:val="0"/>
              <w:keepLines w:val="0"/>
              <w:suppressLineNumbers w:val="0"/>
              <w:spacing w:before="0" w:beforeAutospacing="0" w:after="50" w:afterAutospacing="0" w:line="440" w:lineRule="exact"/>
              <w:ind w:left="0" w:right="-1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rPr>
              <w:t>提</w:t>
            </w:r>
            <w:r>
              <w:rPr>
                <w:rFonts w:hint="default"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rPr>
              <w:t>。</w:t>
            </w:r>
          </w:p>
        </w:tc>
        <w:tc>
          <w:tcPr>
            <w:tcW w:w="1116" w:type="pct"/>
            <w:vAlign w:val="center"/>
          </w:tcPr>
          <w:p w14:paraId="4F9B1715">
            <w:pPr>
              <w:keepNext w:val="0"/>
              <w:keepLines w:val="0"/>
              <w:suppressLineNumbers w:val="0"/>
              <w:spacing w:before="0" w:beforeAutospacing="0" w:after="0" w:afterAutospacing="0" w:line="440" w:lineRule="exact"/>
              <w:ind w:left="0" w:right="0"/>
              <w:jc w:val="left"/>
              <w:rPr>
                <w:rFonts w:hint="eastAsia" w:ascii="宋体" w:hAnsi="宋体" w:eastAsia="宋体" w:cs="宋体"/>
                <w:color w:val="auto"/>
                <w:sz w:val="24"/>
                <w:szCs w:val="24"/>
                <w:highlight w:val="none"/>
              </w:rPr>
            </w:pPr>
            <w:r>
              <w:rPr>
                <w:rFonts w:hint="eastAsia" w:ascii="宋体" w:hAnsi="宋体" w:eastAsia="宋体"/>
                <w:color w:val="auto"/>
                <w:sz w:val="24"/>
                <w:szCs w:val="20"/>
                <w:highlight w:val="none"/>
              </w:rPr>
              <w:t>详见第六章投标文件格式。</w:t>
            </w:r>
          </w:p>
        </w:tc>
      </w:tr>
      <w:tr w14:paraId="4D8F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bottom w:val="single" w:color="auto" w:sz="4" w:space="0"/>
            </w:tcBorders>
            <w:vAlign w:val="center"/>
          </w:tcPr>
          <w:p w14:paraId="51FEC807">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3</w:t>
            </w:r>
          </w:p>
        </w:tc>
        <w:tc>
          <w:tcPr>
            <w:tcW w:w="933" w:type="pct"/>
            <w:tcBorders>
              <w:bottom w:val="single" w:color="auto" w:sz="4" w:space="0"/>
            </w:tcBorders>
            <w:vAlign w:val="center"/>
          </w:tcPr>
          <w:p w14:paraId="2FFD7BF1">
            <w:pPr>
              <w:keepNext w:val="0"/>
              <w:keepLines w:val="0"/>
              <w:suppressLineNumbers w:val="0"/>
              <w:spacing w:before="0" w:beforeAutospacing="0" w:after="50" w:afterAutospacing="0" w:line="440" w:lineRule="exact"/>
              <w:ind w:left="0" w:right="-10"/>
              <w:jc w:val="center"/>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580" w:type="pct"/>
            <w:tcBorders>
              <w:bottom w:val="single" w:color="auto" w:sz="4" w:space="0"/>
            </w:tcBorders>
            <w:vAlign w:val="center"/>
          </w:tcPr>
          <w:p w14:paraId="52C25011">
            <w:pPr>
              <w:keepNext w:val="0"/>
              <w:keepLines w:val="0"/>
              <w:suppressLineNumbers w:val="0"/>
              <w:spacing w:before="0" w:beforeAutospacing="0" w:after="50" w:afterAutospacing="0" w:line="440" w:lineRule="exact"/>
              <w:ind w:left="0" w:right="-10"/>
              <w:jc w:val="left"/>
              <w:rPr>
                <w:rFonts w:hint="eastAsia"/>
                <w:color w:val="auto"/>
                <w:szCs w:val="20"/>
                <w:highlight w:val="none"/>
              </w:rPr>
            </w:pPr>
            <w:r>
              <w:rPr>
                <w:rFonts w:hint="eastAsia" w:ascii="宋体" w:hAnsi="宋体" w:eastAsia="宋体" w:cs="宋体"/>
                <w:color w:val="auto"/>
                <w:sz w:val="24"/>
                <w:szCs w:val="24"/>
                <w:highlight w:val="none"/>
                <w:lang w:val="zh-CN"/>
              </w:rPr>
              <w:t>投标人不得存在</w:t>
            </w:r>
            <w:r>
              <w:rPr>
                <w:rFonts w:hint="eastAsia" w:ascii="宋体" w:hAnsi="宋体" w:eastAsia="宋体" w:cs="宋体"/>
                <w:color w:val="auto"/>
                <w:sz w:val="24"/>
                <w:szCs w:val="24"/>
                <w:highlight w:val="none"/>
              </w:rPr>
              <w:t>投标邀请第4条信誉要求和</w:t>
            </w:r>
            <w:r>
              <w:rPr>
                <w:rFonts w:hint="eastAsia" w:ascii="宋体" w:hAnsi="宋体" w:eastAsia="宋体" w:cs="宋体"/>
                <w:color w:val="auto"/>
                <w:sz w:val="24"/>
                <w:szCs w:val="24"/>
                <w:highlight w:val="none"/>
                <w:lang w:val="zh-CN"/>
              </w:rPr>
              <w:t>投标人须知正文第1</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116" w:type="pct"/>
            <w:tcBorders>
              <w:bottom w:val="single" w:color="auto" w:sz="4" w:space="0"/>
            </w:tcBorders>
            <w:vAlign w:val="center"/>
          </w:tcPr>
          <w:p w14:paraId="4386F3B4">
            <w:pPr>
              <w:keepNext w:val="0"/>
              <w:keepLines w:val="0"/>
              <w:suppressLineNumbers w:val="0"/>
              <w:spacing w:before="0" w:beforeAutospacing="0" w:after="0" w:afterAutospacing="0" w:line="440" w:lineRule="exact"/>
              <w:ind w:left="0" w:right="0"/>
              <w:jc w:val="left"/>
              <w:rPr>
                <w:rFonts w:hint="eastAsia"/>
                <w:color w:val="auto"/>
                <w:szCs w:val="20"/>
                <w:highlight w:val="none"/>
              </w:rPr>
            </w:pPr>
            <w:r>
              <w:rPr>
                <w:rFonts w:hint="eastAsia" w:ascii="宋体" w:hAnsi="宋体" w:eastAsia="宋体" w:cs="宋体"/>
                <w:color w:val="auto"/>
                <w:sz w:val="24"/>
                <w:szCs w:val="24"/>
                <w:highlight w:val="none"/>
              </w:rPr>
              <w:t>无须投标人提供，由采购人或采购代理机构查询。</w:t>
            </w:r>
          </w:p>
        </w:tc>
      </w:tr>
      <w:tr w14:paraId="3A07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bottom w:val="single" w:color="auto" w:sz="4" w:space="0"/>
            </w:tcBorders>
            <w:shd w:val="clear" w:color="auto" w:fill="auto"/>
            <w:vAlign w:val="center"/>
          </w:tcPr>
          <w:p w14:paraId="7C14CE71">
            <w:pPr>
              <w:keepNext w:val="0"/>
              <w:keepLines w:val="0"/>
              <w:suppressLineNumbers w:val="0"/>
              <w:adjustRightInd w:val="0"/>
              <w:snapToGrid w:val="0"/>
              <w:spacing w:before="0" w:beforeAutospacing="0" w:after="0" w:afterAutospacing="0" w:line="360" w:lineRule="auto"/>
              <w:ind w:left="0" w:right="-10" w:rightChars="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olor w:val="auto"/>
                <w:sz w:val="24"/>
                <w:szCs w:val="20"/>
                <w:highlight w:val="none"/>
                <w:lang w:val="en-US" w:eastAsia="zh-CN"/>
              </w:rPr>
              <w:t>4</w:t>
            </w:r>
          </w:p>
        </w:tc>
        <w:tc>
          <w:tcPr>
            <w:tcW w:w="933" w:type="pct"/>
            <w:tcBorders>
              <w:bottom w:val="single" w:color="auto" w:sz="4" w:space="0"/>
            </w:tcBorders>
            <w:shd w:val="clear" w:color="auto" w:fill="auto"/>
            <w:vAlign w:val="center"/>
          </w:tcPr>
          <w:p w14:paraId="72F03E37">
            <w:pPr>
              <w:keepNext w:val="0"/>
              <w:keepLines w:val="0"/>
              <w:suppressLineNumbers w:val="0"/>
              <w:spacing w:before="0" w:beforeAutospacing="0" w:after="50" w:afterAutospacing="0" w:line="360" w:lineRule="auto"/>
              <w:ind w:left="0" w:right="-10" w:rightChars="0"/>
              <w:jc w:val="both"/>
              <w:rPr>
                <w:rFonts w:hint="eastAsia" w:ascii="宋体" w:hAnsi="宋体" w:eastAsia="宋体" w:cs="宋体"/>
                <w:color w:val="auto"/>
                <w:spacing w:val="10"/>
                <w:kern w:val="2"/>
                <w:sz w:val="24"/>
                <w:szCs w:val="24"/>
                <w:highlight w:val="none"/>
                <w:lang w:val="en-US" w:eastAsia="zh-CN" w:bidi="ar-SA"/>
              </w:rPr>
            </w:pPr>
            <w:r>
              <w:rPr>
                <w:rFonts w:hint="default" w:ascii="宋体" w:hAnsi="宋体" w:eastAsia="宋体" w:cs="宋体"/>
                <w:color w:val="auto"/>
                <w:spacing w:val="10"/>
                <w:sz w:val="24"/>
                <w:szCs w:val="24"/>
                <w:highlight w:val="none"/>
              </w:rPr>
              <w:t>本项目对于联合</w:t>
            </w:r>
            <w:r>
              <w:rPr>
                <w:rFonts w:hint="default" w:ascii="宋体" w:hAnsi="宋体" w:eastAsia="宋体" w:cs="宋体"/>
                <w:color w:val="auto"/>
                <w:spacing w:val="-2"/>
                <w:sz w:val="24"/>
                <w:szCs w:val="24"/>
                <w:highlight w:val="none"/>
              </w:rPr>
              <w:t>体的要求</w:t>
            </w:r>
            <w:r>
              <w:rPr>
                <w:rFonts w:hint="eastAsia" w:ascii="宋体" w:hAnsi="宋体" w:eastAsia="宋体" w:cs="宋体"/>
                <w:color w:val="auto"/>
                <w:spacing w:val="-2"/>
                <w:sz w:val="24"/>
                <w:szCs w:val="24"/>
                <w:highlight w:val="none"/>
                <w:lang w:eastAsia="zh-CN"/>
              </w:rPr>
              <w:t>（</w:t>
            </w:r>
            <w:r>
              <w:rPr>
                <w:rFonts w:hint="eastAsia" w:ascii="宋体" w:hAnsi="宋体" w:eastAsia="宋体" w:cs="宋体"/>
                <w:i/>
                <w:iCs/>
                <w:color w:val="auto"/>
                <w:spacing w:val="-2"/>
                <w:sz w:val="24"/>
                <w:szCs w:val="24"/>
                <w:highlight w:val="none"/>
                <w:lang w:val="en-US" w:eastAsia="zh-CN"/>
              </w:rPr>
              <w:t>适用于接受联合体投标的标包</w:t>
            </w:r>
            <w:r>
              <w:rPr>
                <w:rFonts w:hint="eastAsia" w:ascii="宋体" w:hAnsi="宋体" w:eastAsia="宋体" w:cs="宋体"/>
                <w:color w:val="auto"/>
                <w:spacing w:val="-2"/>
                <w:sz w:val="24"/>
                <w:szCs w:val="24"/>
                <w:highlight w:val="none"/>
                <w:lang w:eastAsia="zh-CN"/>
              </w:rPr>
              <w:t>）</w:t>
            </w:r>
          </w:p>
        </w:tc>
        <w:tc>
          <w:tcPr>
            <w:tcW w:w="2580" w:type="pct"/>
            <w:tcBorders>
              <w:bottom w:val="single" w:color="auto" w:sz="4" w:space="0"/>
            </w:tcBorders>
            <w:shd w:val="clear" w:color="auto" w:fill="auto"/>
            <w:vAlign w:val="center"/>
          </w:tcPr>
          <w:p w14:paraId="08AA924E">
            <w:pPr>
              <w:keepNext w:val="0"/>
              <w:keepLines w:val="0"/>
              <w:suppressLineNumbers w:val="0"/>
              <w:spacing w:before="0" w:beforeAutospacing="0" w:after="50" w:afterAutospacing="0" w:line="360" w:lineRule="auto"/>
              <w:ind w:left="0" w:right="-10" w:rightChars="0"/>
              <w:jc w:val="both"/>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联合体投标的</w:t>
            </w:r>
            <w:r>
              <w:rPr>
                <w:rFonts w:hint="eastAsia" w:ascii="宋体" w:hAnsi="宋体" w:eastAsia="宋体" w:cs="宋体"/>
                <w:color w:val="auto"/>
                <w:spacing w:val="10"/>
                <w:kern w:val="2"/>
                <w:sz w:val="24"/>
                <w:szCs w:val="24"/>
                <w:highlight w:val="none"/>
                <w:lang w:val="en-US" w:eastAsia="zh-CN" w:bidi="ar-SA"/>
              </w:rPr>
              <w:t>详见</w:t>
            </w:r>
            <w:r>
              <w:rPr>
                <w:rFonts w:hint="eastAsia" w:ascii="宋体" w:hAnsi="宋体" w:eastAsia="宋体" w:cs="宋体"/>
                <w:color w:val="auto"/>
                <w:sz w:val="24"/>
                <w:szCs w:val="24"/>
                <w:highlight w:val="none"/>
                <w:lang w:val="zh-CN" w:eastAsia="zh-CN"/>
              </w:rPr>
              <w:t>投标人须知正文第</w:t>
            </w:r>
            <w:r>
              <w:rPr>
                <w:rFonts w:hint="eastAsia" w:ascii="宋体" w:hAnsi="宋体" w:eastAsia="宋体" w:cs="宋体"/>
                <w:color w:val="auto"/>
                <w:sz w:val="24"/>
                <w:szCs w:val="24"/>
                <w:highlight w:val="none"/>
                <w:lang w:val="en-US" w:eastAsia="zh-CN"/>
              </w:rPr>
              <w:t>1.5，且</w:t>
            </w:r>
            <w:r>
              <w:rPr>
                <w:rFonts w:hint="eastAsia" w:ascii="宋体" w:hAnsi="宋体" w:eastAsia="宋体" w:cs="宋体"/>
                <w:color w:val="auto"/>
                <w:spacing w:val="10"/>
                <w:kern w:val="2"/>
                <w:sz w:val="24"/>
                <w:szCs w:val="24"/>
                <w:highlight w:val="none"/>
                <w:lang w:val="en-US" w:eastAsia="zh-CN" w:bidi="ar-SA"/>
              </w:rPr>
              <w:t>提</w:t>
            </w:r>
            <w:r>
              <w:rPr>
                <w:rFonts w:hint="default" w:ascii="宋体" w:hAnsi="宋体" w:eastAsia="宋体" w:cs="宋体"/>
                <w:color w:val="auto"/>
                <w:spacing w:val="10"/>
                <w:kern w:val="2"/>
                <w:sz w:val="24"/>
                <w:szCs w:val="24"/>
                <w:highlight w:val="none"/>
                <w:lang w:val="en-US" w:eastAsia="zh-CN" w:bidi="ar-SA"/>
              </w:rPr>
              <w:t>供《联合协议》。</w:t>
            </w:r>
          </w:p>
        </w:tc>
        <w:tc>
          <w:tcPr>
            <w:tcW w:w="1116" w:type="pct"/>
            <w:tcBorders>
              <w:bottom w:val="single" w:color="auto" w:sz="4" w:space="0"/>
            </w:tcBorders>
            <w:shd w:val="clear" w:color="auto" w:fill="auto"/>
            <w:vAlign w:val="center"/>
          </w:tcPr>
          <w:p w14:paraId="416F9821">
            <w:pPr>
              <w:keepNext w:val="0"/>
              <w:keepLines w:val="0"/>
              <w:suppressLineNumbers w:val="0"/>
              <w:spacing w:before="0" w:beforeAutospacing="0" w:after="50" w:afterAutospacing="0" w:line="360" w:lineRule="auto"/>
              <w:ind w:left="0" w:right="-10" w:rightChars="0"/>
              <w:jc w:val="both"/>
              <w:rPr>
                <w:rFonts w:hint="eastAsia" w:ascii="宋体" w:hAnsi="宋体" w:eastAsia="宋体" w:cs="宋体"/>
                <w:b w:val="0"/>
                <w:bCs w:val="0"/>
                <w:color w:val="auto"/>
                <w:kern w:val="2"/>
                <w:sz w:val="24"/>
                <w:szCs w:val="24"/>
                <w:highlight w:val="none"/>
                <w:lang w:val="en-US" w:eastAsia="zh-CN" w:bidi="ar-SA"/>
              </w:rPr>
            </w:pPr>
            <w:r>
              <w:rPr>
                <w:rFonts w:hint="default" w:ascii="宋体" w:hAnsi="宋体" w:eastAsia="宋体" w:cs="宋体"/>
                <w:color w:val="auto"/>
                <w:spacing w:val="10"/>
                <w:kern w:val="2"/>
                <w:sz w:val="24"/>
                <w:szCs w:val="24"/>
                <w:highlight w:val="none"/>
                <w:lang w:val="en-US" w:eastAsia="zh-CN" w:bidi="ar-SA"/>
              </w:rPr>
              <w:t>《联合协议》</w:t>
            </w:r>
            <w:r>
              <w:rPr>
                <w:rFonts w:hint="eastAsia" w:ascii="宋体" w:hAnsi="宋体" w:eastAsia="宋体"/>
                <w:color w:val="auto"/>
                <w:sz w:val="24"/>
                <w:szCs w:val="20"/>
                <w:highlight w:val="none"/>
              </w:rPr>
              <w:t>详见第六章投标文件格式</w:t>
            </w:r>
            <w:r>
              <w:rPr>
                <w:rFonts w:hint="eastAsia" w:ascii="宋体" w:hAnsi="宋体" w:eastAsia="宋体"/>
                <w:color w:val="auto"/>
                <w:sz w:val="24"/>
                <w:szCs w:val="20"/>
                <w:highlight w:val="none"/>
                <w:lang w:eastAsia="zh-CN"/>
              </w:rPr>
              <w:t>。</w:t>
            </w:r>
          </w:p>
        </w:tc>
      </w:tr>
      <w:tr w14:paraId="67A8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tcBorders>
              <w:bottom w:val="single" w:color="auto" w:sz="4" w:space="0"/>
            </w:tcBorders>
            <w:vAlign w:val="center"/>
          </w:tcPr>
          <w:p w14:paraId="64095116">
            <w:pPr>
              <w:keepNext w:val="0"/>
              <w:keepLines w:val="0"/>
              <w:suppressLineNumbers w:val="0"/>
              <w:spacing w:before="0" w:beforeAutospacing="0" w:after="50" w:afterAutospacing="0" w:line="440" w:lineRule="exact"/>
              <w:ind w:left="0" w:right="-1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933" w:type="pct"/>
            <w:tcBorders>
              <w:bottom w:val="single" w:color="auto" w:sz="4" w:space="0"/>
            </w:tcBorders>
            <w:vAlign w:val="center"/>
          </w:tcPr>
          <w:p w14:paraId="1FAF7935">
            <w:pPr>
              <w:keepNext w:val="0"/>
              <w:keepLines w:val="0"/>
              <w:suppressLineNumbers w:val="0"/>
              <w:spacing w:before="0" w:beforeAutospacing="0" w:after="50" w:afterAutospacing="0" w:line="440" w:lineRule="exact"/>
              <w:ind w:left="0"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其他特定资格</w:t>
            </w:r>
          </w:p>
          <w:p w14:paraId="3B14311D">
            <w:pPr>
              <w:keepNext w:val="0"/>
              <w:keepLines w:val="0"/>
              <w:suppressLineNumbers w:val="0"/>
              <w:spacing w:before="0" w:beforeAutospacing="0" w:after="50" w:afterAutospacing="0" w:line="440" w:lineRule="exact"/>
              <w:ind w:left="0" w:right="-1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要求</w:t>
            </w:r>
          </w:p>
        </w:tc>
        <w:tc>
          <w:tcPr>
            <w:tcW w:w="2580" w:type="pct"/>
            <w:tcBorders>
              <w:bottom w:val="single" w:color="auto" w:sz="4" w:space="0"/>
            </w:tcBorders>
            <w:vAlign w:val="center"/>
          </w:tcPr>
          <w:p w14:paraId="7D013407">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如有，见第一章《招标</w:t>
            </w:r>
            <w:r>
              <w:rPr>
                <w:rFonts w:hint="default" w:ascii="宋体" w:hAnsi="宋体" w:eastAsia="宋体" w:cs="宋体"/>
                <w:color w:val="auto"/>
                <w:spacing w:val="10"/>
                <w:sz w:val="24"/>
                <w:szCs w:val="24"/>
                <w:highlight w:val="none"/>
              </w:rPr>
              <w:t>邀请</w:t>
            </w:r>
            <w:r>
              <w:rPr>
                <w:rFonts w:hint="eastAsia" w:ascii="宋体" w:hAnsi="宋体" w:eastAsia="宋体" w:cs="宋体"/>
                <w:color w:val="auto"/>
                <w:sz w:val="24"/>
                <w:szCs w:val="24"/>
                <w:highlight w:val="none"/>
              </w:rPr>
              <w:t>》</w:t>
            </w:r>
          </w:p>
        </w:tc>
        <w:tc>
          <w:tcPr>
            <w:tcW w:w="1116" w:type="pct"/>
            <w:tcBorders>
              <w:bottom w:val="single" w:color="auto" w:sz="4" w:space="0"/>
            </w:tcBorders>
            <w:vAlign w:val="center"/>
          </w:tcPr>
          <w:p w14:paraId="20FDEC7A">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提供材料扫描件 </w:t>
            </w:r>
          </w:p>
          <w:p w14:paraId="4C078913">
            <w:pPr>
              <w:keepNext w:val="0"/>
              <w:keepLines w:val="0"/>
              <w:suppressLineNumbers w:val="0"/>
              <w:spacing w:before="0" w:beforeAutospacing="0" w:after="50" w:afterAutospacing="0" w:line="440" w:lineRule="exact"/>
              <w:ind w:left="0"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或电子证照，应完 整的体现出材料 或电子证照全部内容。</w:t>
            </w:r>
          </w:p>
        </w:tc>
      </w:tr>
    </w:tbl>
    <w:p w14:paraId="2A2C081E">
      <w:pPr>
        <w:spacing w:line="440" w:lineRule="exact"/>
        <w:ind w:firstLine="435"/>
        <w:rPr>
          <w:rFonts w:hint="eastAsia"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730D552E">
      <w:pPr>
        <w:spacing w:line="440" w:lineRule="exact"/>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0DF2AB5D">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115"/>
        <w:gridCol w:w="3128"/>
        <w:gridCol w:w="2514"/>
      </w:tblGrid>
      <w:tr w14:paraId="7C55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3E26AA80">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b/>
                <w:bCs/>
                <w:color w:val="auto"/>
                <w:sz w:val="24"/>
                <w:szCs w:val="20"/>
                <w:highlight w:val="none"/>
              </w:rPr>
            </w:pPr>
            <w:r>
              <w:rPr>
                <w:rFonts w:hint="eastAsia" w:ascii="宋体" w:hAnsi="宋体" w:eastAsia="宋体"/>
                <w:b/>
                <w:bCs/>
                <w:color w:val="auto"/>
                <w:sz w:val="24"/>
                <w:szCs w:val="20"/>
                <w:highlight w:val="none"/>
              </w:rPr>
              <w:t>符合性审查表</w:t>
            </w:r>
          </w:p>
        </w:tc>
      </w:tr>
      <w:tr w14:paraId="7E4F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9" w:type="pct"/>
            <w:tcBorders>
              <w:bottom w:val="single" w:color="auto" w:sz="4" w:space="0"/>
            </w:tcBorders>
            <w:vAlign w:val="center"/>
          </w:tcPr>
          <w:p w14:paraId="76A0DFE9">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序号</w:t>
            </w:r>
          </w:p>
        </w:tc>
        <w:tc>
          <w:tcPr>
            <w:tcW w:w="1241" w:type="pct"/>
            <w:tcBorders>
              <w:bottom w:val="single" w:color="auto" w:sz="4" w:space="0"/>
            </w:tcBorders>
            <w:vAlign w:val="center"/>
          </w:tcPr>
          <w:p w14:paraId="033B2030">
            <w:pPr>
              <w:pStyle w:val="53"/>
              <w:keepNext w:val="0"/>
              <w:keepLines w:val="0"/>
              <w:suppressLineNumbers w:val="0"/>
              <w:pBdr>
                <w:bottom w:val="none" w:color="auto" w:sz="0" w:space="0"/>
              </w:pBdr>
              <w:tabs>
                <w:tab w:val="clear" w:pos="4153"/>
                <w:tab w:val="clear" w:pos="8306"/>
              </w:tabs>
              <w:snapToGrid w:val="0"/>
              <w:spacing w:before="0" w:beforeAutospacing="0" w:after="0" w:afterAutospacing="0" w:line="440" w:lineRule="exact"/>
              <w:ind w:left="0" w:right="-10"/>
              <w:textAlignment w:val="auto"/>
              <w:rPr>
                <w:rFonts w:hint="eastAsia" w:ascii="宋体" w:hAnsi="宋体" w:eastAsia="宋体"/>
                <w:color w:val="auto"/>
                <w:kern w:val="2"/>
                <w:highlight w:val="none"/>
              </w:rPr>
            </w:pPr>
            <w:r>
              <w:rPr>
                <w:rFonts w:hint="eastAsia" w:ascii="宋体" w:hAnsi="宋体" w:eastAsia="宋体"/>
                <w:color w:val="auto"/>
                <w:kern w:val="2"/>
                <w:highlight w:val="none"/>
              </w:rPr>
              <w:t>审查指标</w:t>
            </w:r>
          </w:p>
        </w:tc>
        <w:tc>
          <w:tcPr>
            <w:tcW w:w="1835" w:type="pct"/>
            <w:tcBorders>
              <w:bottom w:val="single" w:color="auto" w:sz="4" w:space="0"/>
            </w:tcBorders>
            <w:vAlign w:val="center"/>
          </w:tcPr>
          <w:p w14:paraId="31EF60F2">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审查标准</w:t>
            </w:r>
          </w:p>
        </w:tc>
        <w:tc>
          <w:tcPr>
            <w:tcW w:w="1472" w:type="pct"/>
            <w:tcBorders>
              <w:bottom w:val="single" w:color="auto" w:sz="4" w:space="0"/>
            </w:tcBorders>
            <w:vAlign w:val="center"/>
          </w:tcPr>
          <w:p w14:paraId="5B2E796A">
            <w:pPr>
              <w:keepNext w:val="0"/>
              <w:keepLines w:val="0"/>
              <w:suppressLineNumbers w:val="0"/>
              <w:adjustRightInd w:val="0"/>
              <w:snapToGrid w:val="0"/>
              <w:spacing w:before="0" w:beforeAutospacing="0" w:after="0" w:afterAutospacing="0" w:line="440" w:lineRule="exact"/>
              <w:ind w:left="0" w:right="-1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格式要求</w:t>
            </w:r>
          </w:p>
        </w:tc>
      </w:tr>
      <w:tr w14:paraId="5FA7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660F87FA">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1</w:t>
            </w:r>
          </w:p>
        </w:tc>
        <w:tc>
          <w:tcPr>
            <w:tcW w:w="1241" w:type="pct"/>
            <w:vAlign w:val="center"/>
          </w:tcPr>
          <w:p w14:paraId="02AA9ECC">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0"/>
                <w:highlight w:val="none"/>
              </w:rPr>
              <w:t>开标一览表</w:t>
            </w:r>
          </w:p>
        </w:tc>
        <w:tc>
          <w:tcPr>
            <w:tcW w:w="1835" w:type="pct"/>
            <w:vAlign w:val="center"/>
          </w:tcPr>
          <w:p w14:paraId="1389E70B">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2A83EFA9">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详见第六章投标文件格式。</w:t>
            </w:r>
          </w:p>
        </w:tc>
      </w:tr>
      <w:tr w14:paraId="639F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3AB4E469">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2</w:t>
            </w:r>
          </w:p>
        </w:tc>
        <w:tc>
          <w:tcPr>
            <w:tcW w:w="1241" w:type="pct"/>
            <w:vAlign w:val="center"/>
          </w:tcPr>
          <w:p w14:paraId="436B1332">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1835" w:type="pct"/>
            <w:vAlign w:val="center"/>
          </w:tcPr>
          <w:p w14:paraId="74A04FFC">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2FE62682">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详见第六章投标文件格式。</w:t>
            </w:r>
          </w:p>
        </w:tc>
      </w:tr>
      <w:tr w14:paraId="6912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4F96DE4A">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default" w:asciiTheme="minorEastAsia" w:hAnsiTheme="minorEastAsia" w:eastAsiaTheme="minorEastAsia"/>
                <w:color w:val="auto"/>
                <w:sz w:val="24"/>
                <w:szCs w:val="20"/>
                <w:highlight w:val="none"/>
              </w:rPr>
              <w:t>3</w:t>
            </w:r>
          </w:p>
        </w:tc>
        <w:tc>
          <w:tcPr>
            <w:tcW w:w="1241" w:type="pct"/>
            <w:vAlign w:val="center"/>
          </w:tcPr>
          <w:p w14:paraId="242641C1">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1835" w:type="pct"/>
            <w:vAlign w:val="center"/>
          </w:tcPr>
          <w:p w14:paraId="67FE05B3">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4097C04A">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法定代表人参加投标的无需此件，提供身份证明即可。详见第六章投标文件格式。</w:t>
            </w:r>
          </w:p>
        </w:tc>
      </w:tr>
      <w:tr w14:paraId="5365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049A7267">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4</w:t>
            </w:r>
          </w:p>
        </w:tc>
        <w:tc>
          <w:tcPr>
            <w:tcW w:w="1241" w:type="pct"/>
            <w:vAlign w:val="center"/>
          </w:tcPr>
          <w:p w14:paraId="44CC6D96">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1835" w:type="pct"/>
            <w:vAlign w:val="center"/>
          </w:tcPr>
          <w:p w14:paraId="3C1416B0">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szCs w:val="20"/>
                <w:highlight w:val="none"/>
              </w:rPr>
              <w:t>招标文件投标人须知正文第9条要求</w:t>
            </w:r>
          </w:p>
        </w:tc>
        <w:tc>
          <w:tcPr>
            <w:tcW w:w="1472" w:type="pct"/>
            <w:vAlign w:val="center"/>
          </w:tcPr>
          <w:p w14:paraId="66A76D63">
            <w:pPr>
              <w:keepNext w:val="0"/>
              <w:keepLines w:val="0"/>
              <w:suppressLineNumbers w:val="0"/>
              <w:adjustRightInd w:val="0"/>
              <w:snapToGrid w:val="0"/>
              <w:spacing w:before="0" w:beforeAutospacing="0" w:after="0" w:afterAutospacing="0" w:line="440" w:lineRule="exact"/>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详见第六章投标文件格式。</w:t>
            </w:r>
          </w:p>
        </w:tc>
      </w:tr>
      <w:tr w14:paraId="4F1A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Align w:val="center"/>
          </w:tcPr>
          <w:p w14:paraId="58F40375">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5</w:t>
            </w:r>
          </w:p>
        </w:tc>
        <w:tc>
          <w:tcPr>
            <w:tcW w:w="2319" w:type="dxa"/>
            <w:vAlign w:val="center"/>
          </w:tcPr>
          <w:p w14:paraId="50FD039C">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3430" w:type="dxa"/>
            <w:vAlign w:val="center"/>
          </w:tcPr>
          <w:p w14:paraId="55D50893">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符合招标文件采购需求中对付款方式、服务地点、服务期限等实质性要求</w:t>
            </w:r>
          </w:p>
        </w:tc>
        <w:tc>
          <w:tcPr>
            <w:tcW w:w="2757" w:type="dxa"/>
            <w:vAlign w:val="center"/>
          </w:tcPr>
          <w:p w14:paraId="235401C7">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详见第六章投标文件格式。</w:t>
            </w:r>
          </w:p>
        </w:tc>
      </w:tr>
      <w:tr w14:paraId="2405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vAlign w:val="center"/>
          </w:tcPr>
          <w:p w14:paraId="4348E811">
            <w:pPr>
              <w:keepNext w:val="0"/>
              <w:keepLines w:val="0"/>
              <w:suppressLineNumbers w:val="0"/>
              <w:adjustRightInd w:val="0"/>
              <w:snapToGrid w:val="0"/>
              <w:spacing w:before="0" w:beforeAutospacing="0" w:after="0" w:afterAutospacing="0" w:line="360" w:lineRule="auto"/>
              <w:ind w:left="0" w:right="-10"/>
              <w:jc w:val="center"/>
              <w:rPr>
                <w:rFonts w:hint="eastAsia" w:asciiTheme="minorEastAsia" w:hAnsiTheme="minorEastAsia" w:eastAsiaTheme="minorEastAsia"/>
                <w:color w:val="auto"/>
                <w:sz w:val="24"/>
                <w:szCs w:val="20"/>
                <w:highlight w:val="none"/>
              </w:rPr>
            </w:pPr>
            <w:r>
              <w:rPr>
                <w:rFonts w:hint="eastAsia" w:asciiTheme="minorEastAsia" w:hAnsiTheme="minorEastAsia" w:eastAsiaTheme="minorEastAsia"/>
                <w:color w:val="auto"/>
                <w:sz w:val="24"/>
                <w:szCs w:val="20"/>
                <w:highlight w:val="none"/>
              </w:rPr>
              <w:t>6</w:t>
            </w:r>
          </w:p>
        </w:tc>
        <w:tc>
          <w:tcPr>
            <w:tcW w:w="2319" w:type="dxa"/>
            <w:vAlign w:val="center"/>
          </w:tcPr>
          <w:p w14:paraId="1D8E63E5">
            <w:pPr>
              <w:keepNext w:val="0"/>
              <w:keepLines w:val="0"/>
              <w:suppressLineNumbers w:val="0"/>
              <w:spacing w:before="0" w:beforeAutospacing="0" w:after="50" w:afterAutospacing="0" w:line="360" w:lineRule="auto"/>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3430" w:type="dxa"/>
            <w:vAlign w:val="center"/>
          </w:tcPr>
          <w:p w14:paraId="0D1C8333">
            <w:pPr>
              <w:keepNext w:val="0"/>
              <w:keepLines w:val="0"/>
              <w:suppressLineNumbers w:val="0"/>
              <w:spacing w:before="0" w:beforeAutospacing="0" w:after="50" w:afterAutospacing="0" w:line="360" w:lineRule="auto"/>
              <w:ind w:left="0" w:right="-10"/>
              <w:jc w:val="center"/>
              <w:rPr>
                <w:rFonts w:hint="eastAsia"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符合法律、行政法规规定的其他条件或招标文件列明的其他实质性要求</w:t>
            </w:r>
          </w:p>
        </w:tc>
        <w:tc>
          <w:tcPr>
            <w:tcW w:w="2757" w:type="dxa"/>
            <w:vAlign w:val="center"/>
          </w:tcPr>
          <w:p w14:paraId="130078CD">
            <w:pPr>
              <w:keepNext w:val="0"/>
              <w:keepLines w:val="0"/>
              <w:suppressLineNumbers w:val="0"/>
              <w:spacing w:before="0" w:beforeAutospacing="0" w:after="50" w:afterAutospacing="0" w:line="440" w:lineRule="exact"/>
              <w:ind w:left="0" w:right="-10"/>
              <w:jc w:val="center"/>
              <w:rPr>
                <w:rFonts w:hint="eastAsia" w:asciiTheme="minorEastAsia" w:hAnsiTheme="minorEastAsia" w:eastAsiaTheme="minorEastAsia"/>
                <w:color w:val="auto"/>
                <w:sz w:val="24"/>
                <w:szCs w:val="28"/>
                <w:highlight w:val="none"/>
              </w:rPr>
            </w:pPr>
          </w:p>
        </w:tc>
      </w:tr>
    </w:tbl>
    <w:p w14:paraId="4768E4B9">
      <w:pPr>
        <w:spacing w:line="440" w:lineRule="exact"/>
        <w:rPr>
          <w:rFonts w:hint="eastAsia"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7D6FACA2">
      <w:pPr>
        <w:spacing w:line="440" w:lineRule="exact"/>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2.3详细审查</w:t>
      </w:r>
    </w:p>
    <w:p w14:paraId="3C0E4A6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.3.1</w:t>
      </w:r>
      <w:r>
        <w:rPr>
          <w:rFonts w:hint="eastAsia" w:asciiTheme="minorEastAsia" w:hAnsiTheme="minorEastAsia" w:eastAsiaTheme="minorEastAsia"/>
          <w:color w:val="auto"/>
          <w:sz w:val="24"/>
          <w:highlight w:val="none"/>
        </w:rPr>
        <w:t>评标委员会按照下表对投标文件进行详细审查和评分。</w:t>
      </w:r>
    </w:p>
    <w:p w14:paraId="19BDDC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分，其中：资信分值占总分值的权重为</w:t>
      </w:r>
      <w:r>
        <w:rPr>
          <w:rFonts w:hint="eastAsia" w:asciiTheme="minorEastAsia" w:hAnsiTheme="minorEastAsia" w:eastAsiaTheme="minorEastAsia"/>
          <w:color w:val="auto"/>
          <w:sz w:val="24"/>
          <w:highlight w:val="none"/>
          <w:lang w:val="en-US" w:eastAsia="zh-CN"/>
        </w:rPr>
        <w:t>32</w:t>
      </w:r>
      <w:r>
        <w:rPr>
          <w:rFonts w:hint="eastAsia" w:asciiTheme="minorEastAsia" w:hAnsiTheme="minorEastAsia" w:eastAsiaTheme="minorEastAsia"/>
          <w:color w:val="auto"/>
          <w:sz w:val="24"/>
          <w:highlight w:val="none"/>
        </w:rPr>
        <w:t>%，技术分值占总分值的权重为</w:t>
      </w:r>
      <w:r>
        <w:rPr>
          <w:rFonts w:hint="eastAsia" w:asciiTheme="minorEastAsia" w:hAnsiTheme="minorEastAsia" w:eastAsiaTheme="minorEastAsia"/>
          <w:color w:val="auto"/>
          <w:sz w:val="24"/>
          <w:highlight w:val="none"/>
          <w:lang w:val="en-US" w:eastAsia="zh-CN"/>
        </w:rPr>
        <w:t>58</w:t>
      </w:r>
      <w:r>
        <w:rPr>
          <w:rFonts w:hint="eastAsia"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lang w:val="en-US" w:eastAsia="zh-CN"/>
        </w:rPr>
        <w:t>10</w:t>
      </w:r>
      <w:r>
        <w:rPr>
          <w:rFonts w:hint="eastAsia" w:asciiTheme="minorEastAsia" w:hAnsiTheme="minorEastAsia" w:eastAsiaTheme="minorEastAsia"/>
          <w:color w:val="auto"/>
          <w:sz w:val="24"/>
          <w:highlight w:val="none"/>
        </w:rPr>
        <w:t>%。具体评分细则如下：</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793"/>
        <w:gridCol w:w="4669"/>
        <w:gridCol w:w="1589"/>
      </w:tblGrid>
      <w:tr w14:paraId="2A89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pct"/>
            <w:tcBorders>
              <w:top w:val="single" w:color="auto" w:sz="4" w:space="0"/>
              <w:left w:val="single" w:color="auto" w:sz="4" w:space="0"/>
              <w:bottom w:val="single" w:color="auto" w:sz="4" w:space="0"/>
              <w:right w:val="single" w:color="auto" w:sz="4" w:space="0"/>
            </w:tcBorders>
            <w:vAlign w:val="center"/>
          </w:tcPr>
          <w:p w14:paraId="21C9320B">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类别</w:t>
            </w:r>
          </w:p>
        </w:tc>
        <w:tc>
          <w:tcPr>
            <w:tcW w:w="465" w:type="pct"/>
            <w:tcBorders>
              <w:top w:val="single" w:color="auto" w:sz="4" w:space="0"/>
              <w:left w:val="single" w:color="auto" w:sz="4" w:space="0"/>
              <w:bottom w:val="single" w:color="auto" w:sz="4" w:space="0"/>
              <w:right w:val="single" w:color="auto" w:sz="4" w:space="0"/>
            </w:tcBorders>
            <w:vAlign w:val="center"/>
          </w:tcPr>
          <w:p w14:paraId="2DAA29A1">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评分内容</w:t>
            </w:r>
          </w:p>
        </w:tc>
        <w:tc>
          <w:tcPr>
            <w:tcW w:w="2739" w:type="pct"/>
            <w:tcBorders>
              <w:top w:val="single" w:color="auto" w:sz="4" w:space="0"/>
              <w:left w:val="single" w:color="auto" w:sz="4" w:space="0"/>
              <w:bottom w:val="single" w:color="auto" w:sz="4" w:space="0"/>
              <w:right w:val="single" w:color="auto" w:sz="4" w:space="0"/>
            </w:tcBorders>
            <w:vAlign w:val="center"/>
          </w:tcPr>
          <w:p w14:paraId="1DD7BEDF">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评分标准</w:t>
            </w:r>
          </w:p>
        </w:tc>
        <w:tc>
          <w:tcPr>
            <w:tcW w:w="932" w:type="pct"/>
            <w:tcBorders>
              <w:top w:val="single" w:color="auto" w:sz="4" w:space="0"/>
              <w:left w:val="single" w:color="auto" w:sz="4" w:space="0"/>
              <w:bottom w:val="single" w:color="auto" w:sz="4" w:space="0"/>
              <w:right w:val="single" w:color="auto" w:sz="4" w:space="0"/>
            </w:tcBorders>
            <w:vAlign w:val="center"/>
          </w:tcPr>
          <w:p w14:paraId="009FA4D7">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分值范围</w:t>
            </w:r>
          </w:p>
        </w:tc>
      </w:tr>
      <w:tr w14:paraId="3852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restart"/>
            <w:tcBorders>
              <w:top w:val="single" w:color="auto" w:sz="4" w:space="0"/>
              <w:left w:val="single" w:color="auto" w:sz="4" w:space="0"/>
              <w:right w:val="single" w:color="auto" w:sz="4" w:space="0"/>
            </w:tcBorders>
            <w:vAlign w:val="center"/>
          </w:tcPr>
          <w:p w14:paraId="6EF472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资信分</w:t>
            </w:r>
          </w:p>
          <w:p w14:paraId="4554DC4F">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 32 分）</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6AB29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企业业绩</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top"/>
          </w:tcPr>
          <w:p w14:paraId="3B92A1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Theme="minorEastAsia" w:hAnsiTheme="minorEastAsia" w:eastAsiaTheme="minorEastAsia"/>
                <w:color w:val="auto"/>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bidi="ar-SA"/>
              </w:rPr>
              <w:t>投标人自2022年8月1日（以合同签订时间为准）以来，具有信息化系统业绩的，每提供一个得2分，本项最高得4分。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注：①投标文件中提供业绩合同扫描件，时间以合同签订时间为准；若合同材料中无法体现签订时间、服务内容等关键评审因素的，须另外提供相关证明材料。</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②提供的项目业绩只计算评标分值对应的项目数量，按照排列顺序从首个业绩开始评审至对应数量，超出部分不进行评审。对应数量内业绩不符合招标文件要求不得分的，不再补充评审超出部分业绩。如：提供2个业绩即得满分的，按照投标文件排序评审第一、第二项业绩，其余超出部分不再评审。</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4BD35959">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0-4</w:t>
            </w:r>
          </w:p>
        </w:tc>
      </w:tr>
      <w:tr w14:paraId="50C9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40C87371">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CF26F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项目团队</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top"/>
          </w:tcPr>
          <w:p w14:paraId="19A096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1、投标人为本项目拟配备项目经理（1人），具有以下任意1个证书得2分，本项满分得2分。</w:t>
            </w:r>
          </w:p>
          <w:p w14:paraId="426F82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（1）信息系统项目管理师</w:t>
            </w:r>
            <w:r>
              <w:rPr>
                <w:rFonts w:hint="eastAsia" w:ascii="宋体" w:hAnsi="宋体" w:eastAsia="宋体" w:cs="宋体"/>
                <w:color w:val="auto"/>
                <w:spacing w:val="1"/>
                <w:kern w:val="0"/>
                <w:sz w:val="24"/>
                <w:szCs w:val="24"/>
                <w:highlight w:val="none"/>
                <w:lang w:val="en-US" w:eastAsia="zh-CN" w:bidi="ar-SA"/>
              </w:rPr>
              <w:t>（软考证书）</w:t>
            </w:r>
            <w:r>
              <w:rPr>
                <w:rFonts w:hint="eastAsia" w:ascii="宋体" w:hAnsi="宋体" w:eastAsia="宋体" w:cs="宋体"/>
                <w:color w:val="auto"/>
                <w:spacing w:val="1"/>
                <w:kern w:val="0"/>
                <w:sz w:val="24"/>
                <w:szCs w:val="24"/>
                <w:highlight w:val="none"/>
                <w:lang w:val="en-US" w:eastAsia="zh-CN" w:bidi="ar-SA"/>
              </w:rPr>
              <w:t>；</w:t>
            </w:r>
          </w:p>
          <w:p w14:paraId="4ED55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（2）系统架构设计师</w:t>
            </w:r>
            <w:r>
              <w:rPr>
                <w:rFonts w:hint="eastAsia" w:ascii="宋体" w:hAnsi="宋体" w:eastAsia="宋体" w:cs="宋体"/>
                <w:color w:val="auto"/>
                <w:spacing w:val="1"/>
                <w:kern w:val="0"/>
                <w:sz w:val="24"/>
                <w:szCs w:val="24"/>
                <w:highlight w:val="none"/>
                <w:lang w:val="en-US" w:eastAsia="zh-CN" w:bidi="ar-SA"/>
              </w:rPr>
              <w:t>（软考证书）。</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2、投标人为本项目拟配备的技术负责人（1人，除项目经理外），具有以下任意1个证书得2分，本项满分得2分：</w:t>
            </w:r>
          </w:p>
          <w:p w14:paraId="4F7D9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（1）软件设计师（软考证书）；</w:t>
            </w:r>
          </w:p>
          <w:p w14:paraId="3F3B75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（2）系统集成项目管理工程师（软考证书）；</w:t>
            </w:r>
          </w:p>
          <w:p w14:paraId="153F8A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3、投标人为本项目拟配备的工程师（1人，除项目经理、技术负责人外）具有以下任意1个证书得2分，本项满分得2分。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（1）网络工程师（软考证书）；</w:t>
            </w:r>
          </w:p>
          <w:p w14:paraId="35D943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（2）数据库系统工程师（软考证书）；</w:t>
            </w:r>
          </w:p>
          <w:p w14:paraId="274826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4、投标人在运维周期内拟派驻的运维团队人员具有以下证书，每提供一个得2分，同类证书不重复得分，本项满分6分。</w:t>
            </w:r>
          </w:p>
          <w:p w14:paraId="2C4F56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（1）网络工程师（软考证书）；</w:t>
            </w:r>
          </w:p>
          <w:p w14:paraId="2667E4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（2）数据库系统工程师（软考证书）；</w:t>
            </w:r>
          </w:p>
          <w:p w14:paraId="5D559D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（3）注册信息安全专业人员（CISP）。</w:t>
            </w:r>
          </w:p>
          <w:p w14:paraId="00DAFA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color w:val="auto"/>
                <w:szCs w:val="20"/>
                <w:lang w:val="en-US" w:eastAsia="zh-CN"/>
              </w:rPr>
            </w:pPr>
            <w:r>
              <w:rPr>
                <w:rFonts w:hint="eastAsia" w:ascii="宋体" w:hAnsi="宋体" w:eastAsia="宋体" w:cs="宋体"/>
                <w:color w:val="auto"/>
                <w:spacing w:val="1"/>
                <w:kern w:val="0"/>
                <w:sz w:val="24"/>
                <w:szCs w:val="24"/>
                <w:highlight w:val="none"/>
                <w:lang w:val="en-US" w:eastAsia="zh-CN" w:bidi="ar-SA"/>
              </w:rPr>
              <w:t>备注：①提供以上人员相关职称证书扫描件；②上述人员不得兼任；③持有上述人员社保部门出具的本单位为其缴纳的投标前近三个月内任意一月的社保证明或投标人提供承诺已为其缴纳社保的承诺书（格式自拟）。</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7F614DF2">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0-12</w:t>
            </w:r>
          </w:p>
        </w:tc>
      </w:tr>
      <w:tr w14:paraId="1063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pct"/>
            <w:vMerge w:val="continue"/>
            <w:tcBorders>
              <w:left w:val="single" w:color="auto" w:sz="4" w:space="0"/>
              <w:right w:val="single" w:color="auto" w:sz="4" w:space="0"/>
            </w:tcBorders>
            <w:vAlign w:val="center"/>
          </w:tcPr>
          <w:p w14:paraId="553495CA">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1FDD01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软著</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center"/>
          </w:tcPr>
          <w:p w14:paraId="380264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投标人具有以下相关领域有效的计算机软件著作权登记证书，满足任意其中8项即得满分，数量不足8个的，每提供一个得2分，最高16分：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strike w:val="0"/>
                <w:dstrike w:val="0"/>
                <w:color w:val="auto"/>
                <w:spacing w:val="1"/>
                <w:kern w:val="0"/>
                <w:sz w:val="24"/>
                <w:szCs w:val="24"/>
                <w:highlight w:val="none"/>
                <w:lang w:val="en-US" w:eastAsia="zh-CN" w:bidi="ar-SA"/>
              </w:rPr>
              <w:t>IT资产管理类、IT全链路监控类、系统智能运维类、统一调度监控类、</w:t>
            </w:r>
            <w:r>
              <w:rPr>
                <w:rFonts w:hint="eastAsia" w:ascii="宋体" w:hAnsi="宋体" w:eastAsia="宋体" w:cs="宋体"/>
                <w:color w:val="auto"/>
                <w:spacing w:val="1"/>
                <w:kern w:val="0"/>
                <w:sz w:val="24"/>
                <w:szCs w:val="24"/>
                <w:highlight w:val="none"/>
                <w:lang w:val="en-US" w:eastAsia="zh-CN" w:bidi="ar-SA"/>
              </w:rPr>
              <w:t>协同处置类、数据采集类、数据共享类、网络拓扑类、容器管理类、安全运维监测分析类。</w:t>
            </w:r>
          </w:p>
          <w:p w14:paraId="7D77E3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注：同类领域仅限提供一个证书，同个证书不可重复得分，投标人须同时提供软件著作权证书扫描件及中国版权保护中心网站截图，并加盖投标人公章，未提供不得分。</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79170ABE">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0-16</w:t>
            </w:r>
          </w:p>
        </w:tc>
      </w:tr>
      <w:tr w14:paraId="274B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pct"/>
            <w:vMerge w:val="restart"/>
            <w:tcBorders>
              <w:top w:val="single" w:color="auto" w:sz="4" w:space="0"/>
              <w:left w:val="single" w:color="auto" w:sz="4" w:space="0"/>
              <w:right w:val="single" w:color="auto" w:sz="4" w:space="0"/>
            </w:tcBorders>
            <w:vAlign w:val="center"/>
          </w:tcPr>
          <w:p w14:paraId="3D69DA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技术分</w:t>
            </w:r>
          </w:p>
          <w:p w14:paraId="3F09C772">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lang w:val="en-US" w:eastAsia="zh-CN"/>
              </w:rPr>
              <w:t>（58分）</w:t>
            </w:r>
          </w:p>
        </w:tc>
        <w:tc>
          <w:tcPr>
            <w:tcW w:w="465" w:type="pct"/>
            <w:tcBorders>
              <w:top w:val="single" w:color="auto" w:sz="4" w:space="0"/>
              <w:left w:val="single" w:color="auto" w:sz="4" w:space="0"/>
              <w:bottom w:val="single" w:color="auto" w:sz="4" w:space="0"/>
              <w:right w:val="single" w:color="auto" w:sz="4" w:space="0"/>
            </w:tcBorders>
            <w:vAlign w:val="center"/>
          </w:tcPr>
          <w:p w14:paraId="7C2B0B5E">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软件基本功能</w:t>
            </w:r>
          </w:p>
        </w:tc>
        <w:tc>
          <w:tcPr>
            <w:tcW w:w="2739" w:type="pct"/>
            <w:tcBorders>
              <w:top w:val="single" w:color="auto" w:sz="4" w:space="0"/>
              <w:left w:val="single" w:color="auto" w:sz="4" w:space="0"/>
              <w:bottom w:val="single" w:color="auto" w:sz="4" w:space="0"/>
              <w:right w:val="single" w:color="auto" w:sz="4" w:space="0"/>
            </w:tcBorders>
            <w:vAlign w:val="center"/>
          </w:tcPr>
          <w:p w14:paraId="1C9BA2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根据投标人所提供的软件功能，对应招标文件中采购需求进行评分，每满足或优于一项指标得1.5分，本项满分18分：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1.具备数据采集功能，包括但不限于主机指标（CPU、内存、磁盘、IO等）、数据库指标、中间件指标，以及应用日志的采集。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2.数据采集可选择不同版本的采集器进行部署，针对不同的操作系统架构提供相应的采集器包。</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3.采集器包支持离线下载或远程部署到指定主机目录，记录部署相关信息；对采集器的配置文件新增、下载、查看编辑。</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4.具备机房、IP地址、操作系统、服务器、网络安全设备等基础设施资源资产的管理。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5.具备数据库、缓存、消息队列等中间件资产的管理。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6.具备应用系统、应用模块、应用部署、服务端口等应用资产的管理。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7.具备构建应用系统-中间件-基础设施的关联拓扑，体现三层资产完整的关联关系。</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8.具备通过拓扑图查看各设备的监控详情，包括主机CPU、内存、存储使用率等。</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9.具备网络安全设备、服务器、存储设备、操作系统、数据库、中间件等对象的监控，可显示监控对象当前的运行状态、异常指标或告警指标。</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10.具备对上述监控对象的告警指标阈值进行自定义设置。</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11.具备预定义故障处置场景，配置故障处置模板，包括但不限于一键重启、一键部署、配置修改、自定义执行脚本等。</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12.具备工单流程自定义设计，提供可视化在线工单配置页面，可配置工单的名称、类型、表单字段、审批节点、审批人、审批方式等多种信息。</w:t>
            </w:r>
          </w:p>
        </w:tc>
        <w:tc>
          <w:tcPr>
            <w:tcW w:w="932" w:type="pct"/>
            <w:tcBorders>
              <w:top w:val="single" w:color="auto" w:sz="4" w:space="0"/>
              <w:left w:val="single" w:color="auto" w:sz="4" w:space="0"/>
              <w:bottom w:val="single" w:color="auto" w:sz="4" w:space="0"/>
              <w:right w:val="single" w:color="auto" w:sz="4" w:space="0"/>
            </w:tcBorders>
            <w:vAlign w:val="center"/>
          </w:tcPr>
          <w:p w14:paraId="0B55B20F">
            <w:pPr>
              <w:keepNext w:val="0"/>
              <w:keepLines w:val="0"/>
              <w:suppressLineNumbers w:val="0"/>
              <w:spacing w:before="0" w:beforeAutospacing="0" w:after="0" w:afterAutospacing="0"/>
              <w:ind w:left="0" w:right="0"/>
              <w:jc w:val="center"/>
              <w:rPr>
                <w:rFonts w:hint="default" w:asciiTheme="minorEastAsia" w:hAnsiTheme="minorEastAsia" w:eastAsiaTheme="minorEastAsia"/>
                <w:b/>
                <w:bCs/>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0-18</w:t>
            </w:r>
          </w:p>
        </w:tc>
      </w:tr>
      <w:tr w14:paraId="55E4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589D73A6">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vAlign w:val="center"/>
          </w:tcPr>
          <w:p w14:paraId="5269E92B">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重点难点分析</w:t>
            </w:r>
          </w:p>
        </w:tc>
        <w:tc>
          <w:tcPr>
            <w:tcW w:w="2739" w:type="pct"/>
            <w:tcBorders>
              <w:top w:val="single" w:color="auto" w:sz="4" w:space="0"/>
              <w:left w:val="single" w:color="auto" w:sz="4" w:space="0"/>
              <w:bottom w:val="single" w:color="auto" w:sz="4" w:space="0"/>
              <w:right w:val="single" w:color="auto" w:sz="4" w:space="0"/>
            </w:tcBorders>
            <w:vAlign w:val="center"/>
          </w:tcPr>
          <w:p w14:paraId="59A113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本项目为全省一体化数据基础平台运维运营体系建设内容，须基于一体化数据基础平台进行开发、测试、部署工作，投标人须在方案中对项目建设的重点和难点进行分析并提出应对措施，对项目开发实施过程中关键技术有深入的表述。</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1.项目重点、难点分析全面，提出完整的技术建议和应对措施的，得5分。</w:t>
            </w:r>
          </w:p>
          <w:p w14:paraId="5ACAD7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2.项目重点、难点分析完整，提出较为完整的技术建议和应对措施的，得4分。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3.项目重点、难点分析完整，部分体现技术建议和应对措施的，得3分。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4.项目重点、难点分析粗略，技术建议和应对措施不完整的，得2分。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vAlign w:val="center"/>
          </w:tcPr>
          <w:p w14:paraId="3126D955">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0-5</w:t>
            </w:r>
          </w:p>
        </w:tc>
      </w:tr>
      <w:tr w14:paraId="3735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090EB495">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vAlign w:val="center"/>
          </w:tcPr>
          <w:p w14:paraId="6202E610">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安全设计方案</w:t>
            </w:r>
          </w:p>
        </w:tc>
        <w:tc>
          <w:tcPr>
            <w:tcW w:w="2739" w:type="pct"/>
            <w:tcBorders>
              <w:top w:val="single" w:color="auto" w:sz="4" w:space="0"/>
              <w:left w:val="single" w:color="auto" w:sz="4" w:space="0"/>
              <w:bottom w:val="single" w:color="auto" w:sz="4" w:space="0"/>
              <w:right w:val="single" w:color="auto" w:sz="4" w:space="0"/>
            </w:tcBorders>
            <w:vAlign w:val="center"/>
          </w:tcPr>
          <w:p w14:paraId="09114A8D">
            <w:pPr>
              <w:keepNext w:val="0"/>
              <w:keepLines w:val="0"/>
              <w:widowControl/>
              <w:suppressLineNumbers w:val="0"/>
              <w:spacing w:before="0" w:beforeAutospacing="0" w:after="0" w:afterAutospacing="0"/>
              <w:ind w:left="0" w:right="0"/>
              <w:jc w:val="left"/>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投标人根据本项目安全需求提安全设计方案，内容包括但不限于数据安全、网络安全、身份认证、权限管理等内容。方案应结合信息安全等级保护三级认证和</w:t>
            </w:r>
            <w:r>
              <w:rPr>
                <w:rFonts w:hint="default" w:ascii="宋体" w:hAnsi="宋体" w:eastAsia="宋体" w:cs="宋体"/>
                <w:color w:val="auto"/>
                <w:kern w:val="0"/>
                <w:sz w:val="24"/>
                <w:szCs w:val="24"/>
                <w:highlight w:val="none"/>
                <w:lang w:val="en-US" w:eastAsia="zh-CN" w:bidi="ar"/>
              </w:rPr>
              <w:t>商用密码应用安全性评估</w:t>
            </w:r>
            <w:r>
              <w:rPr>
                <w:rFonts w:hint="eastAsia" w:ascii="宋体" w:hAnsi="宋体" w:eastAsia="宋体" w:cs="宋体"/>
                <w:color w:val="auto"/>
                <w:kern w:val="0"/>
                <w:sz w:val="24"/>
                <w:szCs w:val="24"/>
                <w:highlight w:val="none"/>
                <w:lang w:val="en-US" w:eastAsia="zh-CN" w:bidi="ar"/>
              </w:rPr>
              <w:t>要求</w:t>
            </w:r>
            <w:r>
              <w:rPr>
                <w:rFonts w:hint="eastAsia" w:ascii="宋体" w:hAnsi="宋体" w:eastAsia="宋体" w:cs="宋体"/>
                <w:color w:val="auto"/>
                <w:spacing w:val="1"/>
                <w:kern w:val="0"/>
                <w:sz w:val="24"/>
                <w:szCs w:val="24"/>
                <w:highlight w:val="none"/>
                <w:lang w:val="en-US" w:eastAsia="zh-CN" w:bidi="ar-SA"/>
              </w:rPr>
              <w:t>，保证系统的安全性、可靠性、稳定性。</w:t>
            </w:r>
          </w:p>
          <w:p w14:paraId="6A6140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1.方案内容全面，设计完整的数据安全、网络安全、身份认证、权限管理等内容，符合国家安全标准，得5分。</w:t>
            </w:r>
          </w:p>
          <w:p w14:paraId="151D10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2.方案内容较为全面，数据安全、网络安全、身份认证、权限管理等内容设计可行，得4分。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3.方案内容部分完整，部分体现数据安全、网络安全、身份认证、权限管理等内容设计的，得3分。</w:t>
            </w:r>
          </w:p>
          <w:p w14:paraId="12735F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4.方案内容粗略，数据安全、网络安全、身份认证、权限管理等内容设计不完整，不符合国家相关安全标准和规定的，得2分。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vAlign w:val="center"/>
          </w:tcPr>
          <w:p w14:paraId="788DA5FE">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0-5</w:t>
            </w:r>
          </w:p>
        </w:tc>
      </w:tr>
      <w:tr w14:paraId="1660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63" w:type="pct"/>
            <w:vMerge w:val="continue"/>
            <w:tcBorders>
              <w:left w:val="single" w:color="auto" w:sz="4" w:space="0"/>
              <w:right w:val="single" w:color="auto" w:sz="4" w:space="0"/>
            </w:tcBorders>
            <w:vAlign w:val="center"/>
          </w:tcPr>
          <w:p w14:paraId="409E963F">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vAlign w:val="center"/>
          </w:tcPr>
          <w:p w14:paraId="4B80A7D3">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数据资源建设方案</w:t>
            </w:r>
          </w:p>
        </w:tc>
        <w:tc>
          <w:tcPr>
            <w:tcW w:w="2739" w:type="pct"/>
            <w:tcBorders>
              <w:top w:val="single" w:color="auto" w:sz="4" w:space="0"/>
              <w:left w:val="single" w:color="auto" w:sz="4" w:space="0"/>
              <w:bottom w:val="single" w:color="auto" w:sz="4" w:space="0"/>
              <w:right w:val="single" w:color="auto" w:sz="4" w:space="0"/>
            </w:tcBorders>
            <w:vAlign w:val="top"/>
          </w:tcPr>
          <w:p w14:paraId="380333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须提供数据资源建设方案，结合采购需求中“数据架构”和“数据资源建设需求”，在此基础上结合本项目产生的业务数据，明确建成后沉淀的数据资源清单（按照L1-L5架构进行编制），并参照《安徽省数据工程实施指南V2.0》制定数据工程实施计划。</w:t>
            </w:r>
          </w:p>
          <w:p w14:paraId="090570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1.方案内容</w:t>
            </w:r>
            <w:r>
              <w:rPr>
                <w:rFonts w:hint="eastAsia" w:ascii="宋体" w:hAnsi="宋体" w:eastAsia="宋体" w:cs="宋体"/>
                <w:color w:val="auto"/>
                <w:spacing w:val="1"/>
                <w:kern w:val="0"/>
                <w:sz w:val="24"/>
                <w:szCs w:val="24"/>
                <w:highlight w:val="none"/>
                <w:u w:val="none" w:color="auto"/>
                <w:lang w:val="en-US" w:eastAsia="zh-CN"/>
              </w:rPr>
              <w:t>完整详实，</w:t>
            </w:r>
            <w:r>
              <w:rPr>
                <w:rFonts w:hint="eastAsia" w:ascii="宋体" w:hAnsi="宋体" w:eastAsia="宋体" w:cs="宋体"/>
                <w:color w:val="auto"/>
                <w:spacing w:val="1"/>
                <w:kern w:val="0"/>
                <w:sz w:val="24"/>
                <w:szCs w:val="24"/>
                <w:highlight w:val="none"/>
                <w:lang w:val="en-US" w:eastAsia="zh-CN" w:bidi="ar-SA"/>
              </w:rPr>
              <w:t>数据资源清单</w:t>
            </w:r>
            <w:r>
              <w:rPr>
                <w:rFonts w:hint="eastAsia" w:ascii="宋体" w:hAnsi="宋体" w:eastAsia="宋体" w:cs="宋体"/>
                <w:color w:val="auto"/>
                <w:spacing w:val="1"/>
                <w:kern w:val="0"/>
                <w:sz w:val="24"/>
                <w:szCs w:val="24"/>
                <w:highlight w:val="none"/>
                <w:u w:val="none" w:color="auto"/>
                <w:lang w:val="en-US" w:eastAsia="zh-CN"/>
              </w:rPr>
              <w:t>表述清晰的</w:t>
            </w:r>
            <w:r>
              <w:rPr>
                <w:rFonts w:hint="eastAsia" w:ascii="宋体" w:hAnsi="宋体" w:eastAsia="宋体" w:cs="宋体"/>
                <w:color w:val="auto"/>
                <w:spacing w:val="1"/>
                <w:kern w:val="0"/>
                <w:sz w:val="24"/>
                <w:szCs w:val="24"/>
                <w:highlight w:val="none"/>
                <w:lang w:val="en-US" w:eastAsia="zh-CN" w:bidi="ar-SA"/>
              </w:rPr>
              <w:t>，明确数据工程实施过程中各环节内容的，得5分。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2.方案内容</w:t>
            </w:r>
            <w:r>
              <w:rPr>
                <w:rFonts w:hint="eastAsia" w:ascii="宋体" w:hAnsi="宋体" w:eastAsia="宋体" w:cs="宋体"/>
                <w:color w:val="auto"/>
                <w:spacing w:val="1"/>
                <w:kern w:val="0"/>
                <w:sz w:val="24"/>
                <w:szCs w:val="24"/>
                <w:highlight w:val="none"/>
                <w:u w:val="none" w:color="auto"/>
                <w:lang w:val="en-US" w:eastAsia="zh-CN"/>
              </w:rPr>
              <w:t>覆盖全面，内容完整详实</w:t>
            </w:r>
            <w:r>
              <w:rPr>
                <w:rFonts w:hint="eastAsia" w:ascii="宋体" w:hAnsi="宋体" w:eastAsia="宋体" w:cs="宋体"/>
                <w:color w:val="auto"/>
                <w:spacing w:val="1"/>
                <w:kern w:val="0"/>
                <w:sz w:val="24"/>
                <w:szCs w:val="24"/>
                <w:highlight w:val="none"/>
                <w:lang w:val="en-US" w:eastAsia="zh-CN" w:bidi="ar-SA"/>
              </w:rPr>
              <w:t>，数据资源清单编制和数据工程实施计划可行，得4分。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3.方案内容有待完善，数据资源清单编制、数据工程实施计划</w:t>
            </w:r>
            <w:r>
              <w:rPr>
                <w:rFonts w:hint="eastAsia" w:ascii="宋体" w:hAnsi="宋体" w:eastAsia="宋体" w:cs="宋体"/>
                <w:i w:val="0"/>
                <w:iCs w:val="0"/>
                <w:color w:val="auto"/>
                <w:kern w:val="0"/>
                <w:sz w:val="24"/>
                <w:szCs w:val="24"/>
                <w:highlight w:val="none"/>
                <w:u w:val="none" w:color="auto"/>
                <w:lang w:val="en-US" w:eastAsia="zh-CN" w:bidi="ar"/>
              </w:rPr>
              <w:t>具体细节有待完善的</w:t>
            </w:r>
            <w:r>
              <w:rPr>
                <w:rFonts w:hint="eastAsia" w:ascii="宋体" w:hAnsi="宋体" w:eastAsia="宋体" w:cs="宋体"/>
                <w:color w:val="auto"/>
                <w:spacing w:val="1"/>
                <w:kern w:val="0"/>
                <w:sz w:val="24"/>
                <w:szCs w:val="24"/>
                <w:highlight w:val="none"/>
                <w:lang w:val="en-US" w:eastAsia="zh-CN" w:bidi="ar-SA"/>
              </w:rPr>
              <w:t>，得3分。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4.方案内容粗略，数据资源清单编制、数据工程实施计划不完整的，得2分。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vAlign w:val="center"/>
          </w:tcPr>
          <w:p w14:paraId="42CDECAE">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val="en-US" w:eastAsia="zh-CN" w:bidi="ar-SA"/>
              </w:rPr>
              <w:t>0-5</w:t>
            </w:r>
          </w:p>
        </w:tc>
      </w:tr>
      <w:tr w14:paraId="56A0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069A1774">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0639303">
            <w:pPr>
              <w:keepNext w:val="0"/>
              <w:keepLines w:val="0"/>
              <w:pageBreakBefore w:val="0"/>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与安徽省一体化数据基础平台对接方案</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top"/>
          </w:tcPr>
          <w:p w14:paraId="1F42AD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投标人需提供本项目运维数据上报至一体化省级运维平台方案，内容包括但不限于平台之间的数据上报机制、接口设计等内容，保障数据上报的完整性和稳定性。</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1.对接方案内容齐全，数据上报机制、接口设计等内容设计完善，能保障数据上报完整、数据上报稳定的，得5分；</w:t>
            </w:r>
          </w:p>
          <w:p w14:paraId="0D8724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2.对接方案内容全面，数据上报机制、接口设计等内容较为完整的，得4分。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3.对接方案内容可行，数据上报机制、接口设计等内容可以体现，得3分。</w:t>
            </w:r>
          </w:p>
          <w:p w14:paraId="00588E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4.对接方案内容粗略，数据上报机制、接口设计等内容不完整，不能保障数据上报完整性和稳定性的，得2分。</w:t>
            </w:r>
          </w:p>
          <w:p w14:paraId="037B04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1E9C964D">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default" w:cs="@仿宋_GB2312" w:asciiTheme="minorEastAsia" w:hAnsiTheme="minorEastAsia" w:eastAsiaTheme="minorEastAsia"/>
                <w:color w:val="auto"/>
                <w:kern w:val="2"/>
                <w:sz w:val="24"/>
                <w:szCs w:val="24"/>
                <w:highlight w:val="none"/>
                <w:lang w:eastAsia="zh-CN" w:bidi="ar-SA"/>
              </w:rPr>
            </w:pPr>
            <w:r>
              <w:rPr>
                <w:rFonts w:hint="eastAsia" w:asciiTheme="minorEastAsia" w:hAnsiTheme="minorEastAsia" w:eastAsiaTheme="minorEastAsia"/>
                <w:color w:val="auto"/>
                <w:sz w:val="24"/>
                <w:szCs w:val="24"/>
                <w:highlight w:val="none"/>
                <w:lang w:val="en-US" w:eastAsia="zh-CN"/>
              </w:rPr>
              <w:t>0-5</w:t>
            </w:r>
          </w:p>
        </w:tc>
      </w:tr>
      <w:tr w14:paraId="5E58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63" w:type="pct"/>
            <w:vMerge w:val="continue"/>
            <w:tcBorders>
              <w:left w:val="single" w:color="auto" w:sz="4" w:space="0"/>
              <w:right w:val="single" w:color="auto" w:sz="4" w:space="0"/>
            </w:tcBorders>
            <w:vAlign w:val="center"/>
          </w:tcPr>
          <w:p w14:paraId="0F70A153">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lang w:val="en-US" w:eastAsia="zh-CN"/>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7DF45F5">
            <w:pPr>
              <w:keepNext w:val="0"/>
              <w:keepLines w:val="0"/>
              <w:pageBreakBefore w:val="0"/>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与滁州市安全运营（监测）平台对接方案</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center"/>
          </w:tcPr>
          <w:p w14:paraId="5D20BC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投标人需提供本项目与滁州市安全运营（监测）平台对接方案，内容包括但不限于运维工单的协同处置机制、接口设计、流程设计，实现从监测、告警、派单、处置的闭环管理。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1.对接方案内容全面，协同处置机制、接口设计和闭环流程设计内容完善，具备运维故障事件从发现、派单、处置全流程快速处理的，得5分；</w:t>
            </w:r>
          </w:p>
          <w:p w14:paraId="328C61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2.对接方案内容较为全面，协同处置机制、接口设计和闭环流程设计等内容较为完整的，得4分。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3.对接方案内容满足项目需求，能体现协同处置机制、接口设计和闭环流程设计内容的，得3分。</w:t>
            </w:r>
          </w:p>
          <w:p w14:paraId="1CFFE0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leftChars="0" w:right="0" w:rightChars="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4.对接方案内容粗略，在协同处置机制、接口设计和闭环流程设计不完整的，得2分。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02072533">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eastAsia"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lang w:val="en-US" w:eastAsia="zh-CN"/>
              </w:rPr>
              <w:t>0-5</w:t>
            </w:r>
          </w:p>
        </w:tc>
      </w:tr>
      <w:tr w14:paraId="1F22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7F48896E">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firstLine="435"/>
              <w:jc w:val="center"/>
              <w:textAlignment w:val="auto"/>
              <w:rPr>
                <w:rFonts w:hint="eastAsia" w:asciiTheme="minorEastAsia" w:hAnsiTheme="minorEastAsia" w:eastAsiaTheme="minorEastAsia"/>
                <w:b/>
                <w:bCs/>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B5B1D57">
            <w:pPr>
              <w:keepNext w:val="0"/>
              <w:keepLines w:val="0"/>
              <w:pageBreakBefore w:val="0"/>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eastAsia"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lang w:val="en-US" w:eastAsia="zh-CN"/>
              </w:rPr>
              <w:t>项目实施方案</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center"/>
          </w:tcPr>
          <w:p w14:paraId="12A552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投标人所提供的方案应包括但不限于项目实施过程管理、项目进度计划、项目风险管理、项目质量管理、项目验收等。</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1.项目实施方案内容完整、</w:t>
            </w:r>
            <w:r>
              <w:rPr>
                <w:rFonts w:hint="eastAsia" w:ascii="宋体" w:hAnsi="宋体" w:eastAsia="宋体" w:cs="宋体"/>
                <w:color w:val="auto"/>
                <w:spacing w:val="1"/>
                <w:kern w:val="0"/>
                <w:sz w:val="24"/>
                <w:szCs w:val="24"/>
                <w:highlight w:val="none"/>
                <w:u w:val="none" w:color="auto"/>
              </w:rPr>
              <w:t>思路与</w:t>
            </w:r>
            <w:r>
              <w:rPr>
                <w:rFonts w:hint="eastAsia" w:ascii="宋体" w:hAnsi="宋体" w:eastAsia="宋体" w:cs="宋体"/>
                <w:color w:val="auto"/>
                <w:spacing w:val="1"/>
                <w:kern w:val="0"/>
                <w:sz w:val="24"/>
                <w:szCs w:val="24"/>
                <w:highlight w:val="none"/>
                <w:u w:val="none" w:color="auto"/>
                <w:lang w:val="en-US" w:eastAsia="zh-CN"/>
              </w:rPr>
              <w:t>方案</w:t>
            </w:r>
            <w:r>
              <w:rPr>
                <w:rFonts w:hint="eastAsia" w:ascii="宋体" w:hAnsi="宋体" w:eastAsia="宋体" w:cs="宋体"/>
                <w:color w:val="auto"/>
                <w:spacing w:val="1"/>
                <w:kern w:val="0"/>
                <w:sz w:val="24"/>
                <w:szCs w:val="24"/>
                <w:highlight w:val="none"/>
                <w:u w:val="none" w:color="auto"/>
              </w:rPr>
              <w:t>阐述清晰</w:t>
            </w:r>
            <w:r>
              <w:rPr>
                <w:rFonts w:hint="eastAsia" w:ascii="宋体" w:hAnsi="宋体" w:eastAsia="宋体" w:cs="宋体"/>
                <w:color w:val="auto"/>
                <w:spacing w:val="1"/>
                <w:kern w:val="0"/>
                <w:sz w:val="24"/>
                <w:szCs w:val="24"/>
                <w:highlight w:val="none"/>
                <w:lang w:val="en-US" w:eastAsia="zh-CN" w:bidi="ar-SA"/>
              </w:rPr>
              <w:t>的，得5分；</w:t>
            </w:r>
          </w:p>
          <w:p w14:paraId="67F4F4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2.项目实施方案内容完整、合理、具有一定可行性的，得4分；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3.项目实施方案内容较为完整、但部分内容设计不合理不具备可行性的，得3分；</w:t>
            </w:r>
          </w:p>
          <w:p w14:paraId="2DED8B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4.项目实施方案内容粗略、内容缺失有待完善的，得2分。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01621F4B">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eastAsia"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lang w:val="en-US" w:eastAsia="zh-CN"/>
              </w:rPr>
              <w:t>0-5</w:t>
            </w:r>
          </w:p>
        </w:tc>
      </w:tr>
      <w:tr w14:paraId="5F19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6A6D7808">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firstLine="435"/>
              <w:jc w:val="center"/>
              <w:textAlignment w:val="auto"/>
              <w:rPr>
                <w:rFonts w:hint="eastAsia" w:asciiTheme="minorEastAsia" w:hAnsiTheme="minorEastAsia" w:eastAsiaTheme="minorEastAsia"/>
                <w:b/>
                <w:bCs/>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vAlign w:val="center"/>
          </w:tcPr>
          <w:p w14:paraId="0C9AE29A">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项目运维方案</w:t>
            </w:r>
          </w:p>
        </w:tc>
        <w:tc>
          <w:tcPr>
            <w:tcW w:w="2739" w:type="pct"/>
            <w:tcBorders>
              <w:top w:val="single" w:color="auto" w:sz="4" w:space="0"/>
              <w:left w:val="single" w:color="auto" w:sz="4" w:space="0"/>
              <w:bottom w:val="single" w:color="auto" w:sz="4" w:space="0"/>
              <w:right w:val="single" w:color="auto" w:sz="4" w:space="0"/>
            </w:tcBorders>
            <w:vAlign w:val="center"/>
          </w:tcPr>
          <w:p w14:paraId="0E8C28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投标人所提供的方案应包括但不限于运维人员配备、运维目标、运维范围、运维内容和运维保障措施等。</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1.项目运维方案内容详实完整、合理、清晰、准确的，得5分；</w:t>
            </w:r>
          </w:p>
          <w:p w14:paraId="490FC4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2.项目运维方案内容满足项目需求、具有一定可行性的，得4分；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3.项目运维方案内容部分设计不合理不具备可行性的，得3分；</w:t>
            </w:r>
          </w:p>
          <w:p w14:paraId="4BB67C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4.项目运维方案内容粗略、内容缺失有待完善的，得2分。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vAlign w:val="center"/>
          </w:tcPr>
          <w:p w14:paraId="40F1DE68">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right="0"/>
              <w:jc w:val="center"/>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0-5</w:t>
            </w:r>
          </w:p>
        </w:tc>
      </w:tr>
      <w:tr w14:paraId="6922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vMerge w:val="continue"/>
            <w:tcBorders>
              <w:left w:val="single" w:color="auto" w:sz="4" w:space="0"/>
              <w:right w:val="single" w:color="auto" w:sz="4" w:space="0"/>
            </w:tcBorders>
            <w:vAlign w:val="center"/>
          </w:tcPr>
          <w:p w14:paraId="6134432C">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firstLine="435"/>
              <w:jc w:val="center"/>
              <w:textAlignment w:val="auto"/>
              <w:rPr>
                <w:rFonts w:hint="eastAsia" w:asciiTheme="minorEastAsia" w:hAnsiTheme="minorEastAsia" w:eastAsiaTheme="minorEastAsia"/>
                <w:b/>
                <w:bCs/>
                <w:color w:val="auto"/>
                <w:sz w:val="24"/>
                <w:szCs w:val="24"/>
                <w:highlight w:val="none"/>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1DA8A6E9">
            <w:pPr>
              <w:keepNext w:val="0"/>
              <w:keepLines w:val="0"/>
              <w:pageBreakBefore w:val="0"/>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培训方案</w:t>
            </w:r>
          </w:p>
        </w:tc>
        <w:tc>
          <w:tcPr>
            <w:tcW w:w="2739" w:type="pct"/>
            <w:tcBorders>
              <w:top w:val="single" w:color="auto" w:sz="4" w:space="0"/>
              <w:left w:val="single" w:color="auto" w:sz="4" w:space="0"/>
              <w:bottom w:val="single" w:color="auto" w:sz="4" w:space="0"/>
              <w:right w:val="single" w:color="auto" w:sz="4" w:space="0"/>
            </w:tcBorders>
            <w:shd w:val="clear" w:color="auto" w:fill="auto"/>
            <w:vAlign w:val="center"/>
          </w:tcPr>
          <w:p w14:paraId="0F9123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投标人所提供的方案应包括但不限于培训目的、培训方式、培训计划、培训课程设计等。</w:t>
            </w:r>
          </w:p>
          <w:p w14:paraId="35E583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1.项目培训方案内容完整、方案合理、清晰、准确的，得5分；</w:t>
            </w:r>
          </w:p>
          <w:p w14:paraId="03A9B0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default"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2.项目培训方案内容完整详实、具有一定可行性的，得4分；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3.项目培训方案内容完整、但部分内容设计不合理不具备可行性的，得3分；</w:t>
            </w:r>
          </w:p>
          <w:p w14:paraId="6F71F6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50" w:lineRule="exact"/>
              <w:ind w:left="0" w:right="0"/>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4.项目培训方案内容粗略、内容缺失有待完善的，得2分。</w:t>
            </w:r>
            <w:r>
              <w:rPr>
                <w:rFonts w:hint="eastAsia" w:ascii="宋体" w:hAnsi="宋体" w:eastAsia="宋体" w:cs="宋体"/>
                <w:color w:val="auto"/>
                <w:spacing w:val="1"/>
                <w:kern w:val="0"/>
                <w:sz w:val="24"/>
                <w:szCs w:val="24"/>
                <w:highlight w:val="none"/>
                <w:lang w:val="en-US" w:eastAsia="zh-CN" w:bidi="ar-SA"/>
              </w:rPr>
              <w:br w:type="textWrapping"/>
            </w:r>
            <w:r>
              <w:rPr>
                <w:rFonts w:hint="eastAsia" w:ascii="宋体" w:hAnsi="宋体" w:eastAsia="宋体" w:cs="宋体"/>
                <w:color w:val="auto"/>
                <w:spacing w:val="1"/>
                <w:kern w:val="0"/>
                <w:sz w:val="24"/>
                <w:szCs w:val="24"/>
                <w:highlight w:val="none"/>
                <w:lang w:val="en-US" w:eastAsia="zh-CN" w:bidi="ar-SA"/>
              </w:rPr>
              <w:t>5.方案不提供的不得分。</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14:paraId="14CF9DF6">
            <w:pPr>
              <w:keepNext w:val="0"/>
              <w:keepLines w:val="0"/>
              <w:pageBreakBefore w:val="0"/>
              <w:widowControl/>
              <w:suppressLineNumbers w:val="0"/>
              <w:kinsoku/>
              <w:overflowPunct/>
              <w:topLinePunct w:val="0"/>
              <w:autoSpaceDE/>
              <w:autoSpaceDN/>
              <w:bidi w:val="0"/>
              <w:spacing w:before="0" w:beforeAutospacing="0" w:after="0" w:afterAutospacing="0" w:line="400" w:lineRule="exact"/>
              <w:ind w:left="0" w:leftChars="0" w:right="0" w:rightChars="0"/>
              <w:jc w:val="center"/>
              <w:textAlignment w:val="auto"/>
              <w:rPr>
                <w:rFonts w:hint="eastAsia"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lang w:val="en-US" w:eastAsia="zh-CN"/>
              </w:rPr>
              <w:t>0-5</w:t>
            </w:r>
          </w:p>
        </w:tc>
      </w:tr>
      <w:tr w14:paraId="3546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pct"/>
            <w:tcBorders>
              <w:left w:val="single" w:color="auto" w:sz="4" w:space="0"/>
              <w:right w:val="single" w:color="auto" w:sz="4" w:space="0"/>
            </w:tcBorders>
            <w:vAlign w:val="center"/>
          </w:tcPr>
          <w:p w14:paraId="163EEBED">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价格分</w:t>
            </w:r>
          </w:p>
          <w:p w14:paraId="256B331B">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jc w:val="center"/>
              <w:textAlignment w:val="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lang w:val="en-US" w:eastAsia="zh-CN"/>
              </w:rPr>
              <w:t>10</w:t>
            </w:r>
            <w:r>
              <w:rPr>
                <w:rFonts w:hint="eastAsia" w:asciiTheme="minorEastAsia" w:hAnsiTheme="minorEastAsia" w:eastAsiaTheme="minorEastAsia"/>
                <w:color w:val="auto"/>
                <w:sz w:val="24"/>
                <w:szCs w:val="24"/>
                <w:highlight w:val="none"/>
              </w:rPr>
              <w:t>分）</w:t>
            </w:r>
          </w:p>
        </w:tc>
        <w:tc>
          <w:tcPr>
            <w:tcW w:w="4136" w:type="pct"/>
            <w:gridSpan w:val="3"/>
            <w:tcBorders>
              <w:top w:val="single" w:color="auto" w:sz="4" w:space="0"/>
              <w:left w:val="single" w:color="auto" w:sz="4" w:space="0"/>
              <w:bottom w:val="single" w:color="auto" w:sz="4" w:space="0"/>
              <w:right w:val="single" w:color="auto" w:sz="4" w:space="0"/>
            </w:tcBorders>
            <w:vAlign w:val="center"/>
          </w:tcPr>
          <w:p w14:paraId="7B406B53">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价格分统一采用低价优先法，即满足招标文件要求且投标价格最低的投标报价</w:t>
            </w:r>
            <w:r>
              <w:rPr>
                <w:rFonts w:hint="eastAsia" w:asciiTheme="minorEastAsia" w:hAnsiTheme="minorEastAsia" w:eastAsiaTheme="minorEastAsia"/>
                <w:color w:val="auto"/>
                <w:sz w:val="24"/>
                <w:szCs w:val="24"/>
                <w:highlight w:val="none"/>
                <w:lang w:val="en-US" w:eastAsia="zh-CN"/>
              </w:rPr>
              <w:t>（如有扣除为扣除后价格）</w:t>
            </w:r>
            <w:r>
              <w:rPr>
                <w:rFonts w:hint="eastAsia" w:asciiTheme="minorEastAsia" w:hAnsiTheme="minorEastAsia" w:eastAsiaTheme="minorEastAsia"/>
                <w:color w:val="auto"/>
                <w:sz w:val="24"/>
                <w:szCs w:val="24"/>
                <w:highlight w:val="none"/>
              </w:rPr>
              <w:t>为评标基准价，其价格分为满分</w:t>
            </w:r>
            <w:r>
              <w:rPr>
                <w:rFonts w:hint="eastAsia" w:asciiTheme="minorEastAsia" w:hAnsiTheme="minorEastAsia" w:eastAsiaTheme="minorEastAsia"/>
                <w:color w:val="auto"/>
                <w:sz w:val="24"/>
                <w:szCs w:val="24"/>
                <w:highlight w:val="none"/>
                <w:u w:val="single"/>
                <w:lang w:val="en-US" w:eastAsia="zh-CN"/>
              </w:rPr>
              <w:t xml:space="preserve"> 10 </w:t>
            </w:r>
            <w:r>
              <w:rPr>
                <w:rFonts w:hint="eastAsia" w:asciiTheme="minorEastAsia" w:hAnsiTheme="minorEastAsia" w:eastAsiaTheme="minorEastAsia"/>
                <w:color w:val="auto"/>
                <w:sz w:val="24"/>
                <w:szCs w:val="24"/>
                <w:highlight w:val="none"/>
              </w:rPr>
              <w:t>分。其他投标人的价格分统一按照下列公式计算：</w:t>
            </w:r>
          </w:p>
          <w:p w14:paraId="21C957FA">
            <w:pPr>
              <w:keepNext w:val="0"/>
              <w:keepLines w:val="0"/>
              <w:pageBreakBefore w:val="0"/>
              <w:suppressLineNumbers w:val="0"/>
              <w:kinsoku/>
              <w:overflowPunct/>
              <w:topLinePunct w:val="0"/>
              <w:autoSpaceDE/>
              <w:autoSpaceDN/>
              <w:bidi w:val="0"/>
              <w:spacing w:before="0" w:beforeAutospacing="0" w:after="0" w:afterAutospacing="0" w:line="400" w:lineRule="exact"/>
              <w:ind w:left="0" w:right="0"/>
              <w:textAlignment w:val="auto"/>
              <w:rPr>
                <w:rFonts w:hint="eastAsia" w:ascii="宋体" w:hAnsi="宋体" w:eastAsia="宋体"/>
                <w:color w:val="auto"/>
                <w:sz w:val="24"/>
                <w:szCs w:val="28"/>
                <w:highlight w:val="none"/>
              </w:rPr>
            </w:pPr>
            <w:r>
              <w:rPr>
                <w:rFonts w:hint="eastAsia" w:asciiTheme="minorEastAsia" w:hAnsiTheme="minorEastAsia" w:eastAsiaTheme="minorEastAsia"/>
                <w:color w:val="auto"/>
                <w:sz w:val="24"/>
                <w:szCs w:val="24"/>
                <w:highlight w:val="none"/>
              </w:rPr>
              <w:t>投标报价得分＝（评标基准价/投标报价</w:t>
            </w:r>
            <w:r>
              <w:rPr>
                <w:rFonts w:hint="eastAsia" w:asciiTheme="minorEastAsia" w:hAnsiTheme="minorEastAsia" w:eastAsiaTheme="minorEastAsia"/>
                <w:color w:val="auto"/>
                <w:sz w:val="24"/>
                <w:szCs w:val="24"/>
                <w:highlight w:val="none"/>
                <w:lang w:val="en-US" w:eastAsia="zh-CN"/>
              </w:rPr>
              <w:t>（如有扣除为扣除后价格）</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val="en-US" w:eastAsia="zh-CN"/>
              </w:rPr>
              <w:t xml:space="preserve"> 10</w:t>
            </w:r>
            <w:r>
              <w:rPr>
                <w:rFonts w:hint="eastAsia" w:asciiTheme="minorEastAsia" w:hAnsiTheme="minorEastAsia" w:eastAsiaTheme="minorEastAsia"/>
                <w:color w:val="auto"/>
                <w:sz w:val="24"/>
                <w:szCs w:val="24"/>
                <w:highlight w:val="none"/>
              </w:rPr>
              <w:t>％×100</w:t>
            </w:r>
          </w:p>
        </w:tc>
      </w:tr>
    </w:tbl>
    <w:p w14:paraId="4FECE170">
      <w:pPr>
        <w:spacing w:line="360" w:lineRule="auto"/>
        <w:ind w:firstLine="435"/>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注：如</w:t>
      </w:r>
      <w:r>
        <w:rPr>
          <w:rFonts w:hint="eastAsia" w:ascii="宋体" w:hAnsi="宋体" w:eastAsia="宋体" w:cs="宋体"/>
          <w:color w:val="auto"/>
          <w:sz w:val="24"/>
          <w:highlight w:val="none"/>
        </w:rPr>
        <w:t>银行、保险、石油石化、电力、电信等特殊行业</w:t>
      </w:r>
      <w:r>
        <w:rPr>
          <w:rFonts w:hint="eastAsia" w:ascii="宋体" w:hAnsi="宋体" w:eastAsia="宋体" w:cs="宋体"/>
          <w:color w:val="auto"/>
          <w:sz w:val="24"/>
          <w:highlight w:val="none"/>
          <w:lang w:val="en-US" w:eastAsia="zh-CN"/>
        </w:rPr>
        <w:t>的分支机构（分公司）参加投标的，提供总公司（含分公司）或其下属分支机构的业绩、软著等均予认可。</w:t>
      </w:r>
    </w:p>
    <w:p w14:paraId="70115750">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.3.3</w:t>
      </w:r>
      <w:r>
        <w:rPr>
          <w:rFonts w:hint="eastAsia" w:asciiTheme="minorEastAsia" w:hAnsiTheme="minorEastAsia" w:eastAsiaTheme="minorEastAsia"/>
          <w:color w:val="auto"/>
          <w:sz w:val="24"/>
          <w:highlight w:val="none"/>
        </w:rPr>
        <w:t>分值汇总</w:t>
      </w:r>
    </w:p>
    <w:p w14:paraId="6D5CFF75">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36B1BA49">
      <w:pPr>
        <w:spacing w:line="440" w:lineRule="exact"/>
        <w:ind w:firstLine="435"/>
        <w:rPr>
          <w:rFonts w:hint="default" w:eastAsiaTheme="minorEastAsia"/>
          <w:color w:val="auto"/>
          <w:highlight w:val="none"/>
          <w:lang w:val="en-US" w:eastAsia="zh-CN"/>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p>
    <w:p w14:paraId="598ECDE7">
      <w:pPr>
        <w:spacing w:line="360" w:lineRule="auto"/>
        <w:ind w:firstLine="435"/>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三、无效投标条款</w:t>
      </w:r>
    </w:p>
    <w:p w14:paraId="123B6AF4">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3.1投标文件有下列情形之一的,其投标文件拒收:</w:t>
      </w:r>
    </w:p>
    <w:p w14:paraId="30EDBAA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 未在</w:t>
      </w:r>
      <w:r>
        <w:rPr>
          <w:rFonts w:hint="eastAsia" w:asciiTheme="minorEastAsia" w:hAnsiTheme="minorEastAsia" w:eastAsiaTheme="minorEastAsia"/>
          <w:color w:val="auto"/>
          <w:sz w:val="24"/>
          <w:highlight w:val="none"/>
          <w:lang w:val="en-US" w:eastAsia="zh-CN"/>
        </w:rPr>
        <w:t>投</w:t>
      </w:r>
      <w:r>
        <w:rPr>
          <w:rFonts w:hint="eastAsia" w:asciiTheme="minorEastAsia" w:hAnsiTheme="minorEastAsia" w:eastAsiaTheme="minorEastAsia"/>
          <w:color w:val="auto"/>
          <w:sz w:val="24"/>
          <w:highlight w:val="none"/>
        </w:rPr>
        <w:t>标截止时间前通过网上招标投标系统递交有效电子投标文件的，开标系统不予接收，投标将被拒绝。</w:t>
      </w:r>
    </w:p>
    <w:p w14:paraId="67C1AEB9">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25679EA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3.2投标人有下列情形之一的,资格审查后其投标作无效投标处理：</w:t>
      </w:r>
    </w:p>
    <w:p w14:paraId="3C69340B">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(1)投标人为本项目提供招标代理服务的；</w:t>
      </w:r>
    </w:p>
    <w:p w14:paraId="78B30FA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(2)投标人与在本项目代理机构存在相互任职或工作的；</w:t>
      </w:r>
    </w:p>
    <w:p w14:paraId="1F641EAF">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(3)招标公告写明专门面向中小企业采购，投标人提供的货物非中小企业制造的；</w:t>
      </w:r>
    </w:p>
    <w:p w14:paraId="1E07BE7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(4)要求供应商以联合体形式参加采购活动，投标人非联合体或者联合协议中中小企业合同金额未达到应当达到的比例；</w:t>
      </w:r>
    </w:p>
    <w:p w14:paraId="598FEEA6">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(5)要求获得采购合同的供应商向中小企业分包，投标人未提供分包意向协议或者分包意向协议中中小企业合同金额未达到应当达到的比例；</w:t>
      </w:r>
    </w:p>
    <w:p w14:paraId="7EEA5BB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(6)评标专家无法查看并检验电子投标文件中相关资料的；</w:t>
      </w:r>
    </w:p>
    <w:p w14:paraId="6065DED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(7)联合体投标未提交联合体协议的；</w:t>
      </w:r>
    </w:p>
    <w:p w14:paraId="33D1A294">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(8)责令停产停业的；</w:t>
      </w:r>
    </w:p>
    <w:p w14:paraId="221B293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(9)暂停或者取消参与政府采购项目资格的；</w:t>
      </w:r>
    </w:p>
    <w:p w14:paraId="45D164F6">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(10)投标人单位负责人为同一人或者存在（直接）控股、管理关系的不同单位的；</w:t>
      </w:r>
    </w:p>
    <w:p w14:paraId="3F6380C9">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(11)投标人基本资格条件和特定资格条件中有一项及以上不符合要求的；</w:t>
      </w:r>
    </w:p>
    <w:p w14:paraId="1DAA337B">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7417CFDB">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(13)其它情形，经评标委员会委提出按无效投标处理，并经公共资源交易监督部门核准的；</w:t>
      </w:r>
    </w:p>
    <w:p w14:paraId="7616D3A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(14)投标人投标MAC地址或投标人联系人或联系电话相同的，由评标委员会否决其投标，并报告监管部门作不良行为处理和进一步调查；</w:t>
      </w:r>
    </w:p>
    <w:p w14:paraId="6A39B8C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(15)投标人单方面出现其他投标人材料的</w:t>
      </w:r>
      <w:r>
        <w:rPr>
          <w:rFonts w:hint="eastAsia" w:asciiTheme="minorEastAsia" w:hAnsiTheme="minorEastAsia" w:eastAsiaTheme="minorEastAsia"/>
          <w:bCs/>
          <w:color w:val="auto"/>
          <w:sz w:val="24"/>
          <w:szCs w:val="24"/>
          <w:highlight w:val="none"/>
        </w:rPr>
        <w:t>（组成联合体响应的除外）</w:t>
      </w:r>
      <w:r>
        <w:rPr>
          <w:rFonts w:hint="eastAsia" w:asciiTheme="minorEastAsia" w:hAnsiTheme="minorEastAsia" w:eastAsiaTheme="minorEastAsia"/>
          <w:color w:val="auto"/>
          <w:sz w:val="24"/>
          <w:highlight w:val="none"/>
        </w:rPr>
        <w:t>；</w:t>
      </w:r>
    </w:p>
    <w:p w14:paraId="27B741C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(16)招标文件规定的其它无效投标情形。</w:t>
      </w:r>
    </w:p>
    <w:p w14:paraId="4AF7DF6F">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 投标人有下列情形之一的,符合性审查后其投标按无效投标处理：</w:t>
      </w:r>
    </w:p>
    <w:p w14:paraId="35CFCC0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(1)投标文件签字、盖章不全，经评标委员会一致认定对开评标内容有实质性影响并经公共资源交易监督部门核准的；</w:t>
      </w:r>
    </w:p>
    <w:p w14:paraId="4F8115C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(2)未按规定的格式填写导致实质性内容不全以及实质上不响应，或者关键字迹模糊、无法辨认; 经公共资源交易监督部门核准的；</w:t>
      </w:r>
    </w:p>
    <w:p w14:paraId="5E99ABF9">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(3)同一投标人提交两个以上不同的投标文件或者投标报价，但招标文件规定提交备选方案的除外；</w:t>
      </w:r>
    </w:p>
    <w:p w14:paraId="37692BF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(4)投标文件没有对招标文件的实质性要求和条件作出响应;</w:t>
      </w:r>
    </w:p>
    <w:p w14:paraId="030C709C">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(5)投标报价超出规定的投标限价或公布的采购预算的或投标人的投标报价各项单价高于招标文件给定的单价最高限价；</w:t>
      </w:r>
    </w:p>
    <w:p w14:paraId="42061505">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(6)不按评标委员会要求澄清、说明或补正的，或者评标委员会根据招标文件的规定对投标文件的计算错误进行修正后，投标人不接受修正的投标报价的。</w:t>
      </w:r>
    </w:p>
    <w:p w14:paraId="42851CB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(7)其它情形，经评标委员会委提出按无效投标处理，并经公共资源交易监督部门核准的；</w:t>
      </w:r>
    </w:p>
    <w:p w14:paraId="02A3C55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(8)投标文件含有采购人不能接受的附加条件的；</w:t>
      </w:r>
    </w:p>
    <w:p w14:paraId="661D3AE5">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(9)招标文件规定的其它无效投标情形。</w:t>
      </w:r>
    </w:p>
    <w:p w14:paraId="00ADAB4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3.4 投标人有下列情形之一的, 详细评审后其投标按无效投标处理：</w:t>
      </w:r>
    </w:p>
    <w:p w14:paraId="0EF31B8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(1)投标产品不符合必须强制执行的国家标准的；</w:t>
      </w:r>
    </w:p>
    <w:p w14:paraId="19AB46B7">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(2)投标人有串通投标、弄虚作假、行贿等违法行为；</w:t>
      </w:r>
    </w:p>
    <w:p w14:paraId="2663A193">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(3)投标文件含有违反国家法律、法规的内容，或附有采购人不能接受的条件的；</w:t>
      </w:r>
    </w:p>
    <w:p w14:paraId="200DEB95">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(4)报价明显低于其他投标人，且不能证明报价合理性的投标无效；</w:t>
      </w:r>
    </w:p>
    <w:p w14:paraId="1FBD1DF4">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(5)拒不确认评标委员会评审修正的投标无效；</w:t>
      </w:r>
    </w:p>
    <w:p w14:paraId="160F4506">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(6)其它情形，经评标委员会委提出按无效投标处理，并经公共资源交易监督部门核准的；</w:t>
      </w:r>
    </w:p>
    <w:p w14:paraId="2B724838">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(7)招标文件规定的其它无效投标情形。</w:t>
      </w:r>
      <w:r>
        <w:rPr>
          <w:rFonts w:asciiTheme="minorEastAsia" w:hAnsiTheme="minorEastAsia" w:eastAsiaTheme="minorEastAsia"/>
          <w:color w:val="auto"/>
          <w:sz w:val="24"/>
          <w:highlight w:val="none"/>
        </w:rPr>
        <w:br w:type="page"/>
      </w:r>
    </w:p>
    <w:p w14:paraId="19313E8F">
      <w:pPr>
        <w:spacing w:line="360" w:lineRule="auto"/>
        <w:jc w:val="center"/>
        <w:outlineLvl w:val="0"/>
        <w:rPr>
          <w:rFonts w:hint="eastAsia" w:asciiTheme="minorEastAsia" w:hAnsiTheme="minorEastAsia" w:eastAsiaTheme="minorEastAsia"/>
          <w:b/>
          <w:color w:val="auto"/>
          <w:sz w:val="28"/>
          <w:highlight w:val="none"/>
        </w:rPr>
      </w:pPr>
      <w:bookmarkStart w:id="68" w:name="_Toc20405"/>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68"/>
    </w:p>
    <w:p w14:paraId="08CD2B65">
      <w:pPr>
        <w:spacing w:line="480" w:lineRule="auto"/>
        <w:jc w:val="center"/>
        <w:rPr>
          <w:rFonts w:hint="eastAsia" w:cs="Times New Roman" w:asciiTheme="minorEastAsia" w:hAnsiTheme="minorEastAsia" w:eastAsiaTheme="minorEastAsia"/>
          <w:b/>
          <w:color w:val="auto"/>
          <w:sz w:val="28"/>
          <w:szCs w:val="28"/>
          <w:highlight w:val="none"/>
        </w:rPr>
      </w:pPr>
      <w:bookmarkStart w:id="69" w:name="_Toc331685784"/>
    </w:p>
    <w:p w14:paraId="7341C75F">
      <w:pPr>
        <w:spacing w:line="480" w:lineRule="auto"/>
        <w:jc w:val="center"/>
        <w:rPr>
          <w:rFonts w:hint="eastAsia" w:cs="Times New Roman" w:asciiTheme="minorEastAsia" w:hAnsiTheme="minorEastAsia" w:eastAsiaTheme="minorEastAsia"/>
          <w:b/>
          <w:color w:val="auto"/>
          <w:sz w:val="28"/>
          <w:szCs w:val="28"/>
          <w:highlight w:val="none"/>
        </w:rPr>
      </w:pPr>
    </w:p>
    <w:p w14:paraId="5CAB03A8">
      <w:pPr>
        <w:pStyle w:val="16"/>
        <w:rPr>
          <w:rFonts w:hint="eastAsia"/>
          <w:color w:val="auto"/>
          <w:highlight w:val="none"/>
        </w:rPr>
      </w:pPr>
    </w:p>
    <w:p w14:paraId="08182BCE">
      <w:pPr>
        <w:spacing w:line="480" w:lineRule="auto"/>
        <w:jc w:val="center"/>
        <w:outlineLvl w:val="1"/>
        <w:rPr>
          <w:rFonts w:hint="eastAsia" w:cs="Times New Roman" w:asciiTheme="minorEastAsia" w:hAnsiTheme="minorEastAsia" w:eastAsiaTheme="minorEastAsia"/>
          <w:b/>
          <w:color w:val="auto"/>
          <w:sz w:val="28"/>
          <w:szCs w:val="28"/>
          <w:highlight w:val="none"/>
        </w:rPr>
      </w:pPr>
      <w:bookmarkStart w:id="70" w:name="_Toc3714"/>
      <w:r>
        <w:rPr>
          <w:rFonts w:cs="Times New Roman" w:asciiTheme="minorEastAsia" w:hAnsiTheme="minorEastAsia" w:eastAsiaTheme="minorEastAsia"/>
          <w:b/>
          <w:color w:val="auto"/>
          <w:sz w:val="28"/>
          <w:szCs w:val="28"/>
          <w:highlight w:val="none"/>
        </w:rPr>
        <w:t>政府采购合同</w:t>
      </w:r>
      <w:r>
        <w:rPr>
          <w:rFonts w:hint="eastAsia" w:cs="Times New Roman" w:asciiTheme="minorEastAsia" w:hAnsiTheme="minorEastAsia" w:eastAsiaTheme="minorEastAsia"/>
          <w:b/>
          <w:color w:val="auto"/>
          <w:sz w:val="28"/>
          <w:szCs w:val="28"/>
          <w:highlight w:val="none"/>
        </w:rPr>
        <w:t>参考范本</w:t>
      </w:r>
      <w:bookmarkEnd w:id="70"/>
    </w:p>
    <w:p w14:paraId="73B79BDD">
      <w:pPr>
        <w:spacing w:line="480" w:lineRule="auto"/>
        <w:jc w:val="center"/>
        <w:outlineLvl w:val="1"/>
        <w:rPr>
          <w:rFonts w:hint="eastAsia" w:cs="Times New Roman" w:asciiTheme="minorEastAsia" w:hAnsiTheme="minorEastAsia" w:eastAsiaTheme="minorEastAsia"/>
          <w:b/>
          <w:color w:val="auto"/>
          <w:sz w:val="28"/>
          <w:szCs w:val="28"/>
          <w:highlight w:val="none"/>
        </w:rPr>
      </w:pPr>
      <w:bookmarkStart w:id="71" w:name="_Toc8560"/>
      <w:r>
        <w:rPr>
          <w:rFonts w:hint="eastAsia" w:cs="Times New Roman" w:asciiTheme="minorEastAsia" w:hAnsiTheme="minorEastAsia" w:eastAsiaTheme="minorEastAsia"/>
          <w:b/>
          <w:color w:val="auto"/>
          <w:sz w:val="28"/>
          <w:szCs w:val="28"/>
          <w:highlight w:val="none"/>
        </w:rPr>
        <w:t>（服务类）</w:t>
      </w:r>
      <w:bookmarkEnd w:id="71"/>
    </w:p>
    <w:p w14:paraId="1C050EE8">
      <w:pPr>
        <w:spacing w:line="480" w:lineRule="auto"/>
        <w:jc w:val="center"/>
        <w:rPr>
          <w:rFonts w:hint="eastAsia" w:cs="Times New Roman" w:asciiTheme="minorEastAsia" w:hAnsiTheme="minorEastAsia" w:eastAsiaTheme="minorEastAsia"/>
          <w:b/>
          <w:color w:val="auto"/>
          <w:sz w:val="24"/>
          <w:szCs w:val="24"/>
          <w:highlight w:val="none"/>
        </w:rPr>
      </w:pPr>
    </w:p>
    <w:p w14:paraId="6C58AE45">
      <w:pPr>
        <w:spacing w:line="480" w:lineRule="auto"/>
        <w:jc w:val="center"/>
        <w:rPr>
          <w:rFonts w:hint="eastAsia" w:cs="Times New Roman" w:asciiTheme="minorEastAsia" w:hAnsiTheme="minorEastAsia" w:eastAsiaTheme="minorEastAsia"/>
          <w:b/>
          <w:color w:val="auto"/>
          <w:sz w:val="24"/>
          <w:szCs w:val="24"/>
          <w:highlight w:val="none"/>
        </w:rPr>
      </w:pPr>
    </w:p>
    <w:p w14:paraId="69C9A909">
      <w:pPr>
        <w:spacing w:line="480" w:lineRule="auto"/>
        <w:jc w:val="center"/>
        <w:rPr>
          <w:rFonts w:hint="eastAsia" w:cs="Times New Roman" w:asciiTheme="minorEastAsia" w:hAnsiTheme="minorEastAsia" w:eastAsiaTheme="minorEastAsia"/>
          <w:b/>
          <w:color w:val="auto"/>
          <w:sz w:val="24"/>
          <w:szCs w:val="24"/>
          <w:highlight w:val="none"/>
        </w:rPr>
      </w:pPr>
    </w:p>
    <w:p w14:paraId="5E5E0F2C">
      <w:pPr>
        <w:spacing w:line="360" w:lineRule="auto"/>
        <w:jc w:val="center"/>
        <w:outlineLvl w:val="1"/>
        <w:rPr>
          <w:rFonts w:hint="eastAsia" w:asciiTheme="minorEastAsia" w:hAnsiTheme="minorEastAsia" w:eastAsiaTheme="minorEastAsia"/>
          <w:b/>
          <w:color w:val="auto"/>
          <w:sz w:val="24"/>
          <w:highlight w:val="none"/>
        </w:rPr>
      </w:pPr>
      <w:bookmarkStart w:id="72" w:name="_Toc2449"/>
      <w:r>
        <w:rPr>
          <w:rFonts w:hint="eastAsia" w:asciiTheme="minorEastAsia" w:hAnsiTheme="minorEastAsia" w:eastAsiaTheme="minorEastAsia"/>
          <w:b/>
          <w:color w:val="auto"/>
          <w:sz w:val="24"/>
          <w:highlight w:val="none"/>
        </w:rPr>
        <w:t>第一部分 合同书</w:t>
      </w:r>
      <w:bookmarkEnd w:id="72"/>
    </w:p>
    <w:p w14:paraId="48FFDA58">
      <w:pPr>
        <w:spacing w:line="480" w:lineRule="auto"/>
        <w:jc w:val="center"/>
        <w:rPr>
          <w:rFonts w:hint="eastAsia" w:cs="Times New Roman" w:asciiTheme="minorEastAsia" w:hAnsiTheme="minorEastAsia" w:eastAsiaTheme="minorEastAsia"/>
          <w:b/>
          <w:color w:val="auto"/>
          <w:sz w:val="24"/>
          <w:szCs w:val="24"/>
          <w:highlight w:val="none"/>
        </w:rPr>
      </w:pPr>
    </w:p>
    <w:p w14:paraId="4689DABD">
      <w:pPr>
        <w:spacing w:line="480" w:lineRule="auto"/>
        <w:jc w:val="center"/>
        <w:rPr>
          <w:rFonts w:hint="eastAsia" w:cs="Times New Roman" w:asciiTheme="minorEastAsia" w:hAnsiTheme="minorEastAsia" w:eastAsiaTheme="minorEastAsia"/>
          <w:b/>
          <w:color w:val="auto"/>
          <w:sz w:val="24"/>
          <w:szCs w:val="24"/>
          <w:highlight w:val="none"/>
        </w:rPr>
      </w:pPr>
    </w:p>
    <w:p w14:paraId="1E22270C">
      <w:pPr>
        <w:pStyle w:val="16"/>
        <w:rPr>
          <w:rFonts w:hint="eastAsia"/>
          <w:color w:val="auto"/>
          <w:highlight w:val="none"/>
        </w:rPr>
      </w:pPr>
    </w:p>
    <w:p w14:paraId="3087E87B">
      <w:pPr>
        <w:pStyle w:val="16"/>
        <w:rPr>
          <w:rFonts w:hint="eastAsia"/>
          <w:color w:val="auto"/>
          <w:highlight w:val="none"/>
        </w:rPr>
      </w:pPr>
    </w:p>
    <w:p w14:paraId="4BE372E3">
      <w:pPr>
        <w:spacing w:before="120" w:line="480" w:lineRule="auto"/>
        <w:ind w:left="960"/>
        <w:rPr>
          <w:rFonts w:hint="default" w:cs="Times New Roman" w:asciiTheme="minorEastAsia" w:hAnsiTheme="minorEastAsia" w:eastAsiaTheme="minorEastAsia"/>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项目名称：</w:t>
      </w:r>
      <w:r>
        <w:rPr>
          <w:rFonts w:hint="eastAsia" w:cs="Times New Roman" w:asciiTheme="minorEastAsia" w:hAnsiTheme="minorEastAsia" w:eastAsiaTheme="minorEastAsia"/>
          <w:color w:val="auto"/>
          <w:sz w:val="24"/>
          <w:szCs w:val="24"/>
          <w:highlight w:val="none"/>
          <w:u w:val="single"/>
          <w:lang w:eastAsia="zh-CN"/>
        </w:rPr>
        <w:t>安徽省一体化数据基础平台滁州市级节点运维平台项目</w:t>
      </w:r>
    </w:p>
    <w:p w14:paraId="43F87109">
      <w:pPr>
        <w:spacing w:before="120" w:line="480" w:lineRule="auto"/>
        <w:ind w:left="960"/>
        <w:rPr>
          <w:rFonts w:hint="default" w:cs="Times New Roman" w:asciiTheme="minorEastAsia" w:hAnsiTheme="minorEastAsia" w:eastAsiaTheme="minorEastAsia"/>
          <w:color w:val="auto"/>
          <w:sz w:val="24"/>
          <w:szCs w:val="24"/>
          <w:highlight w:val="none"/>
          <w:u w:val="single"/>
          <w:lang w:eastAsia="zh-CN"/>
        </w:rPr>
      </w:pPr>
      <w:r>
        <w:rPr>
          <w:rFonts w:hint="eastAsia" w:cs="Times New Roman" w:asciiTheme="minorEastAsia" w:hAnsiTheme="minorEastAsia" w:eastAsiaTheme="minorEastAsia"/>
          <w:color w:val="auto"/>
          <w:sz w:val="24"/>
          <w:szCs w:val="24"/>
          <w:highlight w:val="none"/>
        </w:rPr>
        <w:t>项目编号：</w:t>
      </w:r>
    </w:p>
    <w:p w14:paraId="769137BB">
      <w:pPr>
        <w:spacing w:before="120" w:line="480" w:lineRule="auto"/>
        <w:ind w:left="960"/>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甲方（采购人）：</w:t>
      </w:r>
      <w:r>
        <w:rPr>
          <w:rFonts w:hint="eastAsia" w:cs="Times New Roman" w:asciiTheme="minorEastAsia" w:hAnsiTheme="minorEastAsia" w:eastAsiaTheme="minorEastAsia"/>
          <w:color w:val="auto"/>
          <w:sz w:val="24"/>
          <w:szCs w:val="24"/>
          <w:highlight w:val="none"/>
          <w:u w:val="single"/>
          <w:lang w:eastAsia="zh-CN"/>
        </w:rPr>
        <w:t xml:space="preserve"> 滁州市数据资源管理局</w:t>
      </w:r>
      <w:r>
        <w:rPr>
          <w:rFonts w:hint="eastAsia" w:cs="Times New Roman" w:asciiTheme="minorEastAsia" w:hAnsiTheme="minorEastAsia" w:eastAsiaTheme="minorEastAsia"/>
          <w:color w:val="auto"/>
          <w:sz w:val="24"/>
          <w:szCs w:val="24"/>
          <w:highlight w:val="none"/>
          <w:u w:val="single"/>
        </w:rPr>
        <w:t xml:space="preserve"> </w:t>
      </w:r>
    </w:p>
    <w:p w14:paraId="53712C7F">
      <w:pPr>
        <w:spacing w:before="120" w:line="480" w:lineRule="auto"/>
        <w:ind w:left="960"/>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乙方（中标人）：</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p>
    <w:p w14:paraId="5DFE8457">
      <w:pPr>
        <w:spacing w:before="120" w:line="480" w:lineRule="auto"/>
        <w:ind w:left="960"/>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签订地：</w:t>
      </w:r>
      <w:r>
        <w:rPr>
          <w:rFonts w:hint="eastAsia" w:cs="Times New Roman" w:asciiTheme="minorEastAsia" w:hAnsiTheme="minorEastAsia" w:eastAsiaTheme="minorEastAsia"/>
          <w:color w:val="auto"/>
          <w:sz w:val="24"/>
          <w:szCs w:val="24"/>
          <w:highlight w:val="none"/>
          <w:u w:val="single"/>
          <w:lang w:eastAsia="zh-CN"/>
        </w:rPr>
        <w:t xml:space="preserve"> 滁州市数据资源管理局</w:t>
      </w:r>
      <w:r>
        <w:rPr>
          <w:rFonts w:hint="eastAsia" w:cs="Times New Roman" w:asciiTheme="minorEastAsia" w:hAnsiTheme="minorEastAsia" w:eastAsiaTheme="minorEastAsia"/>
          <w:color w:val="auto"/>
          <w:sz w:val="24"/>
          <w:szCs w:val="24"/>
          <w:highlight w:val="none"/>
          <w:u w:val="single"/>
        </w:rPr>
        <w:t xml:space="preserve"> </w:t>
      </w:r>
    </w:p>
    <w:p w14:paraId="5CC45BD0">
      <w:pPr>
        <w:spacing w:before="120" w:line="480" w:lineRule="auto"/>
        <w:ind w:firstLine="960" w:firstLineChars="400"/>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签订日期：</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月</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日</w:t>
      </w:r>
    </w:p>
    <w:bookmarkEnd w:id="69"/>
    <w:p w14:paraId="619B7CB1">
      <w:pPr>
        <w:rPr>
          <w:rFonts w:hint="eastAsia" w:asciiTheme="minorEastAsia" w:hAnsiTheme="minorEastAsia" w:eastAsiaTheme="minorEastAsia"/>
          <w:color w:val="auto"/>
          <w:sz w:val="24"/>
          <w:highlight w:val="none"/>
          <w:u w:val="single"/>
          <w:lang w:eastAsia="zh-CN"/>
        </w:rPr>
      </w:pPr>
      <w:bookmarkStart w:id="73" w:name="_Toc13555"/>
      <w:r>
        <w:rPr>
          <w:rFonts w:hint="eastAsia" w:asciiTheme="minorEastAsia" w:hAnsiTheme="minorEastAsia" w:eastAsiaTheme="minorEastAsia"/>
          <w:color w:val="auto"/>
          <w:sz w:val="24"/>
          <w:highlight w:val="none"/>
          <w:u w:val="single"/>
          <w:lang w:eastAsia="zh-CN"/>
        </w:rPr>
        <w:br w:type="page"/>
      </w:r>
    </w:p>
    <w:p w14:paraId="50CAEF09">
      <w:pPr>
        <w:spacing w:line="440" w:lineRule="exact"/>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u w:val="single"/>
          <w:lang w:eastAsia="zh-CN"/>
        </w:rPr>
        <w:t xml:space="preserve"> 滁州市数据资源管理局</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zh-CN"/>
        </w:rPr>
        <w:t>以下简称：甲方</w:t>
      </w:r>
      <w:r>
        <w:rPr>
          <w:rFonts w:hint="eastAsia" w:asciiTheme="minorEastAsia" w:hAnsiTheme="minorEastAsia" w:eastAsiaTheme="minorEastAsia"/>
          <w:color w:val="auto"/>
          <w:sz w:val="24"/>
          <w:highlight w:val="none"/>
        </w:rPr>
        <w:t xml:space="preserve">）通过 </w:t>
      </w:r>
      <w:r>
        <w:rPr>
          <w:rFonts w:hint="eastAsia" w:asciiTheme="minorEastAsia" w:hAnsiTheme="minorEastAsia" w:eastAsiaTheme="minorEastAsia"/>
          <w:color w:val="auto"/>
          <w:sz w:val="24"/>
          <w:highlight w:val="none"/>
          <w:u w:val="single"/>
          <w:lang w:eastAsia="zh-CN"/>
        </w:rPr>
        <w:t>滁州市政府采购中心</w:t>
      </w:r>
      <w:r>
        <w:rPr>
          <w:rFonts w:hint="eastAsia" w:asciiTheme="minorEastAsia" w:hAnsiTheme="minorEastAsia" w:eastAsiaTheme="minorEastAsia"/>
          <w:color w:val="auto"/>
          <w:sz w:val="24"/>
          <w:highlight w:val="none"/>
        </w:rPr>
        <w:t>组织的</w:t>
      </w:r>
      <w:r>
        <w:rPr>
          <w:rFonts w:hint="eastAsia" w:asciiTheme="minorEastAsia" w:hAnsiTheme="minorEastAsia" w:eastAsiaTheme="minorEastAsia"/>
          <w:color w:val="auto"/>
          <w:sz w:val="24"/>
          <w:highlight w:val="none"/>
          <w:u w:val="single"/>
        </w:rPr>
        <w:t>公开招标</w:t>
      </w:r>
      <w:r>
        <w:rPr>
          <w:rFonts w:hint="eastAsia" w:asciiTheme="minorEastAsia" w:hAnsiTheme="minorEastAsia" w:eastAsiaTheme="minorEastAsia"/>
          <w:color w:val="auto"/>
          <w:sz w:val="24"/>
          <w:highlight w:val="none"/>
        </w:rPr>
        <w:t>方式采购活动，经</w:t>
      </w:r>
      <w:r>
        <w:rPr>
          <w:rFonts w:hint="eastAsia" w:asciiTheme="minorEastAsia" w:hAnsiTheme="minorEastAsia" w:eastAsiaTheme="minorEastAsia"/>
          <w:color w:val="auto"/>
          <w:sz w:val="24"/>
          <w:highlight w:val="none"/>
          <w:u w:val="single"/>
        </w:rPr>
        <w:t>评标委员会</w:t>
      </w:r>
      <w:r>
        <w:rPr>
          <w:rFonts w:hint="eastAsia" w:asciiTheme="minorEastAsia" w:hAnsiTheme="minorEastAsia" w:eastAsiaTheme="minorEastAsia"/>
          <w:color w:val="auto"/>
          <w:sz w:val="24"/>
          <w:highlight w:val="none"/>
        </w:rPr>
        <w:t>评定，</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zh-CN"/>
        </w:rPr>
        <w:t>以下简称：乙方</w:t>
      </w:r>
      <w:r>
        <w:rPr>
          <w:rFonts w:hint="eastAsia" w:asciiTheme="minorEastAsia" w:hAnsiTheme="minorEastAsia" w:eastAsiaTheme="minorEastAsia"/>
          <w:color w:val="auto"/>
          <w:sz w:val="24"/>
          <w:highlight w:val="none"/>
        </w:rPr>
        <w:t>）为本项目中标人，现按照采购文件确定的事项签订本合同。</w:t>
      </w:r>
    </w:p>
    <w:p w14:paraId="73DB9CC5">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64B03365">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74" w:name="_Toc3029"/>
      <w:bookmarkStart w:id="75" w:name="_Toc2232"/>
      <w:bookmarkStart w:id="76" w:name="_Toc24059"/>
      <w:r>
        <w:rPr>
          <w:rFonts w:hint="eastAsia" w:cs="Times New Roman" w:asciiTheme="minorEastAsia" w:hAnsiTheme="minorEastAsia" w:eastAsiaTheme="minorEastAsia"/>
          <w:b/>
          <w:bCs/>
          <w:color w:val="auto"/>
          <w:sz w:val="24"/>
          <w:szCs w:val="24"/>
          <w:highlight w:val="none"/>
          <w:lang w:val="zh-CN"/>
        </w:rPr>
        <w:t>1.1</w:t>
      </w:r>
      <w:r>
        <w:rPr>
          <w:rFonts w:cs="Times New Roman" w:asciiTheme="minorEastAsia" w:hAnsiTheme="minorEastAsia" w:eastAsiaTheme="minorEastAsia"/>
          <w:b/>
          <w:bCs/>
          <w:color w:val="auto"/>
          <w:sz w:val="24"/>
          <w:szCs w:val="24"/>
          <w:highlight w:val="none"/>
          <w:lang w:val="zh-CN"/>
        </w:rPr>
        <w:t xml:space="preserve"> </w:t>
      </w:r>
      <w:r>
        <w:rPr>
          <w:rFonts w:hint="eastAsia" w:cs="Times New Roman" w:asciiTheme="minorEastAsia" w:hAnsiTheme="minorEastAsia" w:eastAsiaTheme="minorEastAsia"/>
          <w:b/>
          <w:bCs/>
          <w:color w:val="auto"/>
          <w:sz w:val="24"/>
          <w:szCs w:val="24"/>
          <w:highlight w:val="none"/>
          <w:lang w:val="zh-CN"/>
        </w:rPr>
        <w:t>合同组成部分</w:t>
      </w:r>
      <w:bookmarkEnd w:id="74"/>
      <w:bookmarkEnd w:id="75"/>
      <w:bookmarkEnd w:id="76"/>
    </w:p>
    <w:p w14:paraId="02870567">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AF9F5E2">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1.1.1本合同及其补充合同、变更协议；</w:t>
      </w:r>
    </w:p>
    <w:p w14:paraId="1CBAA757">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1.1.2中标通知书；</w:t>
      </w:r>
    </w:p>
    <w:p w14:paraId="2924FBF6">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1.1.3投标文件（含澄清或者说明文件）；</w:t>
      </w:r>
    </w:p>
    <w:p w14:paraId="56167F7E">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1.1.4招标文件（含澄清或者修改文件）；</w:t>
      </w:r>
    </w:p>
    <w:p w14:paraId="26611692">
      <w:pPr>
        <w:spacing w:line="440" w:lineRule="exact"/>
        <w:ind w:firstLine="435"/>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1.1.5其他相关采购文件（</w:t>
      </w:r>
      <w:r>
        <w:rPr>
          <w:rFonts w:hint="eastAsia" w:cs="Times New Roman" w:asciiTheme="minorEastAsia" w:hAnsiTheme="minorEastAsia" w:eastAsiaTheme="minorEastAsia"/>
          <w:color w:val="auto"/>
          <w:sz w:val="24"/>
          <w:szCs w:val="24"/>
          <w:highlight w:val="none"/>
          <w:lang w:val="en-US" w:eastAsia="zh-CN"/>
        </w:rPr>
        <w:t>建设方案等）</w:t>
      </w:r>
      <w:r>
        <w:rPr>
          <w:rFonts w:hint="eastAsia" w:cs="Times New Roman" w:asciiTheme="minorEastAsia" w:hAnsiTheme="minorEastAsia" w:eastAsiaTheme="minorEastAsia"/>
          <w:color w:val="auto"/>
          <w:sz w:val="24"/>
          <w:szCs w:val="24"/>
          <w:highlight w:val="none"/>
          <w:lang w:val="zh-CN"/>
        </w:rPr>
        <w:t>。</w:t>
      </w:r>
    </w:p>
    <w:p w14:paraId="2B03EF79">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77" w:name="_Toc2918"/>
      <w:bookmarkStart w:id="78" w:name="_Toc6773"/>
      <w:bookmarkStart w:id="79" w:name="_Toc6311"/>
      <w:bookmarkStart w:id="80" w:name="_Toc18585"/>
      <w:bookmarkStart w:id="81" w:name="_Toc22185"/>
      <w:r>
        <w:rPr>
          <w:rFonts w:hint="eastAsia" w:cs="Times New Roman" w:asciiTheme="minorEastAsia" w:hAnsiTheme="minorEastAsia" w:eastAsiaTheme="minorEastAsia"/>
          <w:b/>
          <w:bCs/>
          <w:color w:val="auto"/>
          <w:sz w:val="24"/>
          <w:szCs w:val="24"/>
          <w:highlight w:val="none"/>
          <w:lang w:val="zh-CN"/>
        </w:rPr>
        <w:t xml:space="preserve">1.2 </w:t>
      </w:r>
      <w:bookmarkEnd w:id="77"/>
      <w:bookmarkEnd w:id="78"/>
      <w:bookmarkEnd w:id="79"/>
      <w:bookmarkEnd w:id="80"/>
      <w:bookmarkEnd w:id="81"/>
      <w:r>
        <w:rPr>
          <w:rFonts w:hint="eastAsia" w:cs="Times New Roman" w:asciiTheme="minorEastAsia" w:hAnsiTheme="minorEastAsia" w:eastAsiaTheme="minorEastAsia"/>
          <w:b/>
          <w:bCs/>
          <w:color w:val="auto"/>
          <w:sz w:val="24"/>
          <w:szCs w:val="24"/>
          <w:highlight w:val="none"/>
          <w:lang w:val="zh-CN"/>
        </w:rPr>
        <w:t>服务</w:t>
      </w:r>
    </w:p>
    <w:p w14:paraId="6BFD90B4">
      <w:pPr>
        <w:spacing w:line="440" w:lineRule="exact"/>
        <w:ind w:firstLine="435"/>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1.2.1服务</w:t>
      </w:r>
      <w:r>
        <w:rPr>
          <w:rFonts w:cs="Times New Roman" w:asciiTheme="minorEastAsia" w:hAnsiTheme="minorEastAsia" w:eastAsiaTheme="minorEastAsia"/>
          <w:color w:val="auto"/>
          <w:sz w:val="24"/>
          <w:szCs w:val="24"/>
          <w:highlight w:val="none"/>
        </w:rPr>
        <w:t>名称：</w:t>
      </w:r>
      <w:r>
        <w:rPr>
          <w:rFonts w:hint="eastAsia" w:cs="Times New Roman" w:asciiTheme="minorEastAsia" w:hAnsiTheme="minorEastAsia" w:eastAsiaTheme="minorEastAsia"/>
          <w:color w:val="auto"/>
          <w:sz w:val="24"/>
          <w:szCs w:val="24"/>
          <w:highlight w:val="none"/>
          <w:u w:val="single"/>
          <w:lang w:eastAsia="zh-CN"/>
        </w:rPr>
        <w:t>安徽省一体化数据基础平台滁州市级节点运维平台项目</w:t>
      </w:r>
      <w:r>
        <w:rPr>
          <w:rFonts w:hint="eastAsia" w:cs="Times New Roman" w:asciiTheme="minorEastAsia" w:hAnsiTheme="minorEastAsia" w:eastAsiaTheme="minorEastAsia"/>
          <w:color w:val="auto"/>
          <w:sz w:val="24"/>
          <w:szCs w:val="24"/>
          <w:highlight w:val="none"/>
        </w:rPr>
        <w:t>；</w:t>
      </w:r>
    </w:p>
    <w:p w14:paraId="5FBEEFA1">
      <w:pPr>
        <w:spacing w:line="440" w:lineRule="exact"/>
        <w:ind w:firstLine="435"/>
        <w:rPr>
          <w:rFonts w:hint="eastAsia"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1.2.2服务内容</w:t>
      </w:r>
      <w:r>
        <w:rPr>
          <w:rFonts w:cs="Times New Roman" w:asciiTheme="minorEastAsia" w:hAnsiTheme="minorEastAsia" w:eastAsiaTheme="minorEastAsia"/>
          <w:color w:val="auto"/>
          <w:sz w:val="24"/>
          <w:szCs w:val="24"/>
          <w:highlight w:val="none"/>
        </w:rPr>
        <w:t>：</w:t>
      </w:r>
      <w:r>
        <w:rPr>
          <w:rFonts w:hint="eastAsia" w:ascii="宋体" w:hAnsi="宋体" w:eastAsia="宋体" w:cs="宋体"/>
          <w:color w:val="auto"/>
          <w:sz w:val="24"/>
          <w:highlight w:val="none"/>
          <w:u w:val="single"/>
        </w:rPr>
        <w:t>招标文件第三章采购需求全部内容</w:t>
      </w:r>
      <w:r>
        <w:rPr>
          <w:rFonts w:hint="eastAsia" w:cs="Times New Roman" w:asciiTheme="minorEastAsia" w:hAnsiTheme="minorEastAsia" w:eastAsiaTheme="minorEastAsia"/>
          <w:color w:val="auto"/>
          <w:sz w:val="24"/>
          <w:szCs w:val="24"/>
          <w:highlight w:val="none"/>
        </w:rPr>
        <w:t>；</w:t>
      </w:r>
    </w:p>
    <w:p w14:paraId="5F3BD5B0">
      <w:pPr>
        <w:keepNext w:val="0"/>
        <w:keepLines w:val="0"/>
        <w:pageBreakBefore w:val="0"/>
        <w:widowControl w:val="0"/>
        <w:kinsoku/>
        <w:wordWrap/>
        <w:overflowPunct/>
        <w:topLinePunct w:val="0"/>
        <w:autoSpaceDE/>
        <w:autoSpaceDN/>
        <w:bidi w:val="0"/>
        <w:spacing w:line="550" w:lineRule="exact"/>
        <w:ind w:firstLine="480" w:firstLineChars="200"/>
        <w:textAlignment w:val="auto"/>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1.2.3服务质量：</w:t>
      </w:r>
      <w:r>
        <w:rPr>
          <w:rFonts w:hint="eastAsia" w:ascii="宋体" w:hAnsi="宋体" w:eastAsia="宋体" w:cs="宋体"/>
          <w:color w:val="auto"/>
          <w:sz w:val="24"/>
          <w:highlight w:val="none"/>
          <w:u w:val="single"/>
          <w:lang w:val="en-US" w:eastAsia="zh-CN"/>
        </w:rPr>
        <w:t>达到合同要求的标准</w:t>
      </w:r>
      <w:r>
        <w:rPr>
          <w:rFonts w:hint="eastAsia" w:cs="Times New Roman" w:asciiTheme="minorEastAsia" w:hAnsiTheme="minorEastAsia" w:eastAsiaTheme="minorEastAsia"/>
          <w:color w:val="auto"/>
          <w:sz w:val="24"/>
          <w:szCs w:val="24"/>
          <w:highlight w:val="none"/>
        </w:rPr>
        <w:t>。</w:t>
      </w:r>
    </w:p>
    <w:p w14:paraId="2C3B6BBC">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82" w:name="_Toc21631"/>
      <w:bookmarkStart w:id="83" w:name="_Toc21551"/>
      <w:bookmarkStart w:id="84" w:name="_Toc23292"/>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 xml:space="preserve">3 </w:t>
      </w:r>
      <w:r>
        <w:rPr>
          <w:rFonts w:hint="eastAsia" w:cs="Times New Roman" w:asciiTheme="minorEastAsia" w:hAnsiTheme="minorEastAsia" w:eastAsiaTheme="minorEastAsia"/>
          <w:b/>
          <w:bCs/>
          <w:color w:val="auto"/>
          <w:sz w:val="24"/>
          <w:szCs w:val="24"/>
          <w:highlight w:val="none"/>
          <w:lang w:val="zh-CN"/>
        </w:rPr>
        <w:t>价款</w:t>
      </w:r>
      <w:bookmarkEnd w:id="82"/>
      <w:bookmarkEnd w:id="83"/>
      <w:bookmarkEnd w:id="84"/>
    </w:p>
    <w:p w14:paraId="75C83DE3">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本合同总价为</w:t>
      </w:r>
      <w:r>
        <w:rPr>
          <w:rFonts w:hint="eastAsia"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rPr>
        <w:t>元</w:t>
      </w:r>
      <w:r>
        <w:rPr>
          <w:rFonts w:hint="eastAsia" w:cs="Times New Roman" w:asciiTheme="minorEastAsia" w:hAnsiTheme="minorEastAsia" w:eastAsiaTheme="minorEastAsia"/>
          <w:color w:val="auto"/>
          <w:sz w:val="24"/>
          <w:szCs w:val="24"/>
          <w:highlight w:val="none"/>
        </w:rPr>
        <w:t>（大写：人民币</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元）</w:t>
      </w:r>
    </w:p>
    <w:p w14:paraId="69749D6F">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85" w:name="_Toc10340"/>
      <w:bookmarkStart w:id="86" w:name="_Toc22618"/>
      <w:bookmarkStart w:id="87" w:name="_Toc1814"/>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4 付款方式和发票开具方式</w:t>
      </w:r>
      <w:bookmarkEnd w:id="85"/>
      <w:bookmarkEnd w:id="86"/>
      <w:bookmarkEnd w:id="87"/>
    </w:p>
    <w:p w14:paraId="3B235F7C">
      <w:pPr>
        <w:spacing w:line="440" w:lineRule="exact"/>
        <w:ind w:firstLine="435"/>
        <w:rPr>
          <w:rFonts w:hint="eastAsia" w:cs="Times New Roman" w:asciiTheme="minorEastAsia" w:hAnsiTheme="minorEastAsia" w:eastAsiaTheme="minorEastAsia"/>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1.4.1</w:t>
      </w:r>
      <w:r>
        <w:rPr>
          <w:rFonts w:cs="Times New Roman" w:asciiTheme="minorEastAsia" w:hAnsiTheme="minorEastAsia" w:eastAsiaTheme="minorEastAsia"/>
          <w:color w:val="auto"/>
          <w:sz w:val="24"/>
          <w:szCs w:val="24"/>
          <w:highlight w:val="none"/>
        </w:rPr>
        <w:t>付款方式：</w:t>
      </w:r>
      <w:r>
        <w:rPr>
          <w:rFonts w:hint="eastAsia" w:cs="Times New Roman" w:asciiTheme="minorEastAsia" w:hAnsiTheme="minorEastAsia" w:eastAsiaTheme="minorEastAsia"/>
          <w:color w:val="auto"/>
          <w:sz w:val="24"/>
          <w:szCs w:val="24"/>
          <w:highlight w:val="none"/>
          <w:u w:val="single"/>
          <w:lang w:val="en-US" w:eastAsia="zh-CN"/>
        </w:rPr>
        <w:t xml:space="preserve">                        </w:t>
      </w:r>
    </w:p>
    <w:p w14:paraId="469A1C04">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1.4.2发票开具方式：</w:t>
      </w:r>
      <w:bookmarkStart w:id="88" w:name="OLE_LINK8"/>
      <w:r>
        <w:rPr>
          <w:rFonts w:hint="eastAsia" w:ascii="宋体" w:hAnsi="宋体" w:eastAsia="宋体" w:cs="宋体"/>
          <w:color w:val="auto"/>
          <w:sz w:val="24"/>
          <w:szCs w:val="24"/>
          <w:highlight w:val="none"/>
          <w:u w:val="single"/>
        </w:rPr>
        <w:t>开具符合要求的发票</w:t>
      </w:r>
      <w:r>
        <w:rPr>
          <w:rFonts w:hint="eastAsia" w:cs="Times New Roman" w:asciiTheme="minorEastAsia" w:hAnsiTheme="minorEastAsia" w:eastAsiaTheme="minorEastAsia"/>
          <w:color w:val="auto"/>
          <w:sz w:val="24"/>
          <w:szCs w:val="24"/>
          <w:highlight w:val="none"/>
        </w:rPr>
        <w:t>。</w:t>
      </w:r>
      <w:bookmarkEnd w:id="88"/>
    </w:p>
    <w:p w14:paraId="2445B01C">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89" w:name="_Toc32071"/>
      <w:bookmarkStart w:id="90" w:name="_Toc2846"/>
      <w:bookmarkStart w:id="91" w:name="_Toc19304"/>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 xml:space="preserve">5 </w:t>
      </w:r>
      <w:r>
        <w:rPr>
          <w:rFonts w:hint="eastAsia" w:cs="Times New Roman" w:asciiTheme="minorEastAsia" w:hAnsiTheme="minorEastAsia" w:eastAsiaTheme="minorEastAsia"/>
          <w:b/>
          <w:bCs/>
          <w:color w:val="auto"/>
          <w:sz w:val="24"/>
          <w:szCs w:val="24"/>
          <w:highlight w:val="none"/>
          <w:lang w:val="zh-CN"/>
        </w:rPr>
        <w:t>服务</w:t>
      </w:r>
      <w:r>
        <w:rPr>
          <w:rFonts w:cs="Times New Roman" w:asciiTheme="minorEastAsia" w:hAnsiTheme="minorEastAsia" w:eastAsiaTheme="minorEastAsia"/>
          <w:b/>
          <w:bCs/>
          <w:color w:val="auto"/>
          <w:sz w:val="24"/>
          <w:szCs w:val="24"/>
          <w:highlight w:val="none"/>
          <w:lang w:val="zh-CN"/>
        </w:rPr>
        <w:t>期限</w:t>
      </w:r>
      <w:r>
        <w:rPr>
          <w:rFonts w:hint="eastAsia" w:cs="Times New Roman" w:asciiTheme="minorEastAsia" w:hAnsiTheme="minorEastAsia" w:eastAsiaTheme="minorEastAsia"/>
          <w:b/>
          <w:bCs/>
          <w:color w:val="auto"/>
          <w:sz w:val="24"/>
          <w:szCs w:val="24"/>
          <w:highlight w:val="none"/>
          <w:lang w:val="zh-CN"/>
        </w:rPr>
        <w:t>、地点和方式</w:t>
      </w:r>
      <w:bookmarkEnd w:id="89"/>
      <w:bookmarkEnd w:id="90"/>
      <w:bookmarkEnd w:id="91"/>
    </w:p>
    <w:p w14:paraId="0F2E5180">
      <w:pPr>
        <w:spacing w:line="440" w:lineRule="exact"/>
        <w:ind w:firstLine="435"/>
        <w:rPr>
          <w:rFonts w:hint="eastAsia" w:ascii="宋体" w:hAnsi="宋体" w:eastAsia="宋体" w:cs="宋体"/>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1.5.1服务期限</w:t>
      </w:r>
      <w:r>
        <w:rPr>
          <w:rFonts w:cs="Times New Roman" w:asciiTheme="minorEastAsia" w:hAnsiTheme="minorEastAsia" w:eastAsiaTheme="minorEastAsia"/>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9C56B57">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1.5.2服务地点</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lang w:val="en-US" w:eastAsia="zh-CN"/>
        </w:rPr>
        <w:t>滁州市内，</w:t>
      </w:r>
      <w:r>
        <w:rPr>
          <w:rFonts w:hint="eastAsia" w:cs="Times New Roman" w:asciiTheme="minorEastAsia" w:hAnsiTheme="minorEastAsia" w:eastAsiaTheme="minorEastAsia"/>
          <w:color w:val="auto"/>
          <w:sz w:val="24"/>
          <w:szCs w:val="24"/>
          <w:highlight w:val="none"/>
          <w:u w:val="single"/>
        </w:rPr>
        <w:t>甲方指定地点</w:t>
      </w:r>
      <w:r>
        <w:rPr>
          <w:rFonts w:hint="eastAsia" w:cs="Times New Roman" w:asciiTheme="minorEastAsia" w:hAnsiTheme="minorEastAsia" w:eastAsiaTheme="minorEastAsia"/>
          <w:color w:val="auto"/>
          <w:sz w:val="24"/>
          <w:szCs w:val="24"/>
          <w:highlight w:val="none"/>
        </w:rPr>
        <w:t>；</w:t>
      </w:r>
    </w:p>
    <w:p w14:paraId="7400AAB2">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1.5.3服务方式：</w:t>
      </w:r>
      <w:r>
        <w:rPr>
          <w:rFonts w:hint="eastAsia" w:cs="Times New Roman" w:asciiTheme="minorEastAsia" w:hAnsiTheme="minorEastAsia" w:eastAsiaTheme="minorEastAsia"/>
          <w:color w:val="auto"/>
          <w:sz w:val="24"/>
          <w:szCs w:val="24"/>
          <w:highlight w:val="none"/>
          <w:u w:val="single"/>
        </w:rPr>
        <w:t>甲方指定方式</w:t>
      </w:r>
      <w:r>
        <w:rPr>
          <w:rFonts w:hint="eastAsia" w:cs="Times New Roman" w:asciiTheme="minorEastAsia" w:hAnsiTheme="minorEastAsia" w:eastAsiaTheme="minorEastAsia"/>
          <w:color w:val="auto"/>
          <w:sz w:val="24"/>
          <w:szCs w:val="24"/>
          <w:highlight w:val="none"/>
        </w:rPr>
        <w:t>。</w:t>
      </w:r>
    </w:p>
    <w:p w14:paraId="3E86C576">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92" w:name="_Toc19554"/>
      <w:bookmarkStart w:id="93" w:name="_Toc21423"/>
      <w:bookmarkStart w:id="94" w:name="_Toc27250"/>
      <w:r>
        <w:rPr>
          <w:rFonts w:hint="eastAsia" w:cs="Times New Roman" w:asciiTheme="minorEastAsia" w:hAnsiTheme="minorEastAsia" w:eastAsiaTheme="minorEastAsia"/>
          <w:b/>
          <w:bCs/>
          <w:color w:val="auto"/>
          <w:sz w:val="24"/>
          <w:szCs w:val="24"/>
          <w:highlight w:val="none"/>
          <w:lang w:val="zh-CN"/>
        </w:rPr>
        <w:t>1.6 违约责任</w:t>
      </w:r>
      <w:bookmarkEnd w:id="92"/>
      <w:bookmarkEnd w:id="93"/>
      <w:bookmarkEnd w:id="94"/>
    </w:p>
    <w:p w14:paraId="5EF21A50">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1.6.1除不可抗力外，如果乙方没有按照本合同约定的期限、地点和方式履行，那么甲方可要求乙方支付违约金，违约金按每迟延履行一日的应提供而未提供服务价格的 0.1 %计算，最高限额为本合同总价的10%；迟延履行的违约金计算数额达到前述最高限额之日起，甲方有权在要求乙方支付违约金的同时，书面通知乙方解除本合同；</w:t>
      </w:r>
    </w:p>
    <w:p w14:paraId="12FEA6DB">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1.6.2除不可抗力外，如果甲方没有按照本合同约定的付款方式付款，那么乙方可要求甲方支付违约金，违约金按每迟延付款一日的应付而未付款的 0.1 %计算，最高限额为本合同总价的10%；迟延付款的违约金计算数额达到前述最高限额之日起，乙方有权在要求甲方支付违约金的同时，书面通知甲方解除本合同；</w:t>
      </w:r>
    </w:p>
    <w:p w14:paraId="30C40F35">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4A61F7C">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14FC03D">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71C45A2">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312D013C">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1.6.7因甲方未按合同约定支付价款、未按合同约定受领标的物、擅自解除合同</w:t>
      </w:r>
      <w:r>
        <w:rPr>
          <w:rFonts w:hint="eastAsia" w:cs="Times New Roman" w:asciiTheme="minorEastAsia" w:hAnsiTheme="minorEastAsia" w:eastAsiaTheme="minorEastAsia"/>
          <w:color w:val="auto"/>
          <w:sz w:val="24"/>
          <w:szCs w:val="24"/>
          <w:highlight w:val="none"/>
        </w:rPr>
        <w:t>、逾期退还履约保证金</w:t>
      </w:r>
      <w:r>
        <w:rPr>
          <w:rFonts w:cs="Times New Roman" w:asciiTheme="minorEastAsia" w:hAnsiTheme="minorEastAsia" w:eastAsiaTheme="minorEastAsia"/>
          <w:color w:val="auto"/>
          <w:sz w:val="24"/>
          <w:szCs w:val="24"/>
          <w:highlight w:val="none"/>
        </w:rPr>
        <w:t>导致乙方遭受的直接损失，乙方可向甲方申请赔偿，赔偿金额由双方协商一致；</w:t>
      </w:r>
      <w:r>
        <w:rPr>
          <w:rFonts w:hint="eastAsia" w:cs="Times New Roman" w:asciiTheme="minorEastAsia" w:hAnsiTheme="minorEastAsia" w:eastAsiaTheme="minorEastAsia"/>
          <w:color w:val="auto"/>
          <w:sz w:val="24"/>
          <w:szCs w:val="24"/>
          <w:highlight w:val="none"/>
        </w:rPr>
        <w:t>针对因政策变化等原因不能签订合同或解除合同时，造成乙方合法利益受损的情形，可以给予乙方合理补偿，补偿金额不得超过乙方的直接损失。</w:t>
      </w:r>
    </w:p>
    <w:p w14:paraId="06EFE9E2">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95" w:name="_Toc28375"/>
      <w:bookmarkStart w:id="96" w:name="_Toc16021"/>
      <w:bookmarkStart w:id="97" w:name="_Toc15583"/>
      <w:r>
        <w:rPr>
          <w:rFonts w:hint="eastAsia" w:cs="Times New Roman" w:asciiTheme="minorEastAsia" w:hAnsiTheme="minorEastAsia" w:eastAsiaTheme="minorEastAsia"/>
          <w:b/>
          <w:bCs/>
          <w:color w:val="auto"/>
          <w:sz w:val="24"/>
          <w:szCs w:val="24"/>
          <w:highlight w:val="none"/>
          <w:lang w:val="zh-CN"/>
        </w:rPr>
        <w:t>1.7</w:t>
      </w:r>
      <w:r>
        <w:rPr>
          <w:rFonts w:cs="Times New Roman" w:asciiTheme="minorEastAsia" w:hAnsiTheme="minorEastAsia" w:eastAsiaTheme="minorEastAsia"/>
          <w:b/>
          <w:bCs/>
          <w:color w:val="auto"/>
          <w:sz w:val="24"/>
          <w:szCs w:val="24"/>
          <w:highlight w:val="none"/>
          <w:lang w:val="zh-CN"/>
        </w:rPr>
        <w:t xml:space="preserve"> </w:t>
      </w:r>
      <w:r>
        <w:rPr>
          <w:rFonts w:hint="eastAsia" w:cs="Times New Roman" w:asciiTheme="minorEastAsia" w:hAnsiTheme="minorEastAsia" w:eastAsiaTheme="minorEastAsia"/>
          <w:b/>
          <w:bCs/>
          <w:color w:val="auto"/>
          <w:sz w:val="24"/>
          <w:szCs w:val="24"/>
          <w:highlight w:val="none"/>
          <w:lang w:val="zh-CN"/>
        </w:rPr>
        <w:t>合同</w:t>
      </w:r>
      <w:r>
        <w:rPr>
          <w:rFonts w:cs="Times New Roman" w:asciiTheme="minorEastAsia" w:hAnsiTheme="minorEastAsia" w:eastAsiaTheme="minorEastAsia"/>
          <w:b/>
          <w:bCs/>
          <w:color w:val="auto"/>
          <w:sz w:val="24"/>
          <w:szCs w:val="24"/>
          <w:highlight w:val="none"/>
          <w:lang w:val="zh-CN"/>
        </w:rPr>
        <w:t>争议的解决</w:t>
      </w:r>
      <w:bookmarkEnd w:id="95"/>
      <w:bookmarkEnd w:id="96"/>
      <w:bookmarkEnd w:id="97"/>
    </w:p>
    <w:p w14:paraId="6FFDC1F8">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本合</w:t>
      </w:r>
      <w:r>
        <w:rPr>
          <w:rFonts w:cs="Times New Roman" w:asciiTheme="minorEastAsia" w:hAnsiTheme="minorEastAsia" w:eastAsiaTheme="minorEastAsia"/>
          <w:color w:val="auto"/>
          <w:sz w:val="24"/>
          <w:szCs w:val="24"/>
          <w:highlight w:val="none"/>
        </w:rPr>
        <w:t>同履行过程中发生的任何争议，双方当事人均可</w:t>
      </w:r>
      <w:r>
        <w:rPr>
          <w:rFonts w:hint="eastAsia" w:cs="Times New Roman" w:asciiTheme="minorEastAsia" w:hAnsiTheme="minorEastAsia" w:eastAsiaTheme="minorEastAsia"/>
          <w:color w:val="auto"/>
          <w:sz w:val="24"/>
          <w:szCs w:val="24"/>
          <w:highlight w:val="none"/>
        </w:rPr>
        <w:t>通过和解或者调解解决；不愿和解、调解或者和解、调解不成的，可以选择下列第</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种方式解决：</w:t>
      </w:r>
    </w:p>
    <w:p w14:paraId="29B4B368">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（1）将争议提交</w:t>
      </w:r>
      <w:r>
        <w:rPr>
          <w:rFonts w:hint="eastAsia" w:cs="Times New Roman" w:asciiTheme="minorEastAsia" w:hAnsiTheme="minorEastAsia" w:eastAsiaTheme="minorEastAsia"/>
          <w:color w:val="auto"/>
          <w:sz w:val="24"/>
          <w:szCs w:val="24"/>
          <w:highlight w:val="none"/>
          <w:u w:val="single"/>
        </w:rPr>
        <w:t xml:space="preserve">  滁州    </w:t>
      </w:r>
      <w:r>
        <w:rPr>
          <w:rFonts w:hint="eastAsia" w:cs="Times New Roman" w:asciiTheme="minorEastAsia" w:hAnsiTheme="minorEastAsia" w:eastAsiaTheme="minorEastAsia"/>
          <w:color w:val="auto"/>
          <w:sz w:val="24"/>
          <w:szCs w:val="24"/>
          <w:highlight w:val="none"/>
        </w:rPr>
        <w:t>仲裁委员会依申请仲裁时其现行有效的仲裁规则裁决；</w:t>
      </w:r>
    </w:p>
    <w:p w14:paraId="4B335D0A">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（2）向</w:t>
      </w:r>
      <w:r>
        <w:rPr>
          <w:rFonts w:hint="eastAsia" w:cs="Times New Roman" w:asciiTheme="minorEastAsia" w:hAnsiTheme="minorEastAsia" w:eastAsiaTheme="minorEastAsia"/>
          <w:color w:val="auto"/>
          <w:sz w:val="24"/>
          <w:szCs w:val="24"/>
          <w:highlight w:val="none"/>
          <w:u w:val="single"/>
        </w:rPr>
        <w:t xml:space="preserve">  甲方（采购人） </w:t>
      </w:r>
      <w:r>
        <w:rPr>
          <w:rFonts w:hint="eastAsia" w:cs="Times New Roman" w:asciiTheme="minorEastAsia" w:hAnsiTheme="minorEastAsia" w:eastAsiaTheme="minorEastAsia"/>
          <w:color w:val="auto"/>
          <w:sz w:val="24"/>
          <w:szCs w:val="24"/>
          <w:highlight w:val="none"/>
        </w:rPr>
        <w:t>人民法院起诉。</w:t>
      </w:r>
    </w:p>
    <w:p w14:paraId="32033796">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98" w:name="_Toc15322"/>
      <w:bookmarkStart w:id="99" w:name="_Toc7245"/>
      <w:bookmarkStart w:id="100" w:name="_Toc11173"/>
      <w:r>
        <w:rPr>
          <w:rFonts w:hint="eastAsia" w:cs="Times New Roman" w:asciiTheme="minorEastAsia" w:hAnsiTheme="minorEastAsia" w:eastAsiaTheme="minorEastAsia"/>
          <w:b/>
          <w:bCs/>
          <w:color w:val="auto"/>
          <w:sz w:val="24"/>
          <w:szCs w:val="24"/>
          <w:highlight w:val="none"/>
          <w:lang w:val="zh-CN"/>
        </w:rPr>
        <w:t>1.8</w:t>
      </w:r>
      <w:r>
        <w:rPr>
          <w:rFonts w:cs="Times New Roman" w:asciiTheme="minorEastAsia" w:hAnsiTheme="minorEastAsia" w:eastAsiaTheme="minorEastAsia"/>
          <w:b/>
          <w:bCs/>
          <w:color w:val="auto"/>
          <w:sz w:val="24"/>
          <w:szCs w:val="24"/>
          <w:highlight w:val="none"/>
          <w:lang w:val="zh-CN"/>
        </w:rPr>
        <w:t xml:space="preserve"> 合同生效</w:t>
      </w:r>
      <w:bookmarkEnd w:id="98"/>
      <w:bookmarkEnd w:id="99"/>
      <w:bookmarkEnd w:id="100"/>
    </w:p>
    <w:p w14:paraId="5B58BCD4">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本合同自</w:t>
      </w:r>
      <w:r>
        <w:rPr>
          <w:rFonts w:hint="eastAsia" w:cs="Times New Roman" w:asciiTheme="minorEastAsia" w:hAnsiTheme="minorEastAsia" w:eastAsiaTheme="minorEastAsia"/>
          <w:color w:val="auto"/>
          <w:sz w:val="24"/>
          <w:szCs w:val="24"/>
          <w:highlight w:val="none"/>
        </w:rPr>
        <w:t>双方当事人盖章时</w:t>
      </w:r>
      <w:r>
        <w:rPr>
          <w:rFonts w:cs="Times New Roman" w:asciiTheme="minorEastAsia" w:hAnsiTheme="minorEastAsia" w:eastAsiaTheme="minorEastAsia"/>
          <w:color w:val="auto"/>
          <w:sz w:val="24"/>
          <w:szCs w:val="24"/>
          <w:highlight w:val="none"/>
        </w:rPr>
        <w:t>生效。</w:t>
      </w:r>
    </w:p>
    <w:p w14:paraId="0C607EFB">
      <w:pPr>
        <w:autoSpaceDE w:val="0"/>
        <w:autoSpaceDN w:val="0"/>
        <w:adjustRightInd w:val="0"/>
        <w:spacing w:line="440" w:lineRule="exact"/>
        <w:rPr>
          <w:rFonts w:hint="eastAsia" w:cs="Times New Roman" w:asciiTheme="minorEastAsia" w:hAnsiTheme="minorEastAsia" w:eastAsiaTheme="minorEastAsia"/>
          <w:color w:val="auto"/>
          <w:sz w:val="24"/>
          <w:szCs w:val="24"/>
          <w:highlight w:val="none"/>
          <w:lang w:val="zh-CN"/>
        </w:rPr>
      </w:pPr>
    </w:p>
    <w:p w14:paraId="26DD9B70">
      <w:pPr>
        <w:autoSpaceDE w:val="0"/>
        <w:autoSpaceDN w:val="0"/>
        <w:adjustRightInd w:val="0"/>
        <w:spacing w:line="440" w:lineRule="exact"/>
        <w:rPr>
          <w:rFonts w:hint="eastAsia" w:cs="Times New Roman" w:asciiTheme="minorEastAsia" w:hAnsiTheme="minorEastAsia" w:eastAsiaTheme="minorEastAsia"/>
          <w:color w:val="auto"/>
          <w:sz w:val="24"/>
          <w:szCs w:val="24"/>
          <w:highlight w:val="none"/>
          <w:lang w:val="zh-CN"/>
        </w:rPr>
      </w:pPr>
    </w:p>
    <w:p w14:paraId="48AC10E1">
      <w:pPr>
        <w:autoSpaceDE w:val="0"/>
        <w:autoSpaceDN w:val="0"/>
        <w:adjustRightInd w:val="0"/>
        <w:spacing w:line="440" w:lineRule="exact"/>
        <w:rPr>
          <w:rFonts w:hint="eastAsia" w:cs="Times New Roman" w:asciiTheme="minorEastAsia" w:hAnsiTheme="minorEastAsia" w:eastAsiaTheme="minorEastAsia"/>
          <w:color w:val="auto"/>
          <w:sz w:val="24"/>
          <w:szCs w:val="24"/>
          <w:highlight w:val="none"/>
          <w:lang w:val="zh-CN"/>
        </w:rPr>
      </w:pPr>
    </w:p>
    <w:p w14:paraId="304C0F74">
      <w:pPr>
        <w:autoSpaceDE w:val="0"/>
        <w:autoSpaceDN w:val="0"/>
        <w:adjustRightInd w:val="0"/>
        <w:spacing w:line="440" w:lineRule="exact"/>
        <w:rPr>
          <w:rFonts w:hint="eastAsia" w:cs="Times New Roman" w:asciiTheme="minorEastAsia" w:hAnsiTheme="minorEastAsia" w:eastAsiaTheme="minorEastAsia"/>
          <w:bCs/>
          <w:color w:val="auto"/>
          <w:sz w:val="24"/>
          <w:szCs w:val="24"/>
          <w:highlight w:val="none"/>
          <w:lang w:val="zh-CN"/>
        </w:rPr>
      </w:pPr>
      <w:r>
        <w:rPr>
          <w:rFonts w:hint="eastAsia" w:cs="Times New Roman" w:asciiTheme="minorEastAsia" w:hAnsiTheme="minorEastAsia" w:eastAsiaTheme="minorEastAsia"/>
          <w:bCs/>
          <w:color w:val="auto"/>
          <w:sz w:val="24"/>
          <w:szCs w:val="24"/>
          <w:highlight w:val="none"/>
          <w:lang w:val="zh-CN"/>
        </w:rPr>
        <w:t xml:space="preserve">甲 </w:t>
      </w:r>
      <w:r>
        <w:rPr>
          <w:rFonts w:cs="Times New Roman" w:asciiTheme="minorEastAsia" w:hAnsiTheme="minorEastAsia" w:eastAsiaTheme="minorEastAsia"/>
          <w:bCs/>
          <w:color w:val="auto"/>
          <w:sz w:val="24"/>
          <w:szCs w:val="24"/>
          <w:highlight w:val="none"/>
          <w:lang w:val="zh-CN"/>
        </w:rPr>
        <w:t xml:space="preserve">   </w:t>
      </w:r>
      <w:r>
        <w:rPr>
          <w:rFonts w:hint="eastAsia" w:cs="Times New Roman" w:asciiTheme="minorEastAsia" w:hAnsiTheme="minorEastAsia" w:eastAsiaTheme="minorEastAsia"/>
          <w:bCs/>
          <w:color w:val="auto"/>
          <w:sz w:val="24"/>
          <w:szCs w:val="24"/>
          <w:highlight w:val="none"/>
          <w:lang w:val="zh-CN"/>
        </w:rPr>
        <w:t>方：</w:t>
      </w:r>
      <w:r>
        <w:rPr>
          <w:rFonts w:hint="eastAsia" w:cs="Times New Roman" w:asciiTheme="minorEastAsia" w:hAnsiTheme="minorEastAsia" w:eastAsiaTheme="minorEastAsia"/>
          <w:bCs/>
          <w:color w:val="auto"/>
          <w:sz w:val="24"/>
          <w:szCs w:val="24"/>
          <w:highlight w:val="none"/>
          <w:u w:val="single"/>
          <w:lang w:val="zh-CN"/>
        </w:rPr>
        <w:t xml:space="preserve">    （单位盖章）     </w:t>
      </w:r>
      <w:r>
        <w:rPr>
          <w:rFonts w:hint="eastAsia" w:cs="Times New Roman" w:asciiTheme="minorEastAsia" w:hAnsiTheme="minorEastAsia" w:eastAsiaTheme="minorEastAsia"/>
          <w:bCs/>
          <w:color w:val="auto"/>
          <w:sz w:val="24"/>
          <w:szCs w:val="24"/>
          <w:highlight w:val="none"/>
          <w:lang w:val="zh-CN"/>
        </w:rPr>
        <w:t xml:space="preserve">          乙方：</w:t>
      </w:r>
      <w:r>
        <w:rPr>
          <w:rFonts w:hint="eastAsia" w:cs="Times New Roman" w:asciiTheme="minorEastAsia" w:hAnsiTheme="minorEastAsia" w:eastAsiaTheme="minorEastAsia"/>
          <w:bCs/>
          <w:color w:val="auto"/>
          <w:sz w:val="24"/>
          <w:szCs w:val="24"/>
          <w:highlight w:val="none"/>
          <w:u w:val="single"/>
          <w:lang w:val="zh-CN"/>
        </w:rPr>
        <w:t xml:space="preserve">    （单位盖章）     </w:t>
      </w:r>
    </w:p>
    <w:p w14:paraId="7DDB7BCF">
      <w:pPr>
        <w:autoSpaceDE w:val="0"/>
        <w:autoSpaceDN w:val="0"/>
        <w:adjustRightInd w:val="0"/>
        <w:spacing w:line="440" w:lineRule="exact"/>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 xml:space="preserve">法定代表人                             </w:t>
      </w:r>
      <w:r>
        <w:rPr>
          <w:rFonts w:cs="Times New Roman" w:asciiTheme="minorEastAsia" w:hAnsiTheme="minorEastAsia" w:eastAsiaTheme="minorEastAsia"/>
          <w:color w:val="auto"/>
          <w:sz w:val="24"/>
          <w:szCs w:val="24"/>
          <w:highlight w:val="none"/>
          <w:lang w:val="zh-CN"/>
        </w:rPr>
        <w:t xml:space="preserve">  </w:t>
      </w:r>
      <w:r>
        <w:rPr>
          <w:rFonts w:hint="eastAsia" w:cs="Times New Roman" w:asciiTheme="minorEastAsia" w:hAnsiTheme="minorEastAsia" w:eastAsiaTheme="minorEastAsia"/>
          <w:color w:val="auto"/>
          <w:sz w:val="24"/>
          <w:szCs w:val="24"/>
          <w:highlight w:val="none"/>
          <w:lang w:val="zh-CN"/>
        </w:rPr>
        <w:t>法定代表人</w:t>
      </w:r>
    </w:p>
    <w:p w14:paraId="055F0B98">
      <w:pPr>
        <w:autoSpaceDE w:val="0"/>
        <w:autoSpaceDN w:val="0"/>
        <w:adjustRightInd w:val="0"/>
        <w:spacing w:line="440" w:lineRule="exact"/>
        <w:rPr>
          <w:rFonts w:hint="eastAsia"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或授权代表（签字）：                      或授权代表（签字）：</w:t>
      </w:r>
    </w:p>
    <w:p w14:paraId="33066FA2">
      <w:pPr>
        <w:widowControl/>
        <w:spacing w:line="440" w:lineRule="exact"/>
        <w:jc w:val="left"/>
        <w:rPr>
          <w:rFonts w:hint="eastAsia" w:cs="Times New Roman" w:asciiTheme="minorEastAsia" w:hAnsiTheme="minorEastAsia" w:eastAsiaTheme="minorEastAsia"/>
          <w:bCs/>
          <w:color w:val="auto"/>
          <w:sz w:val="24"/>
          <w:szCs w:val="24"/>
          <w:highlight w:val="none"/>
        </w:rPr>
      </w:pPr>
      <w:bookmarkStart w:id="101" w:name="_Toc331685783"/>
      <w:r>
        <w:rPr>
          <w:rFonts w:hint="eastAsia" w:cs="Times New Roman" w:asciiTheme="minorEastAsia" w:hAnsiTheme="minorEastAsia" w:eastAsiaTheme="minorEastAsia"/>
          <w:bCs/>
          <w:color w:val="auto"/>
          <w:sz w:val="24"/>
          <w:szCs w:val="24"/>
          <w:highlight w:val="none"/>
        </w:rPr>
        <w:t>时间：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月</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日               时间：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月</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日</w:t>
      </w:r>
    </w:p>
    <w:p w14:paraId="3935619E">
      <w:pPr>
        <w:spacing w:line="44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w:t>
      </w:r>
      <w:bookmarkStart w:id="102" w:name="_Hlk110099149"/>
      <w:r>
        <w:rPr>
          <w:rFonts w:hint="eastAsia" w:ascii="宋体" w:hAnsi="宋体" w:eastAsia="宋体"/>
          <w:color w:val="auto"/>
          <w:sz w:val="24"/>
          <w:szCs w:val="24"/>
          <w:highlight w:val="none"/>
        </w:rPr>
        <w:t>乙方账户信息</w:t>
      </w:r>
    </w:p>
    <w:p w14:paraId="55B5A4DC">
      <w:pPr>
        <w:spacing w:line="44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户名：</w:t>
      </w:r>
      <w:r>
        <w:rPr>
          <w:rFonts w:hint="eastAsia" w:ascii="宋体" w:hAnsi="宋体" w:eastAsia="宋体"/>
          <w:color w:val="auto"/>
          <w:sz w:val="24"/>
          <w:szCs w:val="24"/>
          <w:highlight w:val="none"/>
          <w:u w:val="single"/>
        </w:rPr>
        <w:t xml:space="preserve">            </w:t>
      </w:r>
    </w:p>
    <w:p w14:paraId="2E9C54AD">
      <w:pPr>
        <w:spacing w:line="44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账号：</w:t>
      </w:r>
      <w:r>
        <w:rPr>
          <w:rFonts w:hint="eastAsia" w:ascii="宋体" w:hAnsi="宋体" w:eastAsia="宋体"/>
          <w:color w:val="auto"/>
          <w:sz w:val="24"/>
          <w:szCs w:val="24"/>
          <w:highlight w:val="none"/>
          <w:u w:val="single"/>
        </w:rPr>
        <w:t xml:space="preserve">            </w:t>
      </w:r>
    </w:p>
    <w:p w14:paraId="7C746B06">
      <w:pPr>
        <w:spacing w:line="44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开户银行：</w:t>
      </w:r>
      <w:r>
        <w:rPr>
          <w:rFonts w:hint="eastAsia" w:ascii="宋体" w:hAnsi="宋体" w:eastAsia="宋体"/>
          <w:color w:val="auto"/>
          <w:sz w:val="24"/>
          <w:szCs w:val="24"/>
          <w:highlight w:val="none"/>
          <w:u w:val="single"/>
        </w:rPr>
        <w:t xml:space="preserve">        </w:t>
      </w:r>
    </w:p>
    <w:bookmarkEnd w:id="102"/>
    <w:p w14:paraId="0A290D5A">
      <w:pPr>
        <w:widowControl/>
        <w:spacing w:line="440" w:lineRule="exact"/>
        <w:jc w:val="left"/>
        <w:rPr>
          <w:rFonts w:hint="eastAsia"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br w:type="page"/>
      </w:r>
    </w:p>
    <w:p w14:paraId="14BFA7F3">
      <w:pPr>
        <w:spacing w:line="440" w:lineRule="exact"/>
        <w:jc w:val="center"/>
        <w:outlineLvl w:val="1"/>
        <w:rPr>
          <w:rFonts w:hint="eastAsia" w:asciiTheme="minorEastAsia" w:hAnsiTheme="minorEastAsia" w:eastAsiaTheme="minorEastAsia"/>
          <w:b/>
          <w:color w:val="auto"/>
          <w:sz w:val="24"/>
          <w:highlight w:val="none"/>
        </w:rPr>
      </w:pPr>
      <w:bookmarkStart w:id="103" w:name="_Toc415"/>
      <w:r>
        <w:rPr>
          <w:rFonts w:hint="eastAsia" w:asciiTheme="minorEastAsia" w:hAnsiTheme="minorEastAsia" w:eastAsiaTheme="minorEastAsia"/>
          <w:b/>
          <w:color w:val="auto"/>
          <w:sz w:val="24"/>
          <w:highlight w:val="none"/>
        </w:rPr>
        <w:t>第二部分</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合同一般条款</w:t>
      </w:r>
      <w:bookmarkEnd w:id="101"/>
      <w:bookmarkEnd w:id="103"/>
    </w:p>
    <w:p w14:paraId="527811C0">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04" w:name="_Toc19614"/>
      <w:bookmarkStart w:id="105" w:name="_Ref467379214"/>
      <w:bookmarkStart w:id="106" w:name="_Toc259093669"/>
      <w:bookmarkStart w:id="107" w:name="_Ref467379205"/>
      <w:bookmarkStart w:id="108" w:name="_Ref467379225"/>
      <w:bookmarkStart w:id="109" w:name="_Ref467379109"/>
      <w:bookmarkStart w:id="110" w:name="_Toc279701240"/>
      <w:bookmarkStart w:id="111" w:name="_Ref467379195"/>
      <w:bookmarkStart w:id="112" w:name="_Ref467379094"/>
      <w:bookmarkStart w:id="113" w:name="_Toc487900349"/>
      <w:bookmarkStart w:id="114" w:name="_Ref467379101"/>
      <w:bookmarkStart w:id="115" w:name="_Toc16917"/>
      <w:bookmarkStart w:id="116" w:name="_Toc28763"/>
      <w:bookmarkStart w:id="117" w:name="_Ref467378499"/>
      <w:bookmarkStart w:id="118" w:name="_Ref467378404"/>
      <w:bookmarkStart w:id="119" w:name="_Ref467378463"/>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 xml:space="preserve"> 定义</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073FA65D">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本合同中的下列</w:t>
      </w:r>
      <w:r>
        <w:rPr>
          <w:rFonts w:hint="eastAsia" w:cs="Times New Roman" w:asciiTheme="minorEastAsia" w:hAnsiTheme="minorEastAsia" w:eastAsiaTheme="minorEastAsia"/>
          <w:color w:val="auto"/>
          <w:sz w:val="24"/>
          <w:szCs w:val="24"/>
          <w:highlight w:val="none"/>
        </w:rPr>
        <w:t>词</w:t>
      </w:r>
      <w:r>
        <w:rPr>
          <w:rFonts w:cs="Times New Roman" w:asciiTheme="minorEastAsia" w:hAnsiTheme="minorEastAsia" w:eastAsiaTheme="minorEastAsia"/>
          <w:color w:val="auto"/>
          <w:sz w:val="24"/>
          <w:szCs w:val="24"/>
          <w:highlight w:val="none"/>
        </w:rPr>
        <w:t>语应</w:t>
      </w:r>
      <w:r>
        <w:rPr>
          <w:rFonts w:hint="eastAsia" w:cs="Times New Roman" w:asciiTheme="minorEastAsia" w:hAnsiTheme="minorEastAsia" w:eastAsiaTheme="minorEastAsia"/>
          <w:color w:val="auto"/>
          <w:sz w:val="24"/>
          <w:szCs w:val="24"/>
          <w:highlight w:val="none"/>
        </w:rPr>
        <w:t>按以下内容进行</w:t>
      </w:r>
      <w:r>
        <w:rPr>
          <w:rFonts w:cs="Times New Roman" w:asciiTheme="minorEastAsia" w:hAnsiTheme="minorEastAsia" w:eastAsiaTheme="minorEastAsia"/>
          <w:color w:val="auto"/>
          <w:sz w:val="24"/>
          <w:szCs w:val="24"/>
          <w:highlight w:val="none"/>
        </w:rPr>
        <w:t>解释：</w:t>
      </w:r>
    </w:p>
    <w:p w14:paraId="3BC0D2D2">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.1</w:t>
      </w:r>
      <w:r>
        <w:rPr>
          <w:rFonts w:cs="Times New Roman" w:asciiTheme="minorEastAsia" w:hAnsiTheme="minorEastAsia" w:eastAsiaTheme="minorEastAsia"/>
          <w:color w:val="auto"/>
          <w:sz w:val="24"/>
          <w:szCs w:val="24"/>
          <w:highlight w:val="none"/>
        </w:rPr>
        <w:t>“合同”系指采购人和中标人签订的载明双方当事人所达成的协议，并包括所有的附件、附录和构成合同的其他文件。</w:t>
      </w:r>
    </w:p>
    <w:p w14:paraId="614A6332">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1.2“合同价”系指根据合同约定，中标人在完全履行合同义务后</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采购人应支付给中标人的价格。</w:t>
      </w:r>
    </w:p>
    <w:p w14:paraId="6083980F">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1.3“</w:t>
      </w:r>
      <w:r>
        <w:rPr>
          <w:rFonts w:hint="eastAsia" w:cs="Times New Roman" w:asciiTheme="minorEastAsia" w:hAnsiTheme="minorEastAsia" w:eastAsiaTheme="minorEastAsia"/>
          <w:color w:val="auto"/>
          <w:sz w:val="24"/>
          <w:szCs w:val="24"/>
          <w:highlight w:val="none"/>
        </w:rPr>
        <w:t>服务</w:t>
      </w:r>
      <w:r>
        <w:rPr>
          <w:rFonts w:cs="Times New Roman" w:asciiTheme="minorEastAsia" w:hAnsiTheme="minorEastAsia" w:eastAsiaTheme="minorEastAsia"/>
          <w:color w:val="auto"/>
          <w:sz w:val="24"/>
          <w:szCs w:val="24"/>
          <w:highlight w:val="none"/>
        </w:rPr>
        <w:t>”系指</w:t>
      </w:r>
      <w:r>
        <w:rPr>
          <w:rFonts w:hint="eastAsia" w:cs="Times New Roman" w:asciiTheme="minorEastAsia" w:hAnsiTheme="minorEastAsia" w:eastAsiaTheme="minorEastAsia"/>
          <w:color w:val="auto"/>
          <w:sz w:val="24"/>
          <w:szCs w:val="24"/>
          <w:highlight w:val="none"/>
        </w:rPr>
        <w:t>中标人</w:t>
      </w:r>
      <w:r>
        <w:rPr>
          <w:rFonts w:cs="Times New Roman" w:asciiTheme="minorEastAsia" w:hAnsiTheme="minorEastAsia" w:eastAsiaTheme="minorEastAsia"/>
          <w:color w:val="auto"/>
          <w:sz w:val="24"/>
          <w:szCs w:val="24"/>
          <w:highlight w:val="none"/>
        </w:rPr>
        <w:t>根据合同约定应向采购人</w:t>
      </w:r>
      <w:r>
        <w:rPr>
          <w:rFonts w:hint="eastAsia" w:cs="Times New Roman" w:asciiTheme="minorEastAsia" w:hAnsiTheme="minorEastAsia" w:eastAsiaTheme="minorEastAsia"/>
          <w:color w:val="auto"/>
          <w:sz w:val="24"/>
          <w:szCs w:val="24"/>
          <w:highlight w:val="none"/>
        </w:rPr>
        <w:t>履行</w:t>
      </w:r>
      <w:r>
        <w:rPr>
          <w:rFonts w:cs="Times New Roman" w:asciiTheme="minorEastAsia" w:hAnsiTheme="minorEastAsia" w:eastAsiaTheme="minorEastAsia"/>
          <w:color w:val="auto"/>
          <w:sz w:val="24"/>
          <w:szCs w:val="24"/>
          <w:highlight w:val="none"/>
        </w:rPr>
        <w:t>的</w:t>
      </w:r>
      <w:r>
        <w:rPr>
          <w:rFonts w:hint="eastAsia" w:cs="Times New Roman" w:asciiTheme="minorEastAsia" w:hAnsiTheme="minorEastAsia" w:eastAsiaTheme="minorEastAsia"/>
          <w:color w:val="auto"/>
          <w:sz w:val="24"/>
          <w:szCs w:val="24"/>
          <w:highlight w:val="none"/>
        </w:rPr>
        <w:t>除货物和工程以外的其他政府采购对象，包括采购人自身需要的服务和向社会公众提供的公共服务。</w:t>
      </w:r>
    </w:p>
    <w:p w14:paraId="0DCB05C8">
      <w:pPr>
        <w:spacing w:line="440" w:lineRule="exact"/>
        <w:ind w:firstLine="435"/>
        <w:rPr>
          <w:rFonts w:hint="eastAsia" w:cs="Times New Roman" w:asciiTheme="minorEastAsia" w:hAnsiTheme="minorEastAsia" w:eastAsiaTheme="minorEastAsia"/>
          <w:color w:val="auto"/>
          <w:sz w:val="24"/>
          <w:szCs w:val="24"/>
          <w:highlight w:val="none"/>
        </w:rPr>
      </w:pPr>
      <w:bookmarkStart w:id="120" w:name="_Ref467378840"/>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4</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rPr>
        <w:t>甲方</w:t>
      </w:r>
      <w:r>
        <w:rPr>
          <w:rFonts w:cs="Times New Roman" w:asciiTheme="minorEastAsia" w:hAnsiTheme="minorEastAsia" w:eastAsiaTheme="minorEastAsia"/>
          <w:color w:val="auto"/>
          <w:sz w:val="24"/>
          <w:szCs w:val="24"/>
          <w:highlight w:val="none"/>
        </w:rPr>
        <w:t>”系指与</w:t>
      </w:r>
      <w:r>
        <w:rPr>
          <w:rFonts w:hint="eastAsia" w:cs="Times New Roman" w:asciiTheme="minorEastAsia" w:hAnsiTheme="minorEastAsia" w:eastAsiaTheme="minorEastAsia"/>
          <w:color w:val="auto"/>
          <w:sz w:val="24"/>
          <w:szCs w:val="24"/>
          <w:highlight w:val="none"/>
        </w:rPr>
        <w:t>中标人</w:t>
      </w:r>
      <w:r>
        <w:rPr>
          <w:rFonts w:cs="Times New Roman" w:asciiTheme="minorEastAsia" w:hAnsiTheme="minorEastAsia" w:eastAsiaTheme="minorEastAsia"/>
          <w:color w:val="auto"/>
          <w:sz w:val="24"/>
          <w:szCs w:val="24"/>
          <w:highlight w:val="none"/>
        </w:rPr>
        <w:t>签署合同的采购人</w:t>
      </w:r>
      <w:bookmarkEnd w:id="120"/>
      <w:r>
        <w:rPr>
          <w:rFonts w:hint="eastAsia" w:cs="Times New Roman" w:asciiTheme="minorEastAsia" w:hAnsiTheme="minorEastAsia" w:eastAsiaTheme="minorEastAsia"/>
          <w:color w:val="auto"/>
          <w:sz w:val="24"/>
          <w:szCs w:val="24"/>
          <w:highlight w:val="none"/>
        </w:rPr>
        <w:t>；采购人委托采购代理机构代表其与乙方签订合同的，采购人的授权委托书作为合同附件。</w:t>
      </w:r>
    </w:p>
    <w:p w14:paraId="62F60A30">
      <w:pPr>
        <w:spacing w:line="440" w:lineRule="exact"/>
        <w:ind w:firstLine="435"/>
        <w:rPr>
          <w:rFonts w:hint="eastAsia" w:cs="Times New Roman" w:asciiTheme="minorEastAsia" w:hAnsiTheme="minorEastAsia" w:eastAsiaTheme="minorEastAsia"/>
          <w:color w:val="auto"/>
          <w:sz w:val="24"/>
          <w:szCs w:val="24"/>
          <w:highlight w:val="none"/>
        </w:rPr>
      </w:pPr>
      <w:bookmarkStart w:id="121" w:name="_Ref467379400"/>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5</w:t>
      </w:r>
      <w:r>
        <w:rPr>
          <w:rFonts w:cs="Times New Roman" w:asciiTheme="minorEastAsia" w:hAnsiTheme="minorEastAsia" w:eastAsiaTheme="minorEastAsia"/>
          <w:color w:val="auto"/>
          <w:sz w:val="24"/>
          <w:szCs w:val="24"/>
          <w:highlight w:val="none"/>
        </w:rPr>
        <w:t>“乙方”系指根据合同约定</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的中标人</w:t>
      </w:r>
      <w:bookmarkEnd w:id="121"/>
      <w:r>
        <w:rPr>
          <w:rFonts w:hint="eastAsia" w:cs="Times New Roman" w:asciiTheme="minorEastAsia" w:hAnsiTheme="minorEastAsia" w:eastAsiaTheme="minorEastAsia"/>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2455528">
      <w:pPr>
        <w:spacing w:line="440" w:lineRule="exact"/>
        <w:ind w:firstLine="435"/>
        <w:rPr>
          <w:rFonts w:hint="eastAsia" w:cs="Times New Roman" w:asciiTheme="minorEastAsia" w:hAnsiTheme="minorEastAsia" w:eastAsiaTheme="minorEastAsia"/>
          <w:color w:val="auto"/>
          <w:sz w:val="24"/>
          <w:szCs w:val="24"/>
          <w:highlight w:val="none"/>
        </w:rPr>
      </w:pPr>
      <w:bookmarkStart w:id="122" w:name="_Ref467379436"/>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6</w:t>
      </w:r>
      <w:r>
        <w:rPr>
          <w:rFonts w:cs="Times New Roman" w:asciiTheme="minorEastAsia" w:hAnsiTheme="minorEastAsia" w:eastAsiaTheme="minorEastAsia"/>
          <w:color w:val="auto"/>
          <w:sz w:val="24"/>
          <w:szCs w:val="24"/>
          <w:highlight w:val="none"/>
        </w:rPr>
        <w:t>“现场”系指合同约定</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的地点。</w:t>
      </w:r>
      <w:bookmarkEnd w:id="122"/>
    </w:p>
    <w:p w14:paraId="0312E7CE">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23" w:name="_Toc27635"/>
      <w:bookmarkStart w:id="124" w:name="_Toc259093670"/>
      <w:bookmarkStart w:id="125" w:name="_Toc279701241"/>
      <w:bookmarkStart w:id="126" w:name="_Toc32504"/>
      <w:bookmarkStart w:id="127" w:name="_Toc13336"/>
      <w:bookmarkStart w:id="128" w:name="_Toc487900350"/>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2 技术规范</w:t>
      </w:r>
      <w:bookmarkEnd w:id="123"/>
      <w:bookmarkEnd w:id="124"/>
      <w:bookmarkEnd w:id="125"/>
      <w:bookmarkEnd w:id="126"/>
      <w:bookmarkEnd w:id="127"/>
      <w:bookmarkEnd w:id="128"/>
    </w:p>
    <w:p w14:paraId="255D869C">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货物所应遵守的技术规范应与采购文件规定的技术规范和技术规范附件(如果有的话)及其技术规范偏差表(如果被甲方接受的话)相一致</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如果采购文件中没有技术规范的相应说明，那么应以国家有关部门最新颁布的相应标准</w:t>
      </w:r>
      <w:r>
        <w:rPr>
          <w:rFonts w:hint="eastAsia" w:cs="Times New Roman" w:asciiTheme="minorEastAsia" w:hAnsiTheme="minorEastAsia" w:eastAsiaTheme="minorEastAsia"/>
          <w:color w:val="auto"/>
          <w:sz w:val="24"/>
          <w:szCs w:val="24"/>
          <w:highlight w:val="none"/>
        </w:rPr>
        <w:t>和</w:t>
      </w:r>
      <w:r>
        <w:rPr>
          <w:rFonts w:cs="Times New Roman" w:asciiTheme="minorEastAsia" w:hAnsiTheme="minorEastAsia" w:eastAsiaTheme="minorEastAsia"/>
          <w:color w:val="auto"/>
          <w:sz w:val="24"/>
          <w:szCs w:val="24"/>
          <w:highlight w:val="none"/>
        </w:rPr>
        <w:t>规范为准。</w:t>
      </w:r>
    </w:p>
    <w:p w14:paraId="003AF316">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29" w:name="_Toc31634"/>
      <w:bookmarkStart w:id="130" w:name="_Toc279701242"/>
      <w:bookmarkStart w:id="131" w:name="_Toc27853"/>
      <w:bookmarkStart w:id="132" w:name="_Toc9829"/>
      <w:bookmarkStart w:id="133" w:name="_Toc259093671"/>
      <w:bookmarkStart w:id="134" w:name="_Toc487900351"/>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3 知识产权</w:t>
      </w:r>
      <w:bookmarkEnd w:id="129"/>
      <w:bookmarkEnd w:id="130"/>
      <w:bookmarkEnd w:id="131"/>
      <w:bookmarkEnd w:id="132"/>
      <w:bookmarkEnd w:id="133"/>
      <w:bookmarkEnd w:id="134"/>
    </w:p>
    <w:p w14:paraId="35DFD43F">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2.3.1乙</w:t>
      </w:r>
      <w:r>
        <w:rPr>
          <w:rFonts w:cs="Times New Roman" w:asciiTheme="minorEastAsia" w:hAnsiTheme="minorEastAsia" w:eastAsiaTheme="minorEastAsia"/>
          <w:color w:val="auto"/>
          <w:sz w:val="24"/>
          <w:szCs w:val="24"/>
          <w:highlight w:val="none"/>
        </w:rPr>
        <w:t>方应保证</w:t>
      </w:r>
      <w:r>
        <w:rPr>
          <w:rFonts w:hint="eastAsia" w:cs="Times New Roman" w:asciiTheme="minorEastAsia" w:hAnsiTheme="minorEastAsia" w:eastAsiaTheme="minorEastAsia"/>
          <w:color w:val="auto"/>
          <w:sz w:val="24"/>
          <w:szCs w:val="24"/>
          <w:highlight w:val="none"/>
        </w:rPr>
        <w:t>其提供的服务</w:t>
      </w:r>
      <w:r>
        <w:rPr>
          <w:rFonts w:cs="Times New Roman" w:asciiTheme="minorEastAsia" w:hAnsiTheme="minorEastAsia" w:eastAsiaTheme="minorEastAsia"/>
          <w:color w:val="auto"/>
          <w:sz w:val="24"/>
          <w:szCs w:val="24"/>
          <w:highlight w:val="none"/>
        </w:rPr>
        <w:t>不受任何第三方提出的侵犯其著作权、商标权、专利权等知识产权方面的起诉</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如果任何第三方提出侵权</w:t>
      </w:r>
      <w:r>
        <w:rPr>
          <w:rFonts w:hint="eastAsia" w:cs="Times New Roman" w:asciiTheme="minorEastAsia" w:hAnsiTheme="minorEastAsia" w:eastAsiaTheme="minorEastAsia"/>
          <w:color w:val="auto"/>
          <w:sz w:val="24"/>
          <w:szCs w:val="24"/>
          <w:highlight w:val="none"/>
        </w:rPr>
        <w:t>指控</w:t>
      </w:r>
      <w:r>
        <w:rPr>
          <w:rFonts w:cs="Times New Roman" w:asciiTheme="minorEastAsia" w:hAnsiTheme="minorEastAsia" w:eastAsiaTheme="minorEastAsia"/>
          <w:color w:val="auto"/>
          <w:sz w:val="24"/>
          <w:szCs w:val="24"/>
          <w:highlight w:val="none"/>
        </w:rPr>
        <w:t>，那么乙方须与该第三方交涉并承担由此发生的一切责任、费用和赔偿</w:t>
      </w:r>
      <w:r>
        <w:rPr>
          <w:rFonts w:hint="eastAsia" w:cs="Times New Roman" w:asciiTheme="minorEastAsia" w:hAnsiTheme="minorEastAsia" w:eastAsiaTheme="minorEastAsia"/>
          <w:color w:val="auto"/>
          <w:sz w:val="24"/>
          <w:szCs w:val="24"/>
          <w:highlight w:val="none"/>
        </w:rPr>
        <w:t>。</w:t>
      </w:r>
    </w:p>
    <w:p w14:paraId="38645C4C">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35" w:name="_Ref467379542"/>
      <w:bookmarkStart w:id="136" w:name="_Ref467379536"/>
      <w:bookmarkStart w:id="137" w:name="_Ref467379527"/>
      <w:bookmarkStart w:id="138" w:name="_Toc259093674"/>
      <w:bookmarkStart w:id="139" w:name="_Ref467378541"/>
      <w:bookmarkStart w:id="140" w:name="_Ref467378591"/>
      <w:bookmarkStart w:id="141" w:name="_Toc279701245"/>
      <w:bookmarkStart w:id="142" w:name="_Toc487900354"/>
      <w:bookmarkStart w:id="143" w:name="_Toc26182"/>
      <w:bookmarkStart w:id="144" w:name="_Toc19074"/>
      <w:bookmarkStart w:id="145" w:name="_Toc30272"/>
      <w:r>
        <w:rPr>
          <w:rFonts w:hint="eastAsia" w:cs="Times New Roman" w:asciiTheme="minorEastAsia" w:hAnsiTheme="minorEastAsia" w:eastAsiaTheme="minorEastAsia"/>
          <w:b/>
          <w:bCs/>
          <w:color w:val="auto"/>
          <w:sz w:val="24"/>
          <w:szCs w:val="24"/>
          <w:highlight w:val="none"/>
          <w:lang w:val="zh-CN"/>
        </w:rPr>
        <w:t>2.</w:t>
      </w:r>
      <w:bookmarkEnd w:id="135"/>
      <w:bookmarkEnd w:id="136"/>
      <w:bookmarkEnd w:id="137"/>
      <w:bookmarkEnd w:id="138"/>
      <w:bookmarkEnd w:id="139"/>
      <w:bookmarkEnd w:id="140"/>
      <w:bookmarkEnd w:id="141"/>
      <w:bookmarkEnd w:id="142"/>
      <w:r>
        <w:rPr>
          <w:rFonts w:cs="Times New Roman" w:asciiTheme="minorEastAsia" w:hAnsiTheme="minorEastAsia" w:eastAsiaTheme="minorEastAsia"/>
          <w:b/>
          <w:bCs/>
          <w:color w:val="auto"/>
          <w:sz w:val="24"/>
          <w:szCs w:val="24"/>
          <w:highlight w:val="none"/>
          <w:lang w:val="zh-CN"/>
        </w:rPr>
        <w:t xml:space="preserve">4 </w:t>
      </w:r>
      <w:r>
        <w:rPr>
          <w:rFonts w:hint="eastAsia" w:cs="Times New Roman" w:asciiTheme="minorEastAsia" w:hAnsiTheme="minorEastAsia" w:eastAsiaTheme="minorEastAsia"/>
          <w:b/>
          <w:bCs/>
          <w:color w:val="auto"/>
          <w:sz w:val="24"/>
          <w:szCs w:val="24"/>
          <w:highlight w:val="none"/>
          <w:lang w:val="zh-CN"/>
        </w:rPr>
        <w:t>履约检查和问题反馈</w:t>
      </w:r>
      <w:bookmarkEnd w:id="143"/>
      <w:bookmarkEnd w:id="144"/>
      <w:bookmarkEnd w:id="145"/>
    </w:p>
    <w:p w14:paraId="23145875">
      <w:pPr>
        <w:spacing w:line="440" w:lineRule="exact"/>
        <w:ind w:firstLine="435"/>
        <w:rPr>
          <w:rFonts w:hint="eastAsia" w:cs="Times New Roman" w:asciiTheme="minorEastAsia" w:hAnsiTheme="minorEastAsia" w:eastAsiaTheme="minorEastAsia"/>
          <w:color w:val="auto"/>
          <w:sz w:val="24"/>
          <w:szCs w:val="24"/>
          <w:highlight w:val="none"/>
        </w:rPr>
      </w:pPr>
      <w:bookmarkStart w:id="146" w:name="_Toc186431854"/>
      <w:bookmarkStart w:id="147" w:name="_Toc487900357"/>
      <w:bookmarkStart w:id="148" w:name="_Ref467379807"/>
      <w:bookmarkStart w:id="149" w:name="_Ref467379793"/>
      <w:bookmarkStart w:id="150" w:name="_Toc259093676"/>
      <w:bookmarkStart w:id="151" w:name="_Toc279701247"/>
      <w:r>
        <w:rPr>
          <w:rFonts w:hint="eastAsia" w:cs="Times New Roman" w:asciiTheme="minorEastAsia" w:hAnsiTheme="minorEastAsia" w:eastAsiaTheme="minorEastAsia"/>
          <w:color w:val="auto"/>
          <w:sz w:val="24"/>
          <w:szCs w:val="24"/>
          <w:highlight w:val="none"/>
        </w:rPr>
        <w:t>2.4</w:t>
      </w:r>
      <w:r>
        <w:rPr>
          <w:rFonts w:cs="Times New Roman" w:asciiTheme="minorEastAsia" w:hAnsiTheme="minorEastAsia" w:eastAsiaTheme="minorEastAsia"/>
          <w:color w:val="auto"/>
          <w:sz w:val="24"/>
          <w:szCs w:val="24"/>
          <w:highlight w:val="none"/>
        </w:rPr>
        <w:t>.1甲方</w:t>
      </w:r>
      <w:r>
        <w:rPr>
          <w:rFonts w:hint="eastAsia" w:cs="Times New Roman" w:asciiTheme="minorEastAsia" w:hAnsiTheme="minorEastAsia" w:eastAsiaTheme="minorEastAsia"/>
          <w:color w:val="auto"/>
          <w:sz w:val="24"/>
          <w:szCs w:val="24"/>
          <w:highlight w:val="none"/>
        </w:rPr>
        <w:t>有权</w:t>
      </w:r>
      <w:r>
        <w:rPr>
          <w:rFonts w:cs="Times New Roman" w:asciiTheme="minorEastAsia" w:hAnsiTheme="minorEastAsia" w:eastAsiaTheme="minorEastAsia"/>
          <w:color w:val="auto"/>
          <w:sz w:val="24"/>
          <w:szCs w:val="24"/>
          <w:highlight w:val="none"/>
        </w:rPr>
        <w:t>在其认为必要时</w:t>
      </w:r>
      <w:r>
        <w:rPr>
          <w:rFonts w:hint="eastAsia" w:cs="Times New Roman" w:asciiTheme="minorEastAsia" w:hAnsiTheme="minorEastAsia" w:eastAsiaTheme="minorEastAsia"/>
          <w:color w:val="auto"/>
          <w:sz w:val="24"/>
          <w:szCs w:val="24"/>
          <w:highlight w:val="none"/>
        </w:rPr>
        <w:t>，对乙方是否能够按照合同约定提供服务进行履约检查，以确保乙方所提供的服务能够依约满足甲方项目需求，但不得因履约检查妨碍乙方的正常工作，乙方应予积极配合；</w:t>
      </w:r>
    </w:p>
    <w:p w14:paraId="399038D4">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.2合同履行期间，甲方有权将履行过程中出现的问题反馈给乙方，双方当事人应以书面形式约定需要完善和改进的内容</w:t>
      </w:r>
      <w:bookmarkEnd w:id="146"/>
      <w:bookmarkStart w:id="152" w:name="_Toc186431855"/>
      <w:r>
        <w:rPr>
          <w:rFonts w:hint="eastAsia" w:cs="Times New Roman" w:asciiTheme="minorEastAsia" w:hAnsiTheme="minorEastAsia" w:eastAsiaTheme="minorEastAsia"/>
          <w:color w:val="auto"/>
          <w:sz w:val="24"/>
          <w:szCs w:val="24"/>
          <w:highlight w:val="none"/>
        </w:rPr>
        <w:t>。</w:t>
      </w:r>
    </w:p>
    <w:bookmarkEnd w:id="152"/>
    <w:p w14:paraId="216E1511">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53" w:name="_Toc7836"/>
      <w:bookmarkStart w:id="154" w:name="_Toc28451"/>
      <w:bookmarkStart w:id="155" w:name="_Toc1921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5</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结算方式和付款条件</w:t>
      </w:r>
      <w:bookmarkEnd w:id="147"/>
      <w:bookmarkEnd w:id="148"/>
      <w:bookmarkEnd w:id="149"/>
      <w:bookmarkEnd w:id="150"/>
      <w:bookmarkEnd w:id="151"/>
      <w:bookmarkEnd w:id="153"/>
      <w:bookmarkEnd w:id="154"/>
      <w:bookmarkEnd w:id="155"/>
    </w:p>
    <w:p w14:paraId="7CE01D5E">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详见</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w:t>
      </w:r>
    </w:p>
    <w:p w14:paraId="711E4663">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56" w:name="_Toc487900358"/>
      <w:bookmarkStart w:id="157" w:name="_Ref467379923"/>
      <w:bookmarkStart w:id="158" w:name="_Toc259093677"/>
      <w:bookmarkStart w:id="159" w:name="_Toc279701248"/>
      <w:bookmarkStart w:id="160" w:name="_Ref467379852"/>
      <w:bookmarkStart w:id="161" w:name="_Ref467379863"/>
      <w:bookmarkStart w:id="162" w:name="_Toc16110"/>
      <w:bookmarkStart w:id="163" w:name="_Toc774"/>
      <w:bookmarkStart w:id="164" w:name="_Toc3225"/>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6</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技术资料</w:t>
      </w:r>
      <w:bookmarkEnd w:id="156"/>
      <w:bookmarkEnd w:id="157"/>
      <w:bookmarkEnd w:id="158"/>
      <w:bookmarkEnd w:id="159"/>
      <w:bookmarkEnd w:id="160"/>
      <w:bookmarkEnd w:id="161"/>
      <w:r>
        <w:rPr>
          <w:rFonts w:cs="Times New Roman" w:asciiTheme="minorEastAsia" w:hAnsiTheme="minorEastAsia" w:eastAsiaTheme="minorEastAsia"/>
          <w:b/>
          <w:bCs/>
          <w:color w:val="auto"/>
          <w:sz w:val="24"/>
          <w:szCs w:val="24"/>
          <w:highlight w:val="none"/>
          <w:lang w:val="zh-CN"/>
        </w:rPr>
        <w:t>和保密义务</w:t>
      </w:r>
      <w:bookmarkEnd w:id="162"/>
      <w:bookmarkEnd w:id="163"/>
      <w:bookmarkEnd w:id="164"/>
    </w:p>
    <w:p w14:paraId="5E390EDE">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6.1</w:t>
      </w:r>
      <w:r>
        <w:rPr>
          <w:rFonts w:hint="eastAsia" w:cs="Times New Roman" w:asciiTheme="minorEastAsia" w:hAnsiTheme="minorEastAsia" w:eastAsiaTheme="minorEastAsia"/>
          <w:color w:val="auto"/>
          <w:sz w:val="24"/>
          <w:szCs w:val="24"/>
          <w:highlight w:val="none"/>
        </w:rPr>
        <w:t>乙方有权依据合同约定和项目需要，向甲方了解有关情况，调阅有关资料等，甲方应予积极配合；</w:t>
      </w:r>
    </w:p>
    <w:p w14:paraId="49576619">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w:t>
      </w:r>
      <w:r>
        <w:rPr>
          <w:rFonts w:hint="eastAsia" w:cs="Times New Roman" w:asciiTheme="minorEastAsia" w:hAnsiTheme="minorEastAsia" w:eastAsiaTheme="minorEastAsia"/>
          <w:color w:val="auto"/>
          <w:sz w:val="24"/>
          <w:szCs w:val="24"/>
          <w:highlight w:val="none"/>
        </w:rPr>
        <w:t>.2乙方有义务妥善保管和保护由甲方提供的前款信息和资料等；</w:t>
      </w:r>
    </w:p>
    <w:p w14:paraId="3D58ACFF">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w:t>
      </w:r>
      <w:r>
        <w:rPr>
          <w:rFonts w:hint="eastAsia" w:cs="Times New Roman" w:asciiTheme="minorEastAsia" w:hAnsiTheme="minorEastAsia" w:eastAsiaTheme="minorEastAsia"/>
          <w:color w:val="auto"/>
          <w:sz w:val="24"/>
          <w:szCs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cs="Times New Roman" w:asciiTheme="minorEastAsia" w:hAnsiTheme="minorEastAsia" w:eastAsiaTheme="minorEastAsia"/>
          <w:color w:val="auto"/>
          <w:sz w:val="24"/>
          <w:szCs w:val="24"/>
          <w:highlight w:val="none"/>
        </w:rPr>
        <w:t>技术情报</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技术资料</w:t>
      </w:r>
      <w:r>
        <w:rPr>
          <w:rFonts w:hint="eastAsia" w:cs="Times New Roman" w:asciiTheme="minorEastAsia" w:hAnsiTheme="minorEastAsia" w:eastAsiaTheme="minorEastAsia"/>
          <w:color w:val="auto"/>
          <w:sz w:val="24"/>
          <w:szCs w:val="24"/>
          <w:highlight w:val="none"/>
        </w:rPr>
        <w:t>、商业秘密和商业信息等，并采取一切合理和必要措施和方式防止任何第三方接触到对方当事人的上述保密信息和资料。</w:t>
      </w:r>
    </w:p>
    <w:p w14:paraId="387CCC61">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65" w:name="_Toc7860"/>
      <w:r>
        <w:rPr>
          <w:rFonts w:cs="Times New Roman" w:asciiTheme="minorEastAsia" w:hAnsiTheme="minorEastAsia" w:eastAsiaTheme="minorEastAsia"/>
          <w:b/>
          <w:bCs/>
          <w:color w:val="auto"/>
          <w:sz w:val="24"/>
          <w:szCs w:val="24"/>
          <w:highlight w:val="none"/>
          <w:lang w:val="zh-CN"/>
        </w:rPr>
        <w:t>2.7 质量保证</w:t>
      </w:r>
      <w:bookmarkEnd w:id="165"/>
    </w:p>
    <w:p w14:paraId="37ECC8D8">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7</w:t>
      </w:r>
      <w:r>
        <w:rPr>
          <w:rFonts w:hint="eastAsia" w:cs="Times New Roman" w:asciiTheme="minorEastAsia" w:hAnsiTheme="minorEastAsia" w:eastAsiaTheme="minorEastAsia"/>
          <w:color w:val="auto"/>
          <w:sz w:val="24"/>
          <w:szCs w:val="24"/>
          <w:highlight w:val="none"/>
        </w:rPr>
        <w:t>.1乙方应建立和完善履行合同的内部质量保证体系，并提供相关内部规章制度给甲方，以便甲方进行监督检查；</w:t>
      </w:r>
    </w:p>
    <w:p w14:paraId="37076B25">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7</w:t>
      </w:r>
      <w:r>
        <w:rPr>
          <w:rFonts w:hint="eastAsia" w:cs="Times New Roman" w:asciiTheme="minorEastAsia" w:hAnsiTheme="minorEastAsia" w:eastAsiaTheme="minorEastAsia"/>
          <w:color w:val="auto"/>
          <w:sz w:val="24"/>
          <w:szCs w:val="24"/>
          <w:highlight w:val="none"/>
        </w:rPr>
        <w:t>.2乙方应保证履行合同的人员数量和素质、软件和硬件设备的配置、场地、环境和设施等满足全面履行合同的要求，并应接受甲方的监督检查。</w:t>
      </w:r>
    </w:p>
    <w:p w14:paraId="2DEE736D">
      <w:pPr>
        <w:spacing w:line="440" w:lineRule="exact"/>
        <w:ind w:firstLine="437"/>
        <w:outlineLvl w:val="2"/>
        <w:rPr>
          <w:rFonts w:hint="eastAsia" w:cs="Times New Roman" w:asciiTheme="minorEastAsia" w:hAnsiTheme="minorEastAsia" w:eastAsiaTheme="minorEastAsia"/>
          <w:b/>
          <w:color w:val="auto"/>
          <w:sz w:val="24"/>
          <w:szCs w:val="24"/>
          <w:highlight w:val="none"/>
        </w:rPr>
      </w:pPr>
      <w:bookmarkStart w:id="166" w:name="_Toc22267"/>
      <w:r>
        <w:rPr>
          <w:rFonts w:hint="eastAsia" w:cs="Times New Roman" w:asciiTheme="minorEastAsia" w:hAnsiTheme="minorEastAsia" w:eastAsiaTheme="minorEastAsia"/>
          <w:b/>
          <w:color w:val="auto"/>
          <w:sz w:val="24"/>
          <w:szCs w:val="24"/>
          <w:highlight w:val="none"/>
        </w:rPr>
        <w:t>2.8 延迟履行</w:t>
      </w:r>
      <w:bookmarkEnd w:id="166"/>
    </w:p>
    <w:p w14:paraId="3848A8FA">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在合同履行过程中，如果乙方遇到不能按时</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的情况，应及时以书面形式将不能按时</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的理由、预期延误时间通知甲方</w:t>
      </w:r>
      <w:r>
        <w:rPr>
          <w:rFonts w:hint="eastAsia" w:cs="Times New Roman" w:asciiTheme="minorEastAsia" w:hAnsiTheme="minorEastAsia" w:eastAsiaTheme="minorEastAsia"/>
          <w:color w:val="auto"/>
          <w:sz w:val="24"/>
          <w:szCs w:val="24"/>
          <w:highlight w:val="none"/>
        </w:rPr>
        <w:t>；甲</w:t>
      </w:r>
      <w:r>
        <w:rPr>
          <w:rFonts w:cs="Times New Roman" w:asciiTheme="minorEastAsia" w:hAnsiTheme="minorEastAsia" w:eastAsiaTheme="minorEastAsia"/>
          <w:color w:val="auto"/>
          <w:sz w:val="24"/>
          <w:szCs w:val="24"/>
          <w:highlight w:val="none"/>
        </w:rPr>
        <w:t>方收到乙方通知后，认为其理由正当的，可以书面形式酌情同意乙方可以延长</w:t>
      </w:r>
      <w:r>
        <w:rPr>
          <w:rFonts w:hint="eastAsia" w:cs="Times New Roman" w:asciiTheme="minorEastAsia" w:hAnsiTheme="minorEastAsia" w:eastAsiaTheme="minorEastAsia"/>
          <w:color w:val="auto"/>
          <w:sz w:val="24"/>
          <w:szCs w:val="24"/>
          <w:highlight w:val="none"/>
        </w:rPr>
        <w:t>履行</w:t>
      </w:r>
      <w:r>
        <w:rPr>
          <w:rFonts w:cs="Times New Roman" w:asciiTheme="minorEastAsia" w:hAnsiTheme="minorEastAsia" w:eastAsiaTheme="minorEastAsia"/>
          <w:color w:val="auto"/>
          <w:sz w:val="24"/>
          <w:szCs w:val="24"/>
          <w:highlight w:val="none"/>
        </w:rPr>
        <w:t>的具体时间。</w:t>
      </w:r>
    </w:p>
    <w:p w14:paraId="13636693">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67" w:name="_Toc7502"/>
      <w:bookmarkStart w:id="168" w:name="_Ref467378121"/>
      <w:bookmarkStart w:id="169" w:name="_Toc259093683"/>
      <w:bookmarkStart w:id="170" w:name="_Toc487900364"/>
      <w:bookmarkStart w:id="171" w:name="_Toc279701254"/>
      <w:r>
        <w:rPr>
          <w:rFonts w:cs="Times New Roman" w:asciiTheme="minorEastAsia" w:hAnsiTheme="minorEastAsia" w:eastAsiaTheme="minorEastAsia"/>
          <w:b/>
          <w:bCs/>
          <w:color w:val="auto"/>
          <w:sz w:val="24"/>
          <w:szCs w:val="24"/>
          <w:highlight w:val="none"/>
          <w:lang w:val="zh-CN"/>
        </w:rPr>
        <w:t>2.9 合同变更</w:t>
      </w:r>
      <w:bookmarkEnd w:id="167"/>
    </w:p>
    <w:p w14:paraId="1CE41A95">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9</w:t>
      </w:r>
      <w:r>
        <w:rPr>
          <w:rFonts w:hint="eastAsia" w:cs="Times New Roman" w:asciiTheme="minorEastAsia" w:hAnsiTheme="minorEastAsia" w:eastAsiaTheme="minorEastAsia"/>
          <w:color w:val="auto"/>
          <w:sz w:val="24"/>
          <w:szCs w:val="24"/>
          <w:highlight w:val="none"/>
        </w:rPr>
        <w:t>.1双方当事人协商一致，可以签订书面补充合同的形式变更合同，但不得违背采购文件确定的事项；</w:t>
      </w:r>
    </w:p>
    <w:p w14:paraId="6FC02D56">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9</w:t>
      </w:r>
      <w:r>
        <w:rPr>
          <w:rFonts w:hint="eastAsia" w:cs="Times New Roman" w:asciiTheme="minorEastAsia" w:hAnsiTheme="minorEastAsia" w:eastAsiaTheme="minorEastAsia"/>
          <w:color w:val="auto"/>
          <w:sz w:val="24"/>
          <w:szCs w:val="24"/>
          <w:highlight w:val="none"/>
        </w:rPr>
        <w:t>.2合同继续履行将损害国家利益和社会公共利益的，双方当事人应当以书面形式变更合同。有过错的一方应当承担赔偿责任，双方当事人都有过错的，各自承担相应的责任。</w:t>
      </w:r>
      <w:bookmarkStart w:id="172" w:name="_Toc279701259"/>
      <w:bookmarkStart w:id="173" w:name="_Toc487900369"/>
      <w:bookmarkStart w:id="174" w:name="_Toc259093688"/>
    </w:p>
    <w:p w14:paraId="5BF1FC11">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75" w:name="_Toc22955"/>
      <w:bookmarkStart w:id="176" w:name="_Toc15237"/>
      <w:bookmarkStart w:id="177" w:name="_Toc10366"/>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0</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合同转让</w:t>
      </w:r>
      <w:bookmarkEnd w:id="172"/>
      <w:bookmarkEnd w:id="173"/>
      <w:bookmarkEnd w:id="174"/>
      <w:r>
        <w:rPr>
          <w:rFonts w:cs="Times New Roman" w:asciiTheme="minorEastAsia" w:hAnsiTheme="minorEastAsia" w:eastAsiaTheme="minorEastAsia"/>
          <w:b/>
          <w:bCs/>
          <w:color w:val="auto"/>
          <w:sz w:val="24"/>
          <w:szCs w:val="24"/>
          <w:highlight w:val="none"/>
          <w:lang w:val="zh-CN"/>
        </w:rPr>
        <w:t>和分包</w:t>
      </w:r>
      <w:bookmarkEnd w:id="175"/>
      <w:bookmarkEnd w:id="176"/>
      <w:bookmarkEnd w:id="177"/>
    </w:p>
    <w:p w14:paraId="2DB8821F">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合同的权利义务依法不</w:t>
      </w:r>
      <w:r>
        <w:rPr>
          <w:rFonts w:hint="eastAsia" w:cs="Times New Roman" w:asciiTheme="minorEastAsia" w:hAnsiTheme="minorEastAsia" w:eastAsiaTheme="minorEastAsia"/>
          <w:color w:val="auto"/>
          <w:sz w:val="24"/>
          <w:szCs w:val="24"/>
          <w:highlight w:val="none"/>
        </w:rPr>
        <w:t>得</w:t>
      </w:r>
      <w:r>
        <w:rPr>
          <w:rFonts w:cs="Times New Roman" w:asciiTheme="minorEastAsia" w:hAnsiTheme="minorEastAsia" w:eastAsiaTheme="minorEastAsia"/>
          <w:color w:val="auto"/>
          <w:sz w:val="24"/>
          <w:szCs w:val="24"/>
          <w:highlight w:val="none"/>
        </w:rPr>
        <w:t>转让</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但经甲方</w:t>
      </w:r>
      <w:r>
        <w:rPr>
          <w:rFonts w:hint="eastAsia" w:cs="Times New Roman" w:asciiTheme="minorEastAsia" w:hAnsiTheme="minorEastAsia" w:eastAsiaTheme="minorEastAsia"/>
          <w:color w:val="auto"/>
          <w:sz w:val="24"/>
          <w:szCs w:val="24"/>
          <w:highlight w:val="none"/>
        </w:rPr>
        <w:t>同意，乙方可以依法采取分包方式履行合同，即：依法可以</w:t>
      </w:r>
      <w:r>
        <w:rPr>
          <w:rFonts w:cs="Times New Roman" w:asciiTheme="minorEastAsia" w:hAnsiTheme="minorEastAsia" w:eastAsiaTheme="minorEastAsia"/>
          <w:color w:val="auto"/>
          <w:sz w:val="24"/>
          <w:szCs w:val="24"/>
          <w:highlight w:val="none"/>
        </w:rPr>
        <w:t>将合同项下的部分非主体、非关键性工作分包给他人完成</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接受分包的人应当具备相应的资格条件，并不得再次分包</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且乙方应就分包项目向甲方负责</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并</w:t>
      </w:r>
      <w:r>
        <w:rPr>
          <w:rFonts w:hint="eastAsia" w:cs="Times New Roman" w:asciiTheme="minorEastAsia" w:hAnsiTheme="minorEastAsia" w:eastAsiaTheme="minorEastAsia"/>
          <w:color w:val="auto"/>
          <w:sz w:val="24"/>
          <w:szCs w:val="24"/>
          <w:highlight w:val="none"/>
        </w:rPr>
        <w:t>与分包供应商就分包项目向甲方承担连带责任。</w:t>
      </w:r>
    </w:p>
    <w:p w14:paraId="73716B7B">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78" w:name="_Toc16508"/>
      <w:bookmarkStart w:id="179" w:name="_Toc14066"/>
      <w:bookmarkStart w:id="180" w:name="_Toc13566"/>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1 不可抗力</w:t>
      </w:r>
      <w:bookmarkEnd w:id="178"/>
      <w:bookmarkEnd w:id="179"/>
      <w:bookmarkEnd w:id="180"/>
    </w:p>
    <w:p w14:paraId="00FB9468">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1.1如果任何一方遭遇法律规定的不可抗力，致使合同履行受阻时，履行合同的期限应予延长，延长的期限应相当于不可抗力所影响的时间</w:t>
      </w:r>
      <w:r>
        <w:rPr>
          <w:rFonts w:hint="eastAsia" w:cs="Times New Roman" w:asciiTheme="minorEastAsia" w:hAnsiTheme="minorEastAsia" w:eastAsiaTheme="minorEastAsia"/>
          <w:color w:val="auto"/>
          <w:sz w:val="24"/>
          <w:szCs w:val="24"/>
          <w:highlight w:val="none"/>
        </w:rPr>
        <w:t>；</w:t>
      </w:r>
    </w:p>
    <w:p w14:paraId="6E74BD12">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.2因不可抗力致使不能实现合同目的的，当事人可以解除合同；</w:t>
      </w:r>
    </w:p>
    <w:p w14:paraId="00AF5FBF">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.3因</w:t>
      </w:r>
      <w:r>
        <w:rPr>
          <w:rFonts w:cs="Times New Roman" w:asciiTheme="minorEastAsia" w:hAnsiTheme="minorEastAsia" w:eastAsiaTheme="minorEastAsia"/>
          <w:color w:val="auto"/>
          <w:sz w:val="24"/>
          <w:szCs w:val="24"/>
          <w:highlight w:val="none"/>
        </w:rPr>
        <w:t>不可抗力致使合同有变更必要的，双方当事人应在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约定时间内以书面形式变更合同</w:t>
      </w:r>
      <w:r>
        <w:rPr>
          <w:rFonts w:hint="eastAsia" w:cs="Times New Roman" w:asciiTheme="minorEastAsia" w:hAnsiTheme="minorEastAsia" w:eastAsiaTheme="minorEastAsia"/>
          <w:color w:val="auto"/>
          <w:sz w:val="24"/>
          <w:szCs w:val="24"/>
          <w:highlight w:val="none"/>
        </w:rPr>
        <w:t>；</w:t>
      </w:r>
    </w:p>
    <w:p w14:paraId="07BC3918">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4</w:t>
      </w:r>
      <w:r>
        <w:rPr>
          <w:rFonts w:cs="Times New Roman" w:asciiTheme="minorEastAsia" w:hAnsiTheme="minorEastAsia" w:eastAsiaTheme="minorEastAsia"/>
          <w:color w:val="auto"/>
          <w:sz w:val="24"/>
          <w:szCs w:val="24"/>
          <w:highlight w:val="none"/>
        </w:rPr>
        <w:t>受</w:t>
      </w:r>
      <w:r>
        <w:rPr>
          <w:rFonts w:hint="eastAsia" w:cs="Times New Roman" w:asciiTheme="minorEastAsia" w:hAnsiTheme="minorEastAsia" w:eastAsiaTheme="minorEastAsia"/>
          <w:color w:val="auto"/>
          <w:sz w:val="24"/>
          <w:szCs w:val="24"/>
          <w:highlight w:val="none"/>
        </w:rPr>
        <w:t>不可抗力</w:t>
      </w:r>
      <w:r>
        <w:rPr>
          <w:rFonts w:cs="Times New Roman" w:asciiTheme="minorEastAsia" w:hAnsiTheme="minorEastAsia" w:eastAsiaTheme="minorEastAsia"/>
          <w:color w:val="auto"/>
          <w:sz w:val="24"/>
          <w:szCs w:val="24"/>
          <w:highlight w:val="none"/>
        </w:rPr>
        <w:t>影响的一方在不可抗力发生后</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应在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约定时间内以书面形式通知</w:t>
      </w:r>
      <w:r>
        <w:rPr>
          <w:rFonts w:hint="eastAsia" w:cs="Times New Roman" w:asciiTheme="minorEastAsia" w:hAnsiTheme="minorEastAsia" w:eastAsiaTheme="minorEastAsia"/>
          <w:color w:val="auto"/>
          <w:sz w:val="24"/>
          <w:szCs w:val="24"/>
          <w:highlight w:val="none"/>
        </w:rPr>
        <w:t>对</w:t>
      </w:r>
      <w:r>
        <w:rPr>
          <w:rFonts w:cs="Times New Roman" w:asciiTheme="minorEastAsia" w:hAnsiTheme="minorEastAsia" w:eastAsiaTheme="minorEastAsia"/>
          <w:color w:val="auto"/>
          <w:sz w:val="24"/>
          <w:szCs w:val="24"/>
          <w:highlight w:val="none"/>
        </w:rPr>
        <w:t>方当事人，并在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约定时间内，将有关部门出具的证明文件送达</w:t>
      </w:r>
      <w:r>
        <w:rPr>
          <w:rFonts w:hint="eastAsia" w:cs="Times New Roman" w:asciiTheme="minorEastAsia" w:hAnsiTheme="minorEastAsia" w:eastAsiaTheme="minorEastAsia"/>
          <w:color w:val="auto"/>
          <w:sz w:val="24"/>
          <w:szCs w:val="24"/>
          <w:highlight w:val="none"/>
        </w:rPr>
        <w:t>对方当事人</w:t>
      </w:r>
      <w:r>
        <w:rPr>
          <w:rFonts w:cs="Times New Roman" w:asciiTheme="minorEastAsia" w:hAnsiTheme="minorEastAsia" w:eastAsiaTheme="minorEastAsia"/>
          <w:color w:val="auto"/>
          <w:sz w:val="24"/>
          <w:szCs w:val="24"/>
          <w:highlight w:val="none"/>
        </w:rPr>
        <w:t>。</w:t>
      </w:r>
    </w:p>
    <w:p w14:paraId="2EDE0F8C">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81" w:name="_Toc30676"/>
      <w:bookmarkStart w:id="182" w:name="_Toc487900365"/>
      <w:bookmarkStart w:id="183" w:name="_Toc689"/>
      <w:bookmarkStart w:id="184" w:name="_Toc279701255"/>
      <w:bookmarkStart w:id="185" w:name="_Toc259093684"/>
      <w:bookmarkStart w:id="186" w:name="_Toc696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12</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税费</w:t>
      </w:r>
      <w:bookmarkEnd w:id="181"/>
      <w:bookmarkEnd w:id="182"/>
      <w:bookmarkEnd w:id="183"/>
      <w:bookmarkEnd w:id="184"/>
      <w:bookmarkEnd w:id="185"/>
      <w:bookmarkEnd w:id="186"/>
    </w:p>
    <w:p w14:paraId="05A9595F">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与合同有关的一切税费</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均按照中华人民共和国法律的相关规定</w:t>
      </w:r>
      <w:r>
        <w:rPr>
          <w:rFonts w:hint="eastAsia" w:cs="Times New Roman" w:asciiTheme="minorEastAsia" w:hAnsiTheme="minorEastAsia" w:eastAsiaTheme="minorEastAsia"/>
          <w:color w:val="auto"/>
          <w:sz w:val="24"/>
          <w:szCs w:val="24"/>
          <w:highlight w:val="none"/>
        </w:rPr>
        <w:t>缴纳</w:t>
      </w:r>
      <w:r>
        <w:rPr>
          <w:rFonts w:cs="Times New Roman" w:asciiTheme="minorEastAsia" w:hAnsiTheme="minorEastAsia" w:eastAsiaTheme="minorEastAsia"/>
          <w:color w:val="auto"/>
          <w:sz w:val="24"/>
          <w:szCs w:val="24"/>
          <w:highlight w:val="none"/>
        </w:rPr>
        <w:t>。</w:t>
      </w:r>
    </w:p>
    <w:p w14:paraId="0CAC0317">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87" w:name="_Toc8298"/>
      <w:bookmarkStart w:id="188" w:name="_Toc259093687"/>
      <w:bookmarkStart w:id="189" w:name="_Toc7102"/>
      <w:bookmarkStart w:id="190" w:name="_Toc16959"/>
      <w:bookmarkStart w:id="191" w:name="_Toc487900368"/>
      <w:bookmarkStart w:id="192" w:name="_Toc279701258"/>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13</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乙方破产</w:t>
      </w:r>
      <w:bookmarkEnd w:id="187"/>
      <w:bookmarkEnd w:id="188"/>
      <w:bookmarkEnd w:id="189"/>
      <w:bookmarkEnd w:id="190"/>
      <w:bookmarkEnd w:id="191"/>
      <w:bookmarkEnd w:id="192"/>
    </w:p>
    <w:p w14:paraId="4FE02A20">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如果乙方破产导致合同无法履行时，甲方可以书面形式通知乙方终止合同且不给予乙方任何补偿和赔偿</w:t>
      </w:r>
      <w:r>
        <w:rPr>
          <w:rFonts w:hint="eastAsia" w:cs="Times New Roman" w:asciiTheme="minorEastAsia" w:hAnsiTheme="minorEastAsia" w:eastAsiaTheme="minorEastAsia"/>
          <w:color w:val="auto"/>
          <w:sz w:val="24"/>
          <w:szCs w:val="24"/>
          <w:highlight w:val="none"/>
        </w:rPr>
        <w:t>，但合同的</w:t>
      </w:r>
      <w:r>
        <w:rPr>
          <w:rFonts w:cs="Times New Roman" w:asciiTheme="minorEastAsia" w:hAnsiTheme="minorEastAsia" w:eastAsiaTheme="minorEastAsia"/>
          <w:color w:val="auto"/>
          <w:sz w:val="24"/>
          <w:szCs w:val="24"/>
          <w:highlight w:val="none"/>
        </w:rPr>
        <w:t>终止不损害或不影响甲方已经采取或将要采取的任何要求乙方支付违约金</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赔偿损失等的行动或补救措施的权利</w:t>
      </w:r>
      <w:r>
        <w:rPr>
          <w:rFonts w:hint="eastAsia" w:cs="Times New Roman" w:asciiTheme="minorEastAsia" w:hAnsiTheme="minorEastAsia" w:eastAsiaTheme="minorEastAsia"/>
          <w:color w:val="auto"/>
          <w:sz w:val="24"/>
          <w:szCs w:val="24"/>
          <w:highlight w:val="none"/>
        </w:rPr>
        <w:t>。</w:t>
      </w:r>
    </w:p>
    <w:p w14:paraId="4DF5866D">
      <w:pPr>
        <w:spacing w:line="440" w:lineRule="exact"/>
        <w:ind w:firstLine="437"/>
        <w:outlineLvl w:val="2"/>
        <w:rPr>
          <w:rFonts w:hint="eastAsia" w:cs="Times New Roman" w:asciiTheme="minorEastAsia" w:hAnsiTheme="minorEastAsia" w:eastAsiaTheme="minorEastAsia"/>
          <w:b/>
          <w:color w:val="auto"/>
          <w:sz w:val="24"/>
          <w:szCs w:val="24"/>
          <w:highlight w:val="none"/>
        </w:rPr>
      </w:pPr>
      <w:bookmarkStart w:id="193" w:name="_Toc29333"/>
      <w:bookmarkStart w:id="194" w:name="_Toc15387"/>
      <w:bookmarkStart w:id="195" w:name="_Toc6134"/>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4</w:t>
      </w:r>
      <w:r>
        <w:rPr>
          <w:rFonts w:hint="eastAsia" w:cs="Times New Roman" w:asciiTheme="minorEastAsia" w:hAnsiTheme="minorEastAsia" w:eastAsiaTheme="minorEastAsia"/>
          <w:b/>
          <w:bCs/>
          <w:color w:val="auto"/>
          <w:sz w:val="24"/>
          <w:szCs w:val="24"/>
          <w:highlight w:val="none"/>
          <w:lang w:val="zh-CN"/>
        </w:rPr>
        <w:t xml:space="preserve"> 合同中止、终止</w:t>
      </w:r>
      <w:bookmarkEnd w:id="193"/>
      <w:bookmarkEnd w:id="194"/>
      <w:bookmarkEnd w:id="195"/>
    </w:p>
    <w:p w14:paraId="2A612833">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.1双方当事人不得擅自中止或者终止合同；</w:t>
      </w:r>
    </w:p>
    <w:p w14:paraId="2EC02089">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.2合同继续履行将损害国家利益和社会公共利益的，双方当事人应当中止或者终止合同。有过错的一方应当承担赔偿责任，双方当事人都有过错的，各自承担相应的责任。</w:t>
      </w:r>
    </w:p>
    <w:p w14:paraId="23A8F6F2">
      <w:pPr>
        <w:spacing w:line="440" w:lineRule="exact"/>
        <w:ind w:firstLine="437"/>
        <w:outlineLvl w:val="2"/>
        <w:rPr>
          <w:rFonts w:hint="eastAsia" w:cs="Times New Roman" w:asciiTheme="minorEastAsia" w:hAnsiTheme="minorEastAsia" w:eastAsiaTheme="minorEastAsia"/>
          <w:b/>
          <w:bCs/>
          <w:color w:val="auto"/>
          <w:sz w:val="24"/>
          <w:szCs w:val="24"/>
          <w:highlight w:val="none"/>
          <w:lang w:val="zh-CN"/>
        </w:rPr>
      </w:pPr>
      <w:bookmarkStart w:id="196" w:name="_Toc6596"/>
      <w:bookmarkStart w:id="197" w:name="_Toc1125"/>
      <w:bookmarkStart w:id="198" w:name="_Toc14563"/>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5</w:t>
      </w:r>
      <w:r>
        <w:rPr>
          <w:rFonts w:hint="eastAsia" w:cs="Times New Roman" w:asciiTheme="minorEastAsia" w:hAnsiTheme="minorEastAsia" w:eastAsiaTheme="minorEastAsia"/>
          <w:b/>
          <w:bCs/>
          <w:color w:val="auto"/>
          <w:sz w:val="24"/>
          <w:szCs w:val="24"/>
          <w:highlight w:val="none"/>
          <w:lang w:val="zh-CN"/>
        </w:rPr>
        <w:t xml:space="preserve"> 检验和验收</w:t>
      </w:r>
      <w:bookmarkEnd w:id="196"/>
      <w:bookmarkEnd w:id="197"/>
      <w:bookmarkEnd w:id="198"/>
    </w:p>
    <w:p w14:paraId="14635FD1">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5</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rPr>
        <w:t>1乙方按照</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的约定</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定期提交服务报告</w:t>
      </w:r>
      <w:r>
        <w:rPr>
          <w:rFonts w:hint="eastAsia" w:cs="Times New Roman" w:asciiTheme="minorEastAsia" w:hAnsiTheme="minorEastAsia" w:eastAsiaTheme="minorEastAsia"/>
          <w:color w:val="auto"/>
          <w:sz w:val="24"/>
          <w:szCs w:val="24"/>
          <w:highlight w:val="none"/>
        </w:rPr>
        <w:t>，甲方按照</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的约定进行定期验收</w:t>
      </w:r>
      <w:r>
        <w:rPr>
          <w:rFonts w:hint="eastAsia" w:cs="Times New Roman" w:asciiTheme="minorEastAsia" w:hAnsiTheme="minorEastAsia" w:eastAsiaTheme="minorEastAsia"/>
          <w:color w:val="auto"/>
          <w:sz w:val="24"/>
          <w:szCs w:val="24"/>
          <w:highlight w:val="none"/>
        </w:rPr>
        <w:t>；</w:t>
      </w:r>
    </w:p>
    <w:p w14:paraId="6E6998DB">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3F21853">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2.15.3检验和验收标准、程序等具体内容以及前述验收书的效力详见</w:t>
      </w:r>
      <w:r>
        <w:rPr>
          <w:rFonts w:cs="Times New Roman" w:asciiTheme="minorEastAsia" w:hAnsiTheme="minorEastAsia" w:eastAsiaTheme="minorEastAsia"/>
          <w:b/>
          <w:i/>
          <w:color w:val="auto"/>
          <w:sz w:val="24"/>
          <w:szCs w:val="24"/>
          <w:highlight w:val="none"/>
          <w:u w:val="single"/>
        </w:rPr>
        <w:t>合同专用条款</w:t>
      </w:r>
      <w:r>
        <w:rPr>
          <w:rFonts w:hint="eastAsia" w:cs="Times New Roman" w:asciiTheme="minorEastAsia" w:hAnsiTheme="minorEastAsia" w:eastAsiaTheme="minorEastAsia"/>
          <w:i/>
          <w:color w:val="auto"/>
          <w:sz w:val="24"/>
          <w:szCs w:val="24"/>
          <w:highlight w:val="none"/>
        </w:rPr>
        <w:t>。</w:t>
      </w:r>
    </w:p>
    <w:bookmarkEnd w:id="168"/>
    <w:bookmarkEnd w:id="169"/>
    <w:bookmarkEnd w:id="170"/>
    <w:bookmarkEnd w:id="171"/>
    <w:p w14:paraId="35C676A8">
      <w:pPr>
        <w:spacing w:line="440" w:lineRule="exact"/>
        <w:ind w:firstLine="437"/>
        <w:outlineLvl w:val="2"/>
        <w:rPr>
          <w:rFonts w:hint="eastAsia" w:cs="Times New Roman" w:asciiTheme="minorEastAsia" w:hAnsiTheme="minorEastAsia" w:eastAsiaTheme="minorEastAsia"/>
          <w:b/>
          <w:bCs/>
          <w:color w:val="auto"/>
          <w:sz w:val="24"/>
          <w:szCs w:val="24"/>
          <w:highlight w:val="none"/>
        </w:rPr>
      </w:pPr>
      <w:bookmarkStart w:id="199" w:name="_Toc10330"/>
      <w:bookmarkStart w:id="200" w:name="_Toc259093692"/>
      <w:bookmarkStart w:id="201" w:name="_Toc279701263"/>
      <w:bookmarkStart w:id="202" w:name="_Toc18567"/>
      <w:bookmarkStart w:id="203" w:name="_Toc487900373"/>
      <w:bookmarkStart w:id="204" w:name="_Toc12773"/>
      <w:r>
        <w:rPr>
          <w:rFonts w:hint="eastAsia" w:cs="Times New Roman" w:asciiTheme="minorEastAsia" w:hAnsiTheme="minorEastAsia" w:eastAsiaTheme="minorEastAsia"/>
          <w:b/>
          <w:bCs/>
          <w:color w:val="auto"/>
          <w:sz w:val="24"/>
          <w:szCs w:val="24"/>
          <w:highlight w:val="none"/>
        </w:rPr>
        <w:t>2.</w:t>
      </w:r>
      <w:r>
        <w:rPr>
          <w:rFonts w:cs="Times New Roman" w:asciiTheme="minorEastAsia" w:hAnsiTheme="minorEastAsia" w:eastAsiaTheme="minorEastAsia"/>
          <w:b/>
          <w:bCs/>
          <w:color w:val="auto"/>
          <w:sz w:val="24"/>
          <w:szCs w:val="24"/>
          <w:highlight w:val="none"/>
        </w:rPr>
        <w:t>16</w:t>
      </w:r>
      <w:r>
        <w:rPr>
          <w:rFonts w:hint="eastAsia" w:cs="Times New Roman" w:asciiTheme="minorEastAsia" w:hAnsiTheme="minorEastAsia" w:eastAsiaTheme="minorEastAsia"/>
          <w:b/>
          <w:bCs/>
          <w:color w:val="auto"/>
          <w:sz w:val="24"/>
          <w:szCs w:val="24"/>
          <w:highlight w:val="none"/>
        </w:rPr>
        <w:t xml:space="preserve"> </w:t>
      </w:r>
      <w:r>
        <w:rPr>
          <w:rFonts w:hint="eastAsia" w:cs="Times New Roman" w:asciiTheme="minorEastAsia" w:hAnsiTheme="minorEastAsia" w:eastAsiaTheme="minorEastAsia"/>
          <w:b/>
          <w:bCs/>
          <w:color w:val="auto"/>
          <w:sz w:val="24"/>
          <w:szCs w:val="24"/>
          <w:highlight w:val="none"/>
          <w:lang w:val="zh-CN"/>
        </w:rPr>
        <w:t>合同使用的文字和</w:t>
      </w:r>
      <w:r>
        <w:rPr>
          <w:rFonts w:cs="Times New Roman" w:asciiTheme="minorEastAsia" w:hAnsiTheme="minorEastAsia" w:eastAsiaTheme="minorEastAsia"/>
          <w:b/>
          <w:bCs/>
          <w:color w:val="auto"/>
          <w:sz w:val="24"/>
          <w:szCs w:val="24"/>
          <w:highlight w:val="none"/>
          <w:lang w:val="zh-CN"/>
        </w:rPr>
        <w:t>适用的法律</w:t>
      </w:r>
      <w:bookmarkEnd w:id="199"/>
      <w:bookmarkEnd w:id="200"/>
      <w:bookmarkEnd w:id="201"/>
      <w:bookmarkEnd w:id="202"/>
      <w:bookmarkEnd w:id="203"/>
      <w:bookmarkEnd w:id="204"/>
    </w:p>
    <w:p w14:paraId="27D9FB0E">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16.1合同使用汉语书就</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变更和解释</w:t>
      </w:r>
      <w:r>
        <w:rPr>
          <w:rFonts w:hint="eastAsia" w:cs="Times New Roman" w:asciiTheme="minorEastAsia" w:hAnsiTheme="minorEastAsia" w:eastAsiaTheme="minorEastAsia"/>
          <w:color w:val="auto"/>
          <w:sz w:val="24"/>
          <w:szCs w:val="24"/>
          <w:highlight w:val="none"/>
        </w:rPr>
        <w:t>；</w:t>
      </w:r>
    </w:p>
    <w:p w14:paraId="673DF0D6">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16</w:t>
      </w:r>
      <w:r>
        <w:rPr>
          <w:rFonts w:hint="eastAsia" w:cs="Times New Roman" w:asciiTheme="minorEastAsia" w:hAnsiTheme="minorEastAsia" w:eastAsiaTheme="minorEastAsia"/>
          <w:color w:val="auto"/>
          <w:sz w:val="24"/>
          <w:szCs w:val="24"/>
          <w:highlight w:val="none"/>
        </w:rPr>
        <w:t>.2合同适用</w:t>
      </w:r>
      <w:r>
        <w:rPr>
          <w:rFonts w:cs="Times New Roman" w:asciiTheme="minorEastAsia" w:hAnsiTheme="minorEastAsia" w:eastAsiaTheme="minorEastAsia"/>
          <w:color w:val="auto"/>
          <w:sz w:val="24"/>
          <w:szCs w:val="24"/>
          <w:highlight w:val="none"/>
        </w:rPr>
        <w:t>中华人民共和国法律。</w:t>
      </w:r>
    </w:p>
    <w:p w14:paraId="2FDE9E07">
      <w:pPr>
        <w:spacing w:line="440" w:lineRule="exact"/>
        <w:ind w:firstLine="437"/>
        <w:outlineLvl w:val="2"/>
        <w:rPr>
          <w:rFonts w:hint="eastAsia" w:cs="Times New Roman" w:asciiTheme="minorEastAsia" w:hAnsiTheme="minorEastAsia" w:eastAsiaTheme="minorEastAsia"/>
          <w:b/>
          <w:color w:val="auto"/>
          <w:sz w:val="24"/>
          <w:szCs w:val="24"/>
          <w:highlight w:val="none"/>
        </w:rPr>
      </w:pPr>
      <w:bookmarkStart w:id="205" w:name="_Toc3148"/>
      <w:bookmarkStart w:id="206" w:name="_Toc259093693"/>
      <w:bookmarkStart w:id="207" w:name="_Toc16673"/>
      <w:bookmarkStart w:id="208" w:name="_Toc12004"/>
      <w:bookmarkStart w:id="209" w:name="_Toc279701264"/>
      <w:bookmarkStart w:id="210" w:name="_Toc487900374"/>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17</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履约保证金</w:t>
      </w:r>
      <w:bookmarkEnd w:id="205"/>
      <w:bookmarkEnd w:id="206"/>
      <w:bookmarkEnd w:id="207"/>
      <w:bookmarkEnd w:id="208"/>
      <w:bookmarkEnd w:id="209"/>
    </w:p>
    <w:p w14:paraId="255C80E0">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w:t>
      </w:r>
      <w:r>
        <w:rPr>
          <w:rFonts w:hint="eastAsia" w:cs="Times New Roman" w:asciiTheme="minorEastAsia" w:hAnsiTheme="minorEastAsia" w:eastAsiaTheme="minorEastAsia"/>
          <w:color w:val="auto"/>
          <w:sz w:val="24"/>
          <w:szCs w:val="24"/>
          <w:highlight w:val="none"/>
        </w:rPr>
        <w:t>.1采购文件要求乙方提交履约保证金的，乙方</w:t>
      </w:r>
      <w:r>
        <w:rPr>
          <w:rFonts w:cs="Times New Roman" w:asciiTheme="minorEastAsia" w:hAnsiTheme="minorEastAsia" w:eastAsiaTheme="minorEastAsia"/>
          <w:color w:val="auto"/>
          <w:sz w:val="24"/>
          <w:szCs w:val="24"/>
          <w:highlight w:val="none"/>
        </w:rPr>
        <w:t>应按</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约定的方式</w:t>
      </w:r>
      <w:r>
        <w:rPr>
          <w:rFonts w:hint="eastAsia" w:cs="Times New Roman" w:asciiTheme="minorEastAsia" w:hAnsiTheme="minorEastAsia" w:eastAsiaTheme="minorEastAsia"/>
          <w:color w:val="auto"/>
          <w:sz w:val="24"/>
          <w:szCs w:val="24"/>
          <w:highlight w:val="none"/>
        </w:rPr>
        <w:t>，以支票、汇票、本票或者金融机构、担保机构出具的保函等非现金形式提交；</w:t>
      </w:r>
    </w:p>
    <w:p w14:paraId="2D0B5B15">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17.2履约保证金在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约定期间内不予退还或者应完全有效</w:t>
      </w:r>
      <w:r>
        <w:rPr>
          <w:rFonts w:hint="eastAsia" w:cs="Times New Roman" w:asciiTheme="minorEastAsia" w:hAnsiTheme="minorEastAsia" w:eastAsiaTheme="minorEastAsia"/>
          <w:color w:val="auto"/>
          <w:sz w:val="24"/>
          <w:szCs w:val="24"/>
          <w:highlight w:val="none"/>
        </w:rPr>
        <w:t>，前述约定期间届满</w:t>
      </w:r>
      <w:r>
        <w:rPr>
          <w:rFonts w:cs="Times New Roman" w:asciiTheme="minorEastAsia" w:hAnsiTheme="minorEastAsia" w:eastAsiaTheme="minorEastAsia"/>
          <w:color w:val="auto"/>
          <w:sz w:val="24"/>
          <w:szCs w:val="24"/>
          <w:highlight w:val="none"/>
        </w:rPr>
        <w:t>之日起</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个</w:t>
      </w:r>
      <w:r>
        <w:rPr>
          <w:rFonts w:cs="Times New Roman" w:asciiTheme="minorEastAsia" w:hAnsiTheme="minorEastAsia" w:eastAsiaTheme="minorEastAsia"/>
          <w:color w:val="auto"/>
          <w:sz w:val="24"/>
          <w:szCs w:val="24"/>
          <w:highlight w:val="none"/>
        </w:rPr>
        <w:t>工作日内，甲方应将履约保证金退还乙方</w:t>
      </w:r>
      <w:r>
        <w:rPr>
          <w:rFonts w:hint="eastAsia" w:cs="Times New Roman" w:asciiTheme="minorEastAsia" w:hAnsiTheme="minorEastAsia" w:eastAsiaTheme="minorEastAsia"/>
          <w:color w:val="auto"/>
          <w:sz w:val="24"/>
          <w:szCs w:val="24"/>
          <w:highlight w:val="none"/>
        </w:rPr>
        <w:t>，甲方逾期退还履约保证金应承担违约责任。</w:t>
      </w:r>
    </w:p>
    <w:p w14:paraId="0616FD7E">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w:t>
      </w:r>
      <w:r>
        <w:rPr>
          <w:rFonts w:hint="eastAsia" w:cs="Times New Roman" w:asciiTheme="minorEastAsia" w:hAnsiTheme="minorEastAsia" w:eastAsiaTheme="minorEastAsia"/>
          <w:color w:val="auto"/>
          <w:sz w:val="24"/>
          <w:szCs w:val="24"/>
          <w:highlight w:val="none"/>
        </w:rPr>
        <w:t>.3</w:t>
      </w:r>
      <w:r>
        <w:rPr>
          <w:rFonts w:cs="Times New Roman" w:asciiTheme="minorEastAsia" w:hAnsiTheme="minorEastAsia" w:eastAsiaTheme="minorEastAsia"/>
          <w:color w:val="auto"/>
          <w:sz w:val="24"/>
          <w:szCs w:val="24"/>
          <w:highlight w:val="none"/>
        </w:rPr>
        <w:t>如果乙方不履行合同</w:t>
      </w:r>
      <w:r>
        <w:rPr>
          <w:rFonts w:hint="eastAsia" w:cs="Times New Roman" w:asciiTheme="minorEastAsia" w:hAnsiTheme="minorEastAsia" w:eastAsiaTheme="minorEastAsia"/>
          <w:color w:val="auto"/>
          <w:sz w:val="24"/>
          <w:szCs w:val="24"/>
          <w:highlight w:val="none"/>
        </w:rPr>
        <w:t>，履约保证金不予退还；如果乙方</w:t>
      </w:r>
      <w:r>
        <w:rPr>
          <w:rFonts w:cs="Times New Roman" w:asciiTheme="minorEastAsia" w:hAnsiTheme="minorEastAsia" w:eastAsiaTheme="minorEastAsia"/>
          <w:color w:val="auto"/>
          <w:sz w:val="24"/>
          <w:szCs w:val="24"/>
          <w:highlight w:val="none"/>
        </w:rPr>
        <w:t>未能按合同</w:t>
      </w:r>
      <w:r>
        <w:rPr>
          <w:rFonts w:hint="eastAsia" w:cs="Times New Roman" w:asciiTheme="minorEastAsia" w:hAnsiTheme="minorEastAsia" w:eastAsiaTheme="minorEastAsia"/>
          <w:color w:val="auto"/>
          <w:sz w:val="24"/>
          <w:szCs w:val="24"/>
          <w:highlight w:val="none"/>
        </w:rPr>
        <w:t>约</w:t>
      </w:r>
      <w:r>
        <w:rPr>
          <w:rFonts w:cs="Times New Roman" w:asciiTheme="minorEastAsia" w:hAnsiTheme="minorEastAsia" w:eastAsiaTheme="minorEastAsia"/>
          <w:color w:val="auto"/>
          <w:sz w:val="24"/>
          <w:szCs w:val="24"/>
          <w:highlight w:val="none"/>
        </w:rPr>
        <w:t>定全面履行义务，那么甲方有权从履约保证金中取得补偿或赔偿</w:t>
      </w:r>
      <w:r>
        <w:rPr>
          <w:rFonts w:hint="eastAsia" w:cs="Times New Roman" w:asciiTheme="minorEastAsia" w:hAnsiTheme="minorEastAsia" w:eastAsiaTheme="minorEastAsia"/>
          <w:color w:val="auto"/>
          <w:sz w:val="24"/>
          <w:szCs w:val="24"/>
          <w:highlight w:val="none"/>
        </w:rPr>
        <w:t>，同时不影响甲方要求乙方承担合同约定的超过履约保证金的违约责任的权利。</w:t>
      </w:r>
    </w:p>
    <w:bookmarkEnd w:id="210"/>
    <w:p w14:paraId="6F9A03E8">
      <w:pPr>
        <w:spacing w:line="440" w:lineRule="exact"/>
        <w:ind w:firstLine="437"/>
        <w:outlineLvl w:val="2"/>
        <w:rPr>
          <w:rFonts w:hint="eastAsia" w:cs="Times New Roman" w:asciiTheme="minorEastAsia" w:hAnsiTheme="minorEastAsia" w:eastAsiaTheme="minorEastAsia"/>
          <w:b/>
          <w:color w:val="auto"/>
          <w:sz w:val="24"/>
          <w:szCs w:val="24"/>
          <w:highlight w:val="none"/>
        </w:rPr>
      </w:pPr>
      <w:bookmarkStart w:id="211" w:name="_Toc6885"/>
      <w:bookmarkStart w:id="212" w:name="_Toc14001"/>
      <w:bookmarkStart w:id="213" w:name="_Toc19890"/>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18</w:t>
      </w:r>
      <w:r>
        <w:rPr>
          <w:rFonts w:hint="eastAsia" w:cs="Times New Roman" w:asciiTheme="minorEastAsia" w:hAnsiTheme="minorEastAsia" w:eastAsiaTheme="minorEastAsia"/>
          <w:b/>
          <w:bCs/>
          <w:color w:val="auto"/>
          <w:sz w:val="24"/>
          <w:szCs w:val="24"/>
          <w:highlight w:val="none"/>
          <w:lang w:val="zh-CN"/>
        </w:rPr>
        <w:t xml:space="preserve"> 合同份数</w:t>
      </w:r>
      <w:bookmarkEnd w:id="211"/>
      <w:bookmarkEnd w:id="212"/>
      <w:bookmarkEnd w:id="213"/>
    </w:p>
    <w:p w14:paraId="71281843">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合同份数按</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规定</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每份均具有同等法律效力</w:t>
      </w:r>
      <w:r>
        <w:rPr>
          <w:rFonts w:hint="eastAsia" w:cs="Times New Roman" w:asciiTheme="minorEastAsia" w:hAnsiTheme="minorEastAsia" w:eastAsiaTheme="minorEastAsia"/>
          <w:color w:val="auto"/>
          <w:sz w:val="24"/>
          <w:szCs w:val="24"/>
          <w:highlight w:val="none"/>
        </w:rPr>
        <w:t>。</w:t>
      </w:r>
    </w:p>
    <w:p w14:paraId="2E52D290">
      <w:pPr>
        <w:spacing w:line="440" w:lineRule="exact"/>
        <w:jc w:val="center"/>
        <w:outlineLvl w:val="1"/>
        <w:rPr>
          <w:rFonts w:hint="eastAsia" w:asciiTheme="minorEastAsia" w:hAnsiTheme="minorEastAsia" w:eastAsiaTheme="minorEastAsia"/>
          <w:b/>
          <w:color w:val="auto"/>
          <w:sz w:val="24"/>
          <w:highlight w:val="none"/>
        </w:rPr>
      </w:pPr>
      <w:r>
        <w:rPr>
          <w:rFonts w:cs="Times New Roman" w:asciiTheme="minorEastAsia" w:hAnsiTheme="minorEastAsia" w:eastAsiaTheme="minorEastAsia"/>
          <w:color w:val="auto"/>
          <w:sz w:val="24"/>
          <w:szCs w:val="24"/>
          <w:highlight w:val="none"/>
        </w:rPr>
        <w:br w:type="page"/>
      </w:r>
      <w:bookmarkStart w:id="214" w:name="_Toc3736"/>
      <w:r>
        <w:rPr>
          <w:rFonts w:hint="eastAsia" w:asciiTheme="minorEastAsia" w:hAnsiTheme="minorEastAsia" w:eastAsiaTheme="minorEastAsia"/>
          <w:b/>
          <w:color w:val="auto"/>
          <w:sz w:val="24"/>
          <w:highlight w:val="none"/>
        </w:rPr>
        <w:t>第三部分</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合同专用条款</w:t>
      </w:r>
      <w:bookmarkEnd w:id="214"/>
    </w:p>
    <w:p w14:paraId="34CAD902">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本部分</w:t>
      </w:r>
      <w:r>
        <w:rPr>
          <w:rFonts w:cs="Times New Roman" w:asciiTheme="minorEastAsia" w:hAnsiTheme="minorEastAsia" w:eastAsiaTheme="minorEastAsia"/>
          <w:color w:val="auto"/>
          <w:sz w:val="24"/>
          <w:szCs w:val="24"/>
          <w:highlight w:val="none"/>
        </w:rPr>
        <w:t>是对</w:t>
      </w:r>
      <w:r>
        <w:rPr>
          <w:rFonts w:hint="eastAsia" w:cs="Times New Roman" w:asciiTheme="minorEastAsia" w:hAnsiTheme="minorEastAsia" w:eastAsiaTheme="minorEastAsia"/>
          <w:color w:val="auto"/>
          <w:sz w:val="24"/>
          <w:szCs w:val="24"/>
          <w:highlight w:val="none"/>
        </w:rPr>
        <w:t>前两</w:t>
      </w:r>
      <w:r>
        <w:rPr>
          <w:rFonts w:cs="Times New Roman" w:asciiTheme="minorEastAsia" w:hAnsiTheme="minorEastAsia" w:eastAsiaTheme="minorEastAsia"/>
          <w:color w:val="auto"/>
          <w:sz w:val="24"/>
          <w:szCs w:val="24"/>
          <w:highlight w:val="none"/>
        </w:rPr>
        <w:t>部分的补充和修改</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w:t>
      </w:r>
      <w:r>
        <w:rPr>
          <w:rFonts w:hint="eastAsia" w:cs="Times New Roman" w:asciiTheme="minorEastAsia" w:hAnsiTheme="minorEastAsia" w:eastAsiaTheme="minorEastAsia"/>
          <w:color w:val="auto"/>
          <w:sz w:val="24"/>
          <w:szCs w:val="24"/>
          <w:highlight w:val="none"/>
        </w:rPr>
        <w:t>前两</w:t>
      </w:r>
      <w:r>
        <w:rPr>
          <w:rFonts w:cs="Times New Roman" w:asciiTheme="minorEastAsia" w:hAnsiTheme="minorEastAsia" w:eastAsiaTheme="minorEastAsia"/>
          <w:color w:val="auto"/>
          <w:sz w:val="24"/>
          <w:szCs w:val="24"/>
          <w:highlight w:val="none"/>
        </w:rPr>
        <w:t>部分和本部分的约定不一致</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应以本部分的约定为准</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本部分的条款号应与</w:t>
      </w:r>
      <w:r>
        <w:rPr>
          <w:rFonts w:hint="eastAsia" w:cs="Times New Roman" w:asciiTheme="minorEastAsia" w:hAnsiTheme="minorEastAsia" w:eastAsiaTheme="minorEastAsia"/>
          <w:color w:val="auto"/>
          <w:sz w:val="24"/>
          <w:szCs w:val="24"/>
          <w:highlight w:val="none"/>
        </w:rPr>
        <w:t>前两部分</w:t>
      </w:r>
      <w:r>
        <w:rPr>
          <w:rFonts w:cs="Times New Roman" w:asciiTheme="minorEastAsia" w:hAnsiTheme="minorEastAsia" w:eastAsiaTheme="minorEastAsia"/>
          <w:color w:val="auto"/>
          <w:sz w:val="24"/>
          <w:szCs w:val="24"/>
          <w:highlight w:val="none"/>
        </w:rPr>
        <w:t>的条款号保持对应</w:t>
      </w:r>
      <w:r>
        <w:rPr>
          <w:rFonts w:hint="eastAsia" w:cs="Times New Roman" w:asciiTheme="minorEastAsia" w:hAnsiTheme="minorEastAsia" w:eastAsiaTheme="minorEastAsia"/>
          <w:color w:val="auto"/>
          <w:sz w:val="24"/>
          <w:szCs w:val="24"/>
          <w:highlight w:val="none"/>
        </w:rPr>
        <w:t>；与前两部分</w:t>
      </w:r>
      <w:r>
        <w:rPr>
          <w:rFonts w:cs="Times New Roman" w:asciiTheme="minorEastAsia" w:hAnsiTheme="minorEastAsia" w:eastAsiaTheme="minorEastAsia"/>
          <w:color w:val="auto"/>
          <w:sz w:val="24"/>
          <w:szCs w:val="24"/>
          <w:highlight w:val="none"/>
        </w:rPr>
        <w:t>无对应关系的内容可另行编制条款号</w:t>
      </w:r>
      <w:r>
        <w:rPr>
          <w:rFonts w:hint="eastAsia" w:cs="Times New Roman" w:asciiTheme="minorEastAsia" w:hAnsiTheme="minorEastAsia" w:eastAsiaTheme="minorEastAsia"/>
          <w:color w:val="auto"/>
          <w:sz w:val="24"/>
          <w:szCs w:val="24"/>
          <w:highlight w:val="none"/>
        </w:rPr>
        <w:t>。</w:t>
      </w:r>
    </w:p>
    <w:tbl>
      <w:tblPr>
        <w:tblStyle w:val="32"/>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1BF8D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75F62872">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b/>
                <w:color w:val="auto"/>
                <w:sz w:val="24"/>
                <w:szCs w:val="24"/>
                <w:highlight w:val="none"/>
              </w:rPr>
            </w:pPr>
            <w:r>
              <w:rPr>
                <w:rFonts w:hint="default" w:cs="Times New Roman" w:asciiTheme="minorEastAsia" w:hAnsiTheme="minorEastAsia" w:eastAsiaTheme="minorEastAsia"/>
                <w:b/>
                <w:color w:val="auto"/>
                <w:sz w:val="24"/>
                <w:szCs w:val="24"/>
                <w:highlight w:val="none"/>
              </w:rPr>
              <w:t>条款号</w:t>
            </w:r>
          </w:p>
        </w:tc>
        <w:tc>
          <w:tcPr>
            <w:tcW w:w="7568" w:type="dxa"/>
            <w:vAlign w:val="center"/>
          </w:tcPr>
          <w:p w14:paraId="7D13D797">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b/>
                <w:color w:val="auto"/>
                <w:sz w:val="24"/>
                <w:szCs w:val="24"/>
                <w:highlight w:val="none"/>
              </w:rPr>
            </w:pPr>
            <w:r>
              <w:rPr>
                <w:rFonts w:hint="default" w:cs="Times New Roman" w:asciiTheme="minorEastAsia" w:hAnsiTheme="minorEastAsia" w:eastAsiaTheme="minorEastAsia"/>
                <w:b/>
                <w:color w:val="auto"/>
                <w:sz w:val="24"/>
                <w:szCs w:val="24"/>
                <w:highlight w:val="none"/>
              </w:rPr>
              <w:t>约定内容</w:t>
            </w:r>
          </w:p>
        </w:tc>
      </w:tr>
      <w:tr w14:paraId="2166F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09FF72F3">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2.5</w:t>
            </w:r>
          </w:p>
          <w:p w14:paraId="5F80DEDA">
            <w:pPr>
              <w:keepNext w:val="0"/>
              <w:keepLines w:val="0"/>
              <w:suppressLineNumbers w:val="0"/>
              <w:spacing w:before="0" w:beforeAutospacing="0" w:after="0" w:afterAutospacing="0"/>
              <w:ind w:left="0" w:right="0"/>
              <w:rPr>
                <w:rFonts w:hint="default"/>
                <w:color w:val="auto"/>
                <w:szCs w:val="20"/>
                <w:highlight w:val="none"/>
              </w:rPr>
            </w:pPr>
          </w:p>
        </w:tc>
        <w:tc>
          <w:tcPr>
            <w:tcW w:w="7568" w:type="dxa"/>
            <w:vAlign w:val="center"/>
          </w:tcPr>
          <w:p w14:paraId="2C1148D9">
            <w:pPr>
              <w:keepNext w:val="0"/>
              <w:keepLines w:val="0"/>
              <w:suppressLineNumbers w:val="0"/>
              <w:spacing w:before="0" w:beforeAutospacing="0" w:after="0" w:afterAutospacing="0" w:line="440" w:lineRule="exact"/>
              <w:ind w:left="0" w:right="0"/>
              <w:rPr>
                <w:rFonts w:hint="eastAsia"/>
                <w:color w:val="auto"/>
                <w:szCs w:val="20"/>
                <w:highlight w:val="none"/>
              </w:rPr>
            </w:pPr>
            <w:r>
              <w:rPr>
                <w:rFonts w:hint="eastAsia" w:ascii="宋体" w:hAnsi="宋体" w:eastAsia="宋体" w:cs="宋体"/>
                <w:b w:val="0"/>
                <w:color w:val="auto"/>
                <w:sz w:val="24"/>
                <w:szCs w:val="20"/>
                <w:highlight w:val="none"/>
                <w:u w:val="single"/>
                <w:lang w:val="en-US" w:eastAsia="zh-CN"/>
              </w:rPr>
              <w:t>合同签订生效并具备实施条件后5个工作日内支付合同价的40%预付款(预付款支付前，中标人须提供同等金额的见索即付预付款保函)，2025年完成项目初验后付至本年度计划的100%，项目终验合格后付至合同价的100%。</w:t>
            </w:r>
          </w:p>
        </w:tc>
      </w:tr>
      <w:tr w14:paraId="14716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2BC931A6">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2.11.3</w:t>
            </w:r>
          </w:p>
        </w:tc>
        <w:tc>
          <w:tcPr>
            <w:tcW w:w="7568" w:type="dxa"/>
            <w:vAlign w:val="center"/>
          </w:tcPr>
          <w:p w14:paraId="6703C848">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因不可抗力致使合同有变更必要的，双方当事人应在不可抗力发生的</w:t>
            </w:r>
            <w:r>
              <w:rPr>
                <w:rFonts w:hint="eastAsia" w:cs="Times New Roman" w:asciiTheme="minorEastAsia" w:hAnsiTheme="minorEastAsia" w:eastAsiaTheme="minorEastAsia"/>
                <w:color w:val="auto"/>
                <w:sz w:val="24"/>
                <w:szCs w:val="24"/>
                <w:highlight w:val="none"/>
                <w:lang w:val="en-US" w:eastAsia="zh-CN"/>
              </w:rPr>
              <w:t>15</w:t>
            </w:r>
            <w:r>
              <w:rPr>
                <w:rFonts w:hint="eastAsia" w:cs="Times New Roman" w:asciiTheme="minorEastAsia" w:hAnsiTheme="minorEastAsia" w:eastAsiaTheme="minorEastAsia"/>
                <w:color w:val="auto"/>
                <w:sz w:val="24"/>
                <w:szCs w:val="24"/>
                <w:highlight w:val="none"/>
              </w:rPr>
              <w:t>个工作日内以书面形式变更合同</w:t>
            </w:r>
          </w:p>
        </w:tc>
      </w:tr>
      <w:tr w14:paraId="62241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CD3CFF7">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2.11.4</w:t>
            </w:r>
          </w:p>
        </w:tc>
        <w:tc>
          <w:tcPr>
            <w:tcW w:w="7568" w:type="dxa"/>
            <w:vAlign w:val="center"/>
          </w:tcPr>
          <w:p w14:paraId="3066CC78">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受不可抗力影响的一方在不可抗力发生后，应在不可抗力发生的</w:t>
            </w:r>
            <w:r>
              <w:rPr>
                <w:rFonts w:hint="eastAsia" w:cs="Times New Roman" w:asciiTheme="minorEastAsia" w:hAnsiTheme="minorEastAsia" w:eastAsiaTheme="minorEastAsia"/>
                <w:color w:val="auto"/>
                <w:sz w:val="24"/>
                <w:szCs w:val="24"/>
                <w:highlight w:val="none"/>
                <w:lang w:val="en-US" w:eastAsia="zh-CN"/>
              </w:rPr>
              <w:t>3</w:t>
            </w:r>
            <w:r>
              <w:rPr>
                <w:rFonts w:hint="eastAsia" w:cs="Times New Roman" w:asciiTheme="minorEastAsia" w:hAnsiTheme="minorEastAsia" w:eastAsiaTheme="minorEastAsia"/>
                <w:color w:val="auto"/>
                <w:sz w:val="24"/>
                <w:szCs w:val="24"/>
                <w:highlight w:val="none"/>
              </w:rPr>
              <w:t>个工作日内以书面形式通知对方当事人，并在</w:t>
            </w:r>
            <w:r>
              <w:rPr>
                <w:rFonts w:hint="eastAsia" w:cs="Times New Roman" w:asciiTheme="minorEastAsia" w:hAnsiTheme="minorEastAsia" w:eastAsiaTheme="minorEastAsia"/>
                <w:color w:val="auto"/>
                <w:sz w:val="24"/>
                <w:szCs w:val="24"/>
                <w:highlight w:val="none"/>
                <w:lang w:val="en-US" w:eastAsia="zh-CN"/>
              </w:rPr>
              <w:t>3</w:t>
            </w:r>
            <w:r>
              <w:rPr>
                <w:rFonts w:hint="eastAsia" w:cs="Times New Roman" w:asciiTheme="minorEastAsia" w:hAnsiTheme="minorEastAsia" w:eastAsiaTheme="minorEastAsia"/>
                <w:color w:val="auto"/>
                <w:sz w:val="24"/>
                <w:szCs w:val="24"/>
                <w:highlight w:val="none"/>
              </w:rPr>
              <w:t>个工作日内，将有关部门出具的证明文件送达对方当事人</w:t>
            </w:r>
          </w:p>
        </w:tc>
      </w:tr>
      <w:tr w14:paraId="13B3A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5A529343">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color w:val="auto"/>
                <w:sz w:val="24"/>
                <w:szCs w:val="24"/>
                <w:highlight w:val="none"/>
              </w:rPr>
            </w:pPr>
            <w:r>
              <w:rPr>
                <w:rFonts w:hint="eastAsia" w:ascii="宋体" w:hAnsi="宋体" w:eastAsia="宋体" w:cs="宋体"/>
                <w:color w:val="auto"/>
                <w:sz w:val="24"/>
                <w:szCs w:val="24"/>
                <w:highlight w:val="none"/>
              </w:rPr>
              <w:t>2.15</w:t>
            </w:r>
          </w:p>
        </w:tc>
        <w:tc>
          <w:tcPr>
            <w:tcW w:w="7568" w:type="dxa"/>
            <w:vAlign w:val="center"/>
          </w:tcPr>
          <w:p w14:paraId="4D9898AD">
            <w:pPr>
              <w:keepNext w:val="0"/>
              <w:keepLines w:val="0"/>
              <w:suppressLineNumbers w:val="0"/>
              <w:spacing w:before="0" w:beforeAutospacing="0" w:after="0" w:afterAutospacing="0" w:line="44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2.15.1乙方须接受甲方对项目执行情况、服务质量等的监督、检查和验收，甲方有权查看与项目直接相关的凭证和资料，乙方应予以配合。</w:t>
            </w:r>
          </w:p>
          <w:p w14:paraId="2E586D06">
            <w:pPr>
              <w:keepNext w:val="0"/>
              <w:keepLines w:val="0"/>
              <w:suppressLineNumbers w:val="0"/>
              <w:spacing w:before="0" w:beforeAutospacing="0" w:after="0" w:afterAutospacing="0" w:line="440" w:lineRule="exact"/>
              <w:ind w:left="0" w:right="0"/>
              <w:rPr>
                <w:rFonts w:hint="default" w:eastAsia="宋体"/>
                <w:color w:val="auto"/>
                <w:szCs w:val="20"/>
                <w:highlight w:val="none"/>
                <w:lang w:val="en-US" w:eastAsia="zh-CN"/>
              </w:rPr>
            </w:pPr>
            <w:r>
              <w:rPr>
                <w:rFonts w:hint="eastAsia" w:ascii="宋体" w:hAnsi="宋体" w:eastAsia="宋体" w:cs="宋体"/>
                <w:color w:val="auto"/>
                <w:sz w:val="24"/>
                <w:szCs w:val="24"/>
                <w:highlight w:val="none"/>
              </w:rPr>
              <w:t>2.15.3验收书的内容以</w:t>
            </w:r>
            <w:r>
              <w:rPr>
                <w:rFonts w:hint="eastAsia" w:ascii="宋体" w:hAnsi="宋体" w:eastAsia="宋体" w:cs="宋体"/>
                <w:color w:val="auto"/>
                <w:sz w:val="24"/>
                <w:szCs w:val="24"/>
                <w:highlight w:val="none"/>
                <w:lang w:val="en-US" w:eastAsia="zh-CN"/>
              </w:rPr>
              <w:t>考核结论</w:t>
            </w:r>
            <w:r>
              <w:rPr>
                <w:rFonts w:hint="eastAsia" w:ascii="宋体" w:hAnsi="宋体" w:eastAsia="宋体" w:cs="宋体"/>
                <w:color w:val="auto"/>
                <w:sz w:val="24"/>
                <w:szCs w:val="24"/>
                <w:highlight w:val="none"/>
              </w:rPr>
              <w:t>作为结算依据。</w:t>
            </w:r>
          </w:p>
        </w:tc>
      </w:tr>
      <w:tr w14:paraId="41C7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143CB826">
            <w:pPr>
              <w:keepNext w:val="0"/>
              <w:keepLines w:val="0"/>
              <w:suppressLineNumbers w:val="0"/>
              <w:spacing w:before="0" w:beforeAutospacing="0" w:after="0" w:afterAutospacing="0" w:line="560" w:lineRule="exact"/>
              <w:ind w:left="0" w:right="0"/>
              <w:jc w:val="center"/>
              <w:rPr>
                <w:rFonts w:hint="eastAsia" w:ascii="宋体" w:hAnsi="宋体" w:eastAsia="宋体"/>
                <w:color w:val="auto"/>
                <w:sz w:val="24"/>
                <w:szCs w:val="20"/>
                <w:highlight w:val="none"/>
              </w:rPr>
            </w:pPr>
            <w:r>
              <w:rPr>
                <w:rFonts w:hint="eastAsia" w:ascii="宋体" w:hAnsi="宋体" w:eastAsia="宋体"/>
                <w:color w:val="auto"/>
                <w:sz w:val="24"/>
                <w:szCs w:val="20"/>
                <w:highlight w:val="none"/>
              </w:rPr>
              <w:t>2.17</w:t>
            </w:r>
          </w:p>
        </w:tc>
        <w:tc>
          <w:tcPr>
            <w:tcW w:w="7568" w:type="dxa"/>
            <w:vAlign w:val="center"/>
          </w:tcPr>
          <w:p w14:paraId="593ACCCD">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本项目免收</w:t>
            </w:r>
            <w:r>
              <w:rPr>
                <w:rFonts w:hint="eastAsia" w:cs="Times New Roman" w:asciiTheme="minorEastAsia" w:hAnsiTheme="minorEastAsia" w:eastAsiaTheme="minorEastAsia"/>
                <w:color w:val="auto"/>
                <w:sz w:val="24"/>
                <w:szCs w:val="24"/>
                <w:highlight w:val="none"/>
                <w:lang w:val="zh-CN"/>
              </w:rPr>
              <w:t>履约保证金。</w:t>
            </w:r>
          </w:p>
        </w:tc>
      </w:tr>
      <w:tr w14:paraId="62209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2AC22857">
            <w:pPr>
              <w:keepNext w:val="0"/>
              <w:keepLines w:val="0"/>
              <w:suppressLineNumbers w:val="0"/>
              <w:spacing w:before="0" w:beforeAutospacing="0" w:after="0" w:afterAutospacing="0" w:line="440" w:lineRule="exact"/>
              <w:ind w:left="0" w:right="0"/>
              <w:jc w:val="center"/>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2.18</w:t>
            </w:r>
          </w:p>
        </w:tc>
        <w:tc>
          <w:tcPr>
            <w:tcW w:w="7568" w:type="dxa"/>
            <w:vAlign w:val="center"/>
          </w:tcPr>
          <w:p w14:paraId="394B4F81">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r>
              <w:rPr>
                <w:rFonts w:hint="eastAsia" w:ascii="宋体" w:hAnsi="宋体" w:eastAsia="宋体" w:cs="宋体"/>
                <w:color w:val="auto"/>
                <w:sz w:val="24"/>
                <w:szCs w:val="20"/>
                <w:highlight w:val="none"/>
              </w:rPr>
              <w:t>合同一式陆份，甲乙双方各执叁份。</w:t>
            </w:r>
          </w:p>
        </w:tc>
      </w:tr>
      <w:tr w14:paraId="4FAFF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shd w:val="clear" w:color="auto" w:fill="auto"/>
            <w:vAlign w:val="center"/>
          </w:tcPr>
          <w:p w14:paraId="6BE15EE9">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3</w:t>
            </w:r>
          </w:p>
        </w:tc>
        <w:tc>
          <w:tcPr>
            <w:tcW w:w="7568" w:type="dxa"/>
            <w:shd w:val="clear" w:color="auto" w:fill="auto"/>
            <w:vAlign w:val="center"/>
          </w:tcPr>
          <w:p w14:paraId="67027919">
            <w:pPr>
              <w:keepNext w:val="0"/>
              <w:keepLines w:val="0"/>
              <w:suppressLineNumbers w:val="0"/>
              <w:spacing w:before="0" w:beforeAutospacing="0" w:after="0" w:afterAutospacing="0" w:line="440" w:lineRule="exact"/>
              <w:ind w:left="0" w:right="0"/>
              <w:jc w:val="left"/>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rPr>
              <w:t>乙方应要求进入甲方工作场所的人员知悉其必须承担的保密义务和责任，遵守国家保密法律、法规，自觉遵守工作纪律和规章制度，不做任何窃取或泄漏国家秘密、商业秘密和个人秘密的行为。乙方须将有关人员的情况（姓名、 性别、身份证号码、家庭住址、联系方式）及签订的保密协议书面报甲方备案。</w:t>
            </w:r>
          </w:p>
        </w:tc>
      </w:tr>
      <w:tr w14:paraId="2A22C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shd w:val="clear" w:color="auto" w:fill="auto"/>
            <w:vAlign w:val="center"/>
          </w:tcPr>
          <w:p w14:paraId="34794ED7">
            <w:pPr>
              <w:keepNext w:val="0"/>
              <w:keepLines w:val="0"/>
              <w:suppressLineNumbers w:val="0"/>
              <w:spacing w:before="0" w:beforeAutospacing="0" w:after="0" w:afterAutospacing="0" w:line="440" w:lineRule="exact"/>
              <w:ind w:left="0" w:right="0"/>
              <w:jc w:val="cente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4</w:t>
            </w:r>
          </w:p>
        </w:tc>
        <w:tc>
          <w:tcPr>
            <w:tcW w:w="7568" w:type="dxa"/>
            <w:shd w:val="clear" w:color="auto" w:fill="auto"/>
            <w:vAlign w:val="center"/>
          </w:tcPr>
          <w:p w14:paraId="4035FC37">
            <w:pPr>
              <w:keepNext w:val="0"/>
              <w:keepLines w:val="0"/>
              <w:suppressLineNumbers w:val="0"/>
              <w:spacing w:before="0" w:beforeAutospacing="0" w:after="0" w:afterAutospacing="0" w:line="440" w:lineRule="exact"/>
              <w:ind w:left="0" w:right="0"/>
              <w:jc w:val="left"/>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rPr>
              <w:t>根据滁州市数据资源管理局《项目标后履约告知函》做好向项目实施工作</w:t>
            </w:r>
            <w:r>
              <w:rPr>
                <w:rFonts w:hint="eastAsia" w:ascii="宋体" w:hAnsi="宋体" w:eastAsia="宋体" w:cs="宋体"/>
                <w:color w:val="auto"/>
                <w:sz w:val="24"/>
                <w:szCs w:val="20"/>
                <w:highlight w:val="none"/>
                <w:lang w:eastAsia="zh-CN"/>
              </w:rPr>
              <w:t>。</w:t>
            </w:r>
          </w:p>
        </w:tc>
      </w:tr>
      <w:tr w14:paraId="2B318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1DDE4C91">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c>
          <w:tcPr>
            <w:tcW w:w="7568" w:type="dxa"/>
            <w:vAlign w:val="center"/>
          </w:tcPr>
          <w:p w14:paraId="0982E89B">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（签订合同时可补充）</w:t>
            </w:r>
          </w:p>
        </w:tc>
      </w:tr>
      <w:tr w14:paraId="5041B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17FFA96D">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c>
          <w:tcPr>
            <w:tcW w:w="7568" w:type="dxa"/>
            <w:vAlign w:val="center"/>
          </w:tcPr>
          <w:p w14:paraId="5B83B188">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r>
      <w:tr w14:paraId="38201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3C6A2156">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52B7406D">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r>
      <w:tr w14:paraId="143A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44E35684">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6AA38FA1">
            <w:pPr>
              <w:keepNext w:val="0"/>
              <w:keepLines w:val="0"/>
              <w:suppressLineNumbers w:val="0"/>
              <w:spacing w:before="0" w:beforeAutospacing="0" w:after="0" w:afterAutospacing="0" w:line="440" w:lineRule="exact"/>
              <w:ind w:left="0" w:right="0"/>
              <w:rPr>
                <w:rFonts w:hint="eastAsia" w:cs="Times New Roman" w:asciiTheme="minorEastAsia" w:hAnsiTheme="minorEastAsia" w:eastAsiaTheme="minorEastAsia"/>
                <w:color w:val="auto"/>
                <w:sz w:val="24"/>
                <w:szCs w:val="24"/>
                <w:highlight w:val="none"/>
              </w:rPr>
            </w:pPr>
          </w:p>
        </w:tc>
      </w:tr>
    </w:tbl>
    <w:p w14:paraId="039443A6">
      <w:pPr>
        <w:widowControl/>
        <w:jc w:val="left"/>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56B923D1">
      <w:pPr>
        <w:numPr>
          <w:ilvl w:val="0"/>
          <w:numId w:val="2"/>
        </w:numPr>
        <w:spacing w:line="360" w:lineRule="auto"/>
        <w:jc w:val="center"/>
        <w:outlineLvl w:val="0"/>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 xml:space="preserve"> 投标文件格式</w:t>
      </w:r>
      <w:bookmarkEnd w:id="73"/>
    </w:p>
    <w:p w14:paraId="66542418">
      <w:pPr>
        <w:spacing w:line="900" w:lineRule="exact"/>
        <w:jc w:val="center"/>
        <w:rPr>
          <w:rFonts w:hint="eastAsia" w:asciiTheme="minorEastAsia" w:hAnsiTheme="minorEastAsia" w:eastAsiaTheme="minorEastAsia"/>
          <w:b/>
          <w:color w:val="auto"/>
          <w:sz w:val="72"/>
          <w:highlight w:val="none"/>
        </w:rPr>
      </w:pPr>
    </w:p>
    <w:p w14:paraId="0EBEF25B">
      <w:pPr>
        <w:spacing w:line="900" w:lineRule="exact"/>
        <w:jc w:val="center"/>
        <w:outlineLvl w:val="1"/>
        <w:rPr>
          <w:rFonts w:hint="eastAsia" w:asciiTheme="minorEastAsia" w:hAnsiTheme="minorEastAsia" w:eastAsiaTheme="minorEastAsia"/>
          <w:b/>
          <w:color w:val="auto"/>
          <w:sz w:val="72"/>
          <w:highlight w:val="none"/>
        </w:rPr>
      </w:pPr>
      <w:bookmarkStart w:id="215" w:name="_Toc5119"/>
      <w:r>
        <w:rPr>
          <w:rFonts w:hint="eastAsia" w:asciiTheme="minorEastAsia" w:hAnsiTheme="minorEastAsia" w:eastAsiaTheme="minorEastAsia"/>
          <w:b/>
          <w:color w:val="auto"/>
          <w:sz w:val="72"/>
          <w:highlight w:val="none"/>
        </w:rPr>
        <w:t>投</w:t>
      </w:r>
      <w:bookmarkEnd w:id="215"/>
    </w:p>
    <w:p w14:paraId="2CF78840">
      <w:pPr>
        <w:spacing w:line="900" w:lineRule="exact"/>
        <w:jc w:val="center"/>
        <w:rPr>
          <w:rFonts w:hint="eastAsia" w:asciiTheme="minorEastAsia" w:hAnsiTheme="minorEastAsia" w:eastAsiaTheme="minorEastAsia"/>
          <w:b/>
          <w:color w:val="auto"/>
          <w:sz w:val="72"/>
          <w:highlight w:val="none"/>
        </w:rPr>
      </w:pPr>
    </w:p>
    <w:p w14:paraId="730E0B18">
      <w:pPr>
        <w:spacing w:line="900" w:lineRule="exact"/>
        <w:jc w:val="center"/>
        <w:outlineLvl w:val="1"/>
        <w:rPr>
          <w:rFonts w:hint="eastAsia" w:asciiTheme="minorEastAsia" w:hAnsiTheme="minorEastAsia" w:eastAsiaTheme="minorEastAsia"/>
          <w:b/>
          <w:color w:val="auto"/>
          <w:sz w:val="72"/>
          <w:highlight w:val="none"/>
        </w:rPr>
      </w:pPr>
      <w:bookmarkStart w:id="216" w:name="_Toc4782"/>
      <w:r>
        <w:rPr>
          <w:rFonts w:hint="eastAsia" w:asciiTheme="minorEastAsia" w:hAnsiTheme="minorEastAsia" w:eastAsiaTheme="minorEastAsia"/>
          <w:b/>
          <w:color w:val="auto"/>
          <w:sz w:val="72"/>
          <w:highlight w:val="none"/>
        </w:rPr>
        <w:t>标</w:t>
      </w:r>
      <w:bookmarkEnd w:id="216"/>
    </w:p>
    <w:p w14:paraId="31BBB437">
      <w:pPr>
        <w:spacing w:line="900" w:lineRule="exact"/>
        <w:jc w:val="center"/>
        <w:rPr>
          <w:rFonts w:hint="eastAsia" w:asciiTheme="minorEastAsia" w:hAnsiTheme="minorEastAsia" w:eastAsiaTheme="minorEastAsia"/>
          <w:b/>
          <w:color w:val="auto"/>
          <w:sz w:val="72"/>
          <w:highlight w:val="none"/>
        </w:rPr>
      </w:pPr>
    </w:p>
    <w:p w14:paraId="77F45B7A">
      <w:pPr>
        <w:spacing w:line="900" w:lineRule="exact"/>
        <w:jc w:val="center"/>
        <w:outlineLvl w:val="1"/>
        <w:rPr>
          <w:rFonts w:hint="eastAsia" w:asciiTheme="minorEastAsia" w:hAnsiTheme="minorEastAsia" w:eastAsiaTheme="minorEastAsia"/>
          <w:b/>
          <w:color w:val="auto"/>
          <w:sz w:val="72"/>
          <w:highlight w:val="none"/>
        </w:rPr>
      </w:pPr>
      <w:bookmarkStart w:id="217" w:name="_Toc19607"/>
      <w:r>
        <w:rPr>
          <w:rFonts w:hint="eastAsia" w:asciiTheme="minorEastAsia" w:hAnsiTheme="minorEastAsia" w:eastAsiaTheme="minorEastAsia"/>
          <w:b/>
          <w:color w:val="auto"/>
          <w:sz w:val="72"/>
          <w:highlight w:val="none"/>
        </w:rPr>
        <w:t>文</w:t>
      </w:r>
      <w:bookmarkEnd w:id="217"/>
    </w:p>
    <w:p w14:paraId="608AE9AA">
      <w:pPr>
        <w:spacing w:line="900" w:lineRule="exact"/>
        <w:jc w:val="center"/>
        <w:rPr>
          <w:rFonts w:hint="eastAsia" w:asciiTheme="minorEastAsia" w:hAnsiTheme="minorEastAsia" w:eastAsiaTheme="minorEastAsia"/>
          <w:b/>
          <w:color w:val="auto"/>
          <w:sz w:val="72"/>
          <w:highlight w:val="none"/>
        </w:rPr>
      </w:pPr>
    </w:p>
    <w:p w14:paraId="49DFAAC5">
      <w:pPr>
        <w:jc w:val="center"/>
        <w:outlineLvl w:val="1"/>
        <w:rPr>
          <w:rFonts w:hint="eastAsia" w:asciiTheme="minorEastAsia" w:hAnsiTheme="minorEastAsia" w:eastAsiaTheme="minorEastAsia"/>
          <w:b/>
          <w:color w:val="auto"/>
          <w:sz w:val="72"/>
          <w:highlight w:val="none"/>
        </w:rPr>
      </w:pPr>
      <w:bookmarkStart w:id="218" w:name="_Toc8365"/>
      <w:r>
        <w:rPr>
          <w:rFonts w:hint="eastAsia" w:asciiTheme="minorEastAsia" w:hAnsiTheme="minorEastAsia" w:eastAsiaTheme="minorEastAsia"/>
          <w:b/>
          <w:color w:val="auto"/>
          <w:sz w:val="72"/>
          <w:highlight w:val="none"/>
        </w:rPr>
        <w:t>件</w:t>
      </w:r>
      <w:bookmarkEnd w:id="218"/>
    </w:p>
    <w:p w14:paraId="02152000">
      <w:pPr>
        <w:spacing w:after="156" w:afterLines="50"/>
        <w:jc w:val="center"/>
        <w:rPr>
          <w:rFonts w:hint="eastAsia" w:asciiTheme="minorEastAsia" w:hAnsiTheme="minorEastAsia" w:eastAsiaTheme="minorEastAsia"/>
          <w:b/>
          <w:color w:val="auto"/>
          <w:sz w:val="32"/>
          <w:szCs w:val="32"/>
          <w:highlight w:val="none"/>
        </w:rPr>
      </w:pPr>
      <w:bookmarkStart w:id="219" w:name="_Toc32506"/>
    </w:p>
    <w:bookmarkEnd w:id="219"/>
    <w:p w14:paraId="3FB48AEC">
      <w:pPr>
        <w:spacing w:before="156" w:beforeLines="50" w:after="156" w:afterLines="50"/>
        <w:jc w:val="center"/>
        <w:rPr>
          <w:rFonts w:hint="eastAsia" w:asciiTheme="minorEastAsia" w:hAnsiTheme="minorEastAsia" w:eastAsiaTheme="minorEastAsia"/>
          <w:b/>
          <w:color w:val="auto"/>
          <w:sz w:val="32"/>
          <w:szCs w:val="32"/>
          <w:highlight w:val="none"/>
        </w:rPr>
      </w:pPr>
    </w:p>
    <w:p w14:paraId="36334F91">
      <w:pPr>
        <w:spacing w:after="156" w:afterLines="50" w:line="500" w:lineRule="exact"/>
        <w:jc w:val="center"/>
        <w:rPr>
          <w:rFonts w:hint="eastAsia" w:asciiTheme="minorEastAsia" w:hAnsiTheme="minorEastAsia" w:eastAsiaTheme="minorEastAsia"/>
          <w:b/>
          <w:color w:val="auto"/>
          <w:sz w:val="28"/>
          <w:szCs w:val="28"/>
          <w:highlight w:val="none"/>
        </w:rPr>
      </w:pPr>
    </w:p>
    <w:p w14:paraId="2076EB12">
      <w:pPr>
        <w:tabs>
          <w:tab w:val="left" w:pos="2410"/>
        </w:tabs>
        <w:autoSpaceDE w:val="0"/>
        <w:autoSpaceDN w:val="0"/>
        <w:adjustRightInd w:val="0"/>
        <w:snapToGrid w:val="0"/>
        <w:spacing w:line="360" w:lineRule="auto"/>
        <w:ind w:firstLine="1928" w:firstLineChars="600"/>
        <w:rPr>
          <w:rFonts w:hint="eastAsia" w:ascii="宋体" w:hAnsi="宋体" w:eastAsia="宋体"/>
          <w:b/>
          <w:color w:val="auto"/>
          <w:spacing w:val="20"/>
          <w:kern w:val="0"/>
          <w:sz w:val="32"/>
          <w:szCs w:val="32"/>
          <w:highlight w:val="none"/>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p>
    <w:p w14:paraId="3B51ECDC">
      <w:pPr>
        <w:tabs>
          <w:tab w:val="left" w:pos="2410"/>
        </w:tabs>
        <w:autoSpaceDE w:val="0"/>
        <w:autoSpaceDN w:val="0"/>
        <w:adjustRightInd w:val="0"/>
        <w:snapToGrid w:val="0"/>
        <w:spacing w:line="360" w:lineRule="auto"/>
        <w:ind w:firstLine="1928" w:firstLineChars="600"/>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p>
    <w:p w14:paraId="63C21A4D">
      <w:pPr>
        <w:tabs>
          <w:tab w:val="left" w:pos="2410"/>
        </w:tabs>
        <w:autoSpaceDE w:val="0"/>
        <w:autoSpaceDN w:val="0"/>
        <w:adjustRightInd w:val="0"/>
        <w:snapToGrid w:val="0"/>
        <w:spacing w:line="360" w:lineRule="auto"/>
        <w:ind w:firstLine="1928" w:firstLineChars="600"/>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投 标 人：</w:t>
      </w:r>
      <w:r>
        <w:rPr>
          <w:rFonts w:hint="eastAsia" w:asciiTheme="minorEastAsia" w:hAnsiTheme="minorEastAsia" w:eastAsiaTheme="minorEastAsia"/>
          <w:b/>
          <w:color w:val="auto"/>
          <w:sz w:val="32"/>
          <w:highlight w:val="none"/>
          <w:u w:val="single"/>
        </w:rPr>
        <w:t xml:space="preserve">                  </w:t>
      </w:r>
    </w:p>
    <w:p w14:paraId="29047C2F">
      <w:pPr>
        <w:spacing w:after="156" w:afterLines="50" w:line="500" w:lineRule="exact"/>
        <w:jc w:val="center"/>
        <w:outlineLvl w:val="1"/>
        <w:rPr>
          <w:rFonts w:hint="eastAsia"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220" w:name="_Toc8037"/>
      <w:bookmarkStart w:id="221" w:name="_Toc19687"/>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220"/>
      <w:bookmarkEnd w:id="221"/>
    </w:p>
    <w:p w14:paraId="0AEDDBC9">
      <w:pPr>
        <w:rPr>
          <w:rFonts w:hint="eastAsia" w:ascii="宋体" w:hAnsi="宋体" w:eastAsia="宋体" w:cs="宋体"/>
          <w:b/>
          <w:color w:val="auto"/>
          <w:sz w:val="28"/>
          <w:szCs w:val="28"/>
          <w:highlight w:val="none"/>
          <w:lang w:bidi="ar"/>
        </w:rPr>
      </w:pPr>
      <w:bookmarkStart w:id="222" w:name="_Toc28960"/>
      <w:bookmarkStart w:id="223" w:name="_Toc17986"/>
      <w:r>
        <w:rPr>
          <w:rFonts w:hint="eastAsia" w:ascii="宋体" w:hAnsi="宋体" w:eastAsia="宋体" w:cs="宋体"/>
          <w:b/>
          <w:color w:val="auto"/>
          <w:sz w:val="28"/>
          <w:szCs w:val="28"/>
          <w:highlight w:val="none"/>
          <w:lang w:bidi="ar"/>
        </w:rPr>
        <w:br w:type="page"/>
      </w:r>
    </w:p>
    <w:p w14:paraId="2D512371">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一、资信证明格式文件</w:t>
      </w:r>
    </w:p>
    <w:p w14:paraId="60E7ABA4">
      <w:pPr>
        <w:jc w:val="cente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490328F4">
      <w:pPr>
        <w:rPr>
          <w:rFonts w:hint="eastAsia" w:ascii="宋体" w:hAnsi="宋体" w:eastAsia="宋体" w:cs="宋体"/>
          <w:b/>
          <w:color w:val="auto"/>
          <w:sz w:val="44"/>
          <w:szCs w:val="44"/>
          <w:highlight w:val="none"/>
          <w:lang w:bidi="ar"/>
        </w:rPr>
      </w:pPr>
      <w:r>
        <w:rPr>
          <w:rFonts w:hint="eastAsia" w:ascii="黑体" w:hAnsi="宋体" w:eastAsia="黑体" w:cs="黑体"/>
          <w:color w:val="auto"/>
          <w:sz w:val="20"/>
          <w:highlight w:val="none"/>
          <w:lang w:bidi="ar"/>
        </w:rPr>
        <w:t xml:space="preserve"> </w:t>
      </w:r>
    </w:p>
    <w:p w14:paraId="4D6D5EE6">
      <w:pPr>
        <w:jc w:val="center"/>
        <w:rPr>
          <w:rFonts w:hint="eastAsia" w:ascii="宋体" w:hAnsi="宋体" w:eastAsia="宋体" w:cs="宋体"/>
          <w:b/>
          <w:color w:val="auto"/>
          <w:sz w:val="44"/>
          <w:szCs w:val="44"/>
          <w:highlight w:val="none"/>
          <w:lang w:bidi="ar"/>
        </w:rPr>
      </w:pPr>
    </w:p>
    <w:p w14:paraId="0EBC668E">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资信证明文件</w:t>
      </w:r>
    </w:p>
    <w:p w14:paraId="4F608ACA">
      <w:pPr>
        <w:jc w:val="center"/>
        <w:rPr>
          <w:rFonts w:hint="eastAsia" w:ascii="宋体" w:hAnsi="宋体" w:eastAsia="宋体" w:cs="宋体"/>
          <w:color w:val="auto"/>
          <w:sz w:val="32"/>
          <w:szCs w:val="32"/>
          <w:highlight w:val="none"/>
          <w:lang w:bidi="ar"/>
        </w:rPr>
      </w:pPr>
    </w:p>
    <w:p w14:paraId="2A94065D">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（投标文件一）</w:t>
      </w:r>
    </w:p>
    <w:p w14:paraId="7D04CFE0">
      <w:pPr>
        <w:jc w:val="center"/>
        <w:rPr>
          <w:rFonts w:hint="eastAsia" w:ascii="黑体" w:hAnsi="宋体" w:eastAsia="黑体" w:cs="黑体"/>
          <w:color w:val="auto"/>
          <w:sz w:val="44"/>
          <w:szCs w:val="44"/>
          <w:highlight w:val="none"/>
        </w:rPr>
      </w:pPr>
      <w:r>
        <w:rPr>
          <w:rFonts w:hint="eastAsia" w:ascii="黑体" w:hAnsi="宋体" w:eastAsia="黑体" w:cs="黑体"/>
          <w:color w:val="auto"/>
          <w:sz w:val="44"/>
          <w:szCs w:val="44"/>
          <w:highlight w:val="none"/>
          <w:lang w:bidi="ar"/>
        </w:rPr>
        <w:t xml:space="preserve"> </w:t>
      </w:r>
    </w:p>
    <w:p w14:paraId="1258266C">
      <w:pPr>
        <w:jc w:val="center"/>
        <w:rPr>
          <w:rFonts w:hint="eastAsia" w:ascii="宋体" w:hAnsi="宋体" w:eastAsia="宋体" w:cs="宋体"/>
          <w:color w:val="auto"/>
          <w:sz w:val="32"/>
          <w:szCs w:val="32"/>
          <w:highlight w:val="none"/>
          <w:u w:val="single"/>
          <w:lang w:bidi="ar"/>
        </w:rPr>
      </w:pPr>
    </w:p>
    <w:p w14:paraId="1CB1C6A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4BFE19FD">
      <w:pPr>
        <w:jc w:val="center"/>
        <w:rPr>
          <w:rFonts w:hint="eastAsia" w:ascii="宋体" w:hAnsi="宋体" w:eastAsia="宋体" w:cs="宋体"/>
          <w:color w:val="auto"/>
          <w:sz w:val="28"/>
          <w:szCs w:val="28"/>
          <w:highlight w:val="none"/>
          <w:lang w:bidi="ar"/>
        </w:rPr>
      </w:pPr>
    </w:p>
    <w:p w14:paraId="4198E66B">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378A2A16">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7F55EC6">
      <w:pPr>
        <w:rPr>
          <w:rFonts w:hint="eastAsia" w:ascii="宋体" w:hAnsi="宋体" w:eastAsia="宋体" w:cs="宋体"/>
          <w:color w:val="auto"/>
          <w:sz w:val="28"/>
          <w:szCs w:val="28"/>
          <w:highlight w:val="none"/>
          <w:lang w:bidi="ar"/>
        </w:rPr>
      </w:pPr>
      <w:r>
        <w:rPr>
          <w:rFonts w:hint="eastAsia" w:ascii="宋体" w:hAnsi="宋体" w:eastAsia="宋体" w:cs="宋体"/>
          <w:color w:val="auto"/>
          <w:sz w:val="28"/>
          <w:szCs w:val="28"/>
          <w:highlight w:val="none"/>
          <w:lang w:bidi="ar"/>
        </w:rPr>
        <w:t xml:space="preserve"> </w:t>
      </w:r>
    </w:p>
    <w:p w14:paraId="17B7E97B">
      <w:pPr>
        <w:rPr>
          <w:rFonts w:hint="eastAsia" w:ascii="宋体" w:hAnsi="宋体" w:eastAsia="宋体" w:cs="宋体"/>
          <w:color w:val="auto"/>
          <w:sz w:val="28"/>
          <w:szCs w:val="28"/>
          <w:highlight w:val="none"/>
          <w:lang w:bidi="ar"/>
        </w:rPr>
      </w:pPr>
    </w:p>
    <w:p w14:paraId="508E66E7">
      <w:pPr>
        <w:rPr>
          <w:rFonts w:hint="eastAsia" w:ascii="宋体" w:hAnsi="宋体" w:eastAsia="宋体" w:cs="宋体"/>
          <w:color w:val="auto"/>
          <w:sz w:val="28"/>
          <w:szCs w:val="28"/>
          <w:highlight w:val="none"/>
          <w:lang w:bidi="ar"/>
        </w:rPr>
      </w:pPr>
    </w:p>
    <w:p w14:paraId="0B263F51">
      <w:pPr>
        <w:rPr>
          <w:rFonts w:hint="eastAsia" w:ascii="宋体" w:hAnsi="宋体" w:eastAsia="宋体" w:cs="宋体"/>
          <w:color w:val="auto"/>
          <w:sz w:val="28"/>
          <w:szCs w:val="28"/>
          <w:highlight w:val="none"/>
          <w:lang w:bidi="ar"/>
        </w:rPr>
      </w:pPr>
    </w:p>
    <w:p w14:paraId="6D58F6D8">
      <w:pPr>
        <w:jc w:val="center"/>
        <w:rPr>
          <w:rFonts w:hint="eastAsia" w:ascii="宋体" w:hAnsi="宋体" w:eastAsia="宋体" w:cs="宋体"/>
          <w:color w:val="auto"/>
          <w:sz w:val="28"/>
          <w:szCs w:val="28"/>
          <w:highlight w:val="none"/>
          <w:lang w:bidi="ar"/>
        </w:rPr>
      </w:pPr>
    </w:p>
    <w:p w14:paraId="4BD93CEF">
      <w:pPr>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7AC97709">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6FBB502C">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24C19291">
      <w:pPr>
        <w:spacing w:line="400" w:lineRule="exact"/>
        <w:ind w:firstLine="4130" w:firstLineChars="935"/>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0A807F25">
      <w:pPr>
        <w:rPr>
          <w:rFonts w:hint="eastAsia" w:ascii="宋体" w:hAnsi="宋体" w:eastAsia="宋体" w:cs="宋体"/>
          <w:b/>
          <w:color w:val="auto"/>
          <w:sz w:val="36"/>
          <w:szCs w:val="36"/>
          <w:highlight w:val="none"/>
          <w:lang w:bidi="ar"/>
        </w:rPr>
      </w:pPr>
      <w:r>
        <w:rPr>
          <w:rFonts w:hint="eastAsia" w:ascii="宋体" w:hAnsi="宋体" w:eastAsia="宋体" w:cs="宋体"/>
          <w:b/>
          <w:color w:val="auto"/>
          <w:sz w:val="36"/>
          <w:szCs w:val="36"/>
          <w:highlight w:val="none"/>
          <w:lang w:bidi="ar"/>
        </w:rPr>
        <w:br w:type="page"/>
      </w:r>
    </w:p>
    <w:p w14:paraId="70F5E21E">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36"/>
          <w:szCs w:val="36"/>
          <w:highlight w:val="none"/>
          <w:lang w:bidi="ar"/>
        </w:rPr>
        <w:t>目   录</w:t>
      </w:r>
    </w:p>
    <w:p w14:paraId="486A53A1">
      <w:pPr>
        <w:spacing w:line="40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 xml:space="preserve"> </w:t>
      </w:r>
    </w:p>
    <w:p w14:paraId="028DB63C">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（1）投标人资格声明书（格式见附件）；</w:t>
      </w:r>
    </w:p>
    <w:p w14:paraId="0E317927">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 xml:space="preserve">（2）授权书（格式见附件）；   </w:t>
      </w:r>
    </w:p>
    <w:p w14:paraId="0224D5B0">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（3）投标人为企业（包括合伙企业）的，应提供有效的“营业执照”；</w:t>
      </w:r>
    </w:p>
    <w:p w14:paraId="1FBBCAB1">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投标人为事业单位的，应提供有效的“事业单位法人证书”；</w:t>
      </w:r>
    </w:p>
    <w:p w14:paraId="2750661E">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投标人是非企业机构的，应提供有效的“执业许可证”、“登记证书”等证明文件；</w:t>
      </w:r>
    </w:p>
    <w:p w14:paraId="22624D3D">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投标人是个体工商户的，应提供有效的“个体工商户营业执照”；</w:t>
      </w:r>
    </w:p>
    <w:p w14:paraId="20D162A0">
      <w:pPr>
        <w:spacing w:line="360" w:lineRule="auto"/>
        <w:ind w:firstLine="480" w:firstLineChars="20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投标人是自然人的，应提供有效的自然人身份证明；</w:t>
      </w:r>
    </w:p>
    <w:p w14:paraId="50086A16">
      <w:pPr>
        <w:numPr>
          <w:ilvl w:val="0"/>
          <w:numId w:val="0"/>
        </w:numPr>
        <w:spacing w:line="360" w:lineRule="auto"/>
        <w:ind w:left="630" w:leftChars="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诚信投标承诺书（格式见附件）；</w:t>
      </w:r>
    </w:p>
    <w:p w14:paraId="588C0152">
      <w:pPr>
        <w:numPr>
          <w:ilvl w:val="0"/>
          <w:numId w:val="0"/>
        </w:numPr>
        <w:spacing w:line="360" w:lineRule="auto"/>
        <w:ind w:left="630" w:leftChars="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eastAsia="zh-CN" w:bidi="ar"/>
        </w:rPr>
        <w:t>）招标文件中要求的资信评审和资信评分的支持资料；</w:t>
      </w:r>
    </w:p>
    <w:p w14:paraId="5ACA295B">
      <w:pPr>
        <w:numPr>
          <w:ilvl w:val="0"/>
          <w:numId w:val="0"/>
        </w:numPr>
        <w:spacing w:line="360" w:lineRule="auto"/>
        <w:ind w:left="630" w:leftChars="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）其他（如有）。</w:t>
      </w:r>
    </w:p>
    <w:p w14:paraId="7B09E96F">
      <w:pPr>
        <w:spacing w:line="360" w:lineRule="auto"/>
        <w:ind w:firstLine="480" w:firstLineChars="200"/>
        <w:rPr>
          <w:rFonts w:hint="eastAsia" w:ascii="宋体" w:hAnsi="宋体" w:eastAsia="宋体" w:cs="宋体"/>
          <w:color w:val="auto"/>
          <w:sz w:val="24"/>
          <w:szCs w:val="24"/>
          <w:highlight w:val="none"/>
          <w:lang w:val="en-US" w:eastAsia="zh-CN" w:bidi="ar"/>
        </w:rPr>
      </w:pPr>
    </w:p>
    <w:p w14:paraId="37A19C26">
      <w:pPr>
        <w:spacing w:line="360" w:lineRule="auto"/>
        <w:ind w:firstLine="480" w:firstLineChars="20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注：</w:t>
      </w:r>
      <w:r>
        <w:rPr>
          <w:rFonts w:hint="default" w:ascii="宋体" w:hAnsi="宋体" w:eastAsia="宋体" w:cs="宋体"/>
          <w:color w:val="auto"/>
          <w:sz w:val="24"/>
          <w:szCs w:val="24"/>
          <w:highlight w:val="none"/>
          <w:lang w:val="en-US" w:eastAsia="zh-CN" w:bidi="ar"/>
        </w:rPr>
        <w:t>若投标人为若为银行、保险、石油化工、电力、电信、邮政等有行业特殊情况的企业的分支机构或分公司，其投标文件中所要求的法定代表人的所有签章及涉及材料，可以由其分支机构或分公司负责人进行签章及提供相应材料</w:t>
      </w:r>
      <w:r>
        <w:rPr>
          <w:rFonts w:hint="eastAsia" w:ascii="宋体" w:hAnsi="宋体" w:eastAsia="宋体" w:cs="宋体"/>
          <w:color w:val="auto"/>
          <w:sz w:val="24"/>
          <w:szCs w:val="24"/>
          <w:highlight w:val="none"/>
          <w:lang w:val="en-US" w:eastAsia="zh-CN" w:bidi="ar"/>
        </w:rPr>
        <w:t>。</w:t>
      </w:r>
    </w:p>
    <w:p w14:paraId="326BA598">
      <w:pPr>
        <w:spacing w:line="360" w:lineRule="auto"/>
        <w:ind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br w:type="page"/>
      </w:r>
    </w:p>
    <w:p w14:paraId="6AFFED7C">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（1）投标人资格声明书</w:t>
      </w:r>
    </w:p>
    <w:p w14:paraId="54396A04">
      <w:pPr>
        <w:pStyle w:val="28"/>
        <w:spacing w:before="0" w:beforeAutospacing="0" w:after="0" w:afterAutospacing="0" w:line="360" w:lineRule="auto"/>
        <w:jc w:val="both"/>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bidi="ar"/>
        </w:rPr>
        <w:t>致：</w:t>
      </w:r>
      <w:r>
        <w:rPr>
          <w:rFonts w:hint="eastAsia" w:ascii="宋体" w:hAnsi="宋体" w:eastAsia="宋体" w:cs="宋体"/>
          <w:b/>
          <w:color w:val="auto"/>
          <w:kern w:val="2"/>
          <w:szCs w:val="24"/>
          <w:highlight w:val="none"/>
          <w:u w:val="single"/>
          <w:lang w:bidi="ar"/>
        </w:rPr>
        <w:t>采购人</w:t>
      </w:r>
    </w:p>
    <w:p w14:paraId="77B88D9E">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在参与本次项目投标中，我单位承诺：</w:t>
      </w:r>
    </w:p>
    <w:p w14:paraId="504DDD6F">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（一）具有良好的商业信誉和健全的财务会计制度；</w:t>
      </w:r>
    </w:p>
    <w:p w14:paraId="61B456F6">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（二）具有履行合同所必需的设备和专业技术能力；</w:t>
      </w:r>
    </w:p>
    <w:p w14:paraId="4D4711FB">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（三）有依法缴纳税收和社会保障资金的良好记录；</w:t>
      </w:r>
    </w:p>
    <w:p w14:paraId="18CE4299">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F0AE342">
      <w:pPr>
        <w:widowControl/>
        <w:autoSpaceDE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（五）我单位不存在为采购项目提供整体设计、规范编制或者项目管理、监理、检测等服务后，再参加该采购项目的其他采购活动的情形（单一来源采购项目除外）；</w:t>
      </w:r>
    </w:p>
    <w:p w14:paraId="62779B9B">
      <w:pPr>
        <w:widowControl/>
        <w:autoSpaceDE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（六）与我单位存在单位负责人为同一人或者存在直接控股、管理关系的其他法人单位信息如下（如有，不论其是否参加同一合同项下的政府采购活动均须填写）：</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D44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tcPr>
          <w:p w14:paraId="00E91F95">
            <w:pPr>
              <w:keepNext w:val="0"/>
              <w:keepLines w:val="0"/>
              <w:widowControl/>
              <w:suppressLineNumbers w:val="0"/>
              <w:autoSpaceDE w:val="0"/>
              <w:spacing w:before="156"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bidi="ar"/>
              </w:rPr>
              <w:t>序号</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4A39BA76">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单位名称</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546EB16F">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相互关系</w:t>
            </w:r>
          </w:p>
        </w:tc>
      </w:tr>
      <w:tr w14:paraId="2912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tcPr>
          <w:p w14:paraId="1B08BDA5">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1</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334BE6D7">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4081291E">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p>
        </w:tc>
      </w:tr>
      <w:tr w14:paraId="3EDC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shd w:val="clear" w:color="auto" w:fill="auto"/>
          </w:tcPr>
          <w:p w14:paraId="58365CAC">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lang w:bidi="ar"/>
              </w:rPr>
              <w:t>2</w:t>
            </w: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0E648777">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p>
        </w:tc>
        <w:tc>
          <w:tcPr>
            <w:tcW w:w="2841" w:type="dxa"/>
            <w:tcBorders>
              <w:top w:val="single" w:color="auto" w:sz="4" w:space="0"/>
              <w:left w:val="single" w:color="auto" w:sz="4" w:space="0"/>
              <w:bottom w:val="single" w:color="auto" w:sz="4" w:space="0"/>
              <w:right w:val="single" w:color="auto" w:sz="4" w:space="0"/>
            </w:tcBorders>
            <w:shd w:val="clear" w:color="auto" w:fill="auto"/>
          </w:tcPr>
          <w:p w14:paraId="4AB42198">
            <w:pPr>
              <w:pStyle w:val="28"/>
              <w:keepNext w:val="0"/>
              <w:keepLines w:val="0"/>
              <w:suppressLineNumbers w:val="0"/>
              <w:autoSpaceDE w:val="0"/>
              <w:spacing w:before="156" w:beforeLines="50" w:beforeAutospacing="0" w:after="10" w:afterAutospacing="0"/>
              <w:ind w:left="0" w:right="0"/>
              <w:jc w:val="center"/>
              <w:rPr>
                <w:rFonts w:hint="eastAsia" w:ascii="宋体" w:hAnsi="宋体" w:eastAsia="宋体" w:cs="宋体"/>
                <w:color w:val="auto"/>
                <w:szCs w:val="24"/>
                <w:highlight w:val="none"/>
              </w:rPr>
            </w:pPr>
          </w:p>
        </w:tc>
      </w:tr>
    </w:tbl>
    <w:p w14:paraId="5E4A620A">
      <w:pPr>
        <w:spacing w:line="360" w:lineRule="auto"/>
        <w:ind w:firstLine="435"/>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本单位对上述声明的真实性负责。如有虚假，将依法承担相应责任。</w:t>
      </w:r>
    </w:p>
    <w:p w14:paraId="7143E19D">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olor w:val="auto"/>
          <w:sz w:val="24"/>
          <w:szCs w:val="24"/>
          <w:highlight w:val="none"/>
          <w:u w:val="single"/>
          <w:lang w:bidi="ar"/>
        </w:rPr>
        <w:t xml:space="preserve">             </w:t>
      </w:r>
    </w:p>
    <w:p w14:paraId="739351AD">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color w:val="auto"/>
          <w:sz w:val="24"/>
          <w:szCs w:val="24"/>
          <w:highlight w:val="none"/>
          <w:u w:val="single"/>
          <w:lang w:bidi="ar"/>
        </w:rPr>
        <w:t xml:space="preserve">             </w:t>
      </w:r>
    </w:p>
    <w:p w14:paraId="0AA5ED9B">
      <w:pPr>
        <w:pStyle w:val="28"/>
        <w:spacing w:before="0" w:after="120" w:afterAutospacing="0"/>
        <w:jc w:val="both"/>
        <w:rPr>
          <w:rFonts w:hint="eastAsia" w:ascii="宋体" w:hAnsi="宋体" w:eastAsia="宋体" w:cs="宋体"/>
          <w:color w:val="auto"/>
          <w:szCs w:val="24"/>
          <w:highlight w:val="none"/>
        </w:rPr>
      </w:pPr>
    </w:p>
    <w:p w14:paraId="0C071EE1">
      <w:pPr>
        <w:spacing w:line="360" w:lineRule="auto"/>
        <w:jc w:val="center"/>
        <w:outlineLvl w:val="1"/>
        <w:rPr>
          <w:rFonts w:hint="eastAsia" w:asciiTheme="minorEastAsia" w:hAnsiTheme="minorEastAsia" w:eastAsiaTheme="minorEastAsia"/>
          <w:b/>
          <w:color w:val="auto"/>
          <w:sz w:val="24"/>
          <w:highlight w:val="none"/>
        </w:rPr>
      </w:pPr>
    </w:p>
    <w:p w14:paraId="15A82C83">
      <w:pPr>
        <w:spacing w:line="360" w:lineRule="auto"/>
        <w:jc w:val="center"/>
        <w:outlineLvl w:val="1"/>
        <w:rPr>
          <w:rFonts w:hint="eastAsia" w:asciiTheme="minorEastAsia" w:hAnsiTheme="minorEastAsia" w:eastAsiaTheme="minorEastAsia"/>
          <w:b/>
          <w:color w:val="auto"/>
          <w:sz w:val="24"/>
          <w:highlight w:val="none"/>
        </w:rPr>
      </w:pPr>
    </w:p>
    <w:p w14:paraId="25965317">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47F77C8A">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（2）授权书</w:t>
      </w:r>
    </w:p>
    <w:p w14:paraId="7A08F4F1">
      <w:pPr>
        <w:pStyle w:val="28"/>
        <w:snapToGrid w:val="0"/>
        <w:spacing w:before="0" w:beforeAutospacing="0" w:after="0" w:afterAutospacing="0" w:line="360" w:lineRule="auto"/>
        <w:ind w:firstLine="480" w:firstLineChars="200"/>
        <w:rPr>
          <w:rFonts w:hint="eastAsia" w:ascii="宋体" w:hAnsi="宋体" w:eastAsia="宋体"/>
          <w:color w:val="auto"/>
          <w:kern w:val="2"/>
          <w:szCs w:val="24"/>
          <w:highlight w:val="none"/>
        </w:rPr>
      </w:pPr>
    </w:p>
    <w:p w14:paraId="65AE0F1D">
      <w:pPr>
        <w:spacing w:line="360" w:lineRule="auto"/>
        <w:ind w:firstLine="435"/>
        <w:rPr>
          <w:rFonts w:hint="eastAsia" w:hAnsi="宋体" w:eastAsia="宋体"/>
          <w:color w:val="auto"/>
          <w:sz w:val="24"/>
          <w:szCs w:val="24"/>
          <w:highlight w:val="none"/>
        </w:rPr>
      </w:pPr>
      <w:r>
        <w:rPr>
          <w:rFonts w:hint="eastAsia" w:ascii="宋体" w:hAnsi="宋体" w:eastAsia="宋体" w:cs="宋体"/>
          <w:color w:val="auto"/>
          <w:sz w:val="24"/>
          <w:szCs w:val="24"/>
          <w:highlight w:val="none"/>
          <w:lang w:bidi="ar"/>
        </w:rPr>
        <w:t>本授权书声明：</w:t>
      </w:r>
      <w:r>
        <w:rPr>
          <w:rFonts w:hint="eastAsia" w:hAnsi="宋体" w:eastAsia="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（投标人名称）授权</w:t>
      </w:r>
      <w:r>
        <w:rPr>
          <w:rFonts w:hint="eastAsia" w:hAnsi="宋体" w:eastAsia="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（投标人授权代表姓名）代表我方参加本项目</w:t>
      </w:r>
      <w:r>
        <w:rPr>
          <w:rFonts w:hint="eastAsia" w:ascii="宋体" w:hAnsi="宋体" w:eastAsia="宋体" w:cs="宋体"/>
          <w:bCs/>
          <w:color w:val="auto"/>
          <w:sz w:val="24"/>
          <w:szCs w:val="24"/>
          <w:highlight w:val="none"/>
          <w:lang w:bidi="ar"/>
        </w:rPr>
        <w:t>采购活动</w:t>
      </w:r>
      <w:r>
        <w:rPr>
          <w:rFonts w:hint="eastAsia" w:ascii="宋体" w:hAnsi="宋体" w:eastAsia="宋体" w:cs="宋体"/>
          <w:color w:val="auto"/>
          <w:sz w:val="24"/>
          <w:szCs w:val="24"/>
          <w:highlight w:val="none"/>
          <w:lang w:bidi="ar"/>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6F9F454C">
      <w:pPr>
        <w:spacing w:line="360" w:lineRule="auto"/>
        <w:ind w:firstLine="435"/>
        <w:rPr>
          <w:rFonts w:hint="eastAsia" w:hAnsi="宋体" w:eastAsia="宋体"/>
          <w:color w:val="auto"/>
          <w:sz w:val="24"/>
          <w:szCs w:val="24"/>
          <w:highlight w:val="none"/>
        </w:rPr>
      </w:pPr>
      <w:r>
        <w:rPr>
          <w:rFonts w:hint="eastAsia" w:ascii="宋体" w:hAnsi="宋体" w:eastAsia="宋体" w:cs="宋体"/>
          <w:color w:val="auto"/>
          <w:sz w:val="24"/>
          <w:szCs w:val="24"/>
          <w:highlight w:val="none"/>
          <w:lang w:bidi="ar"/>
        </w:rPr>
        <w:t>本授权书自出具之日起生效。</w:t>
      </w:r>
    </w:p>
    <w:p w14:paraId="1873BBBD">
      <w:pPr>
        <w:spacing w:line="360" w:lineRule="auto"/>
        <w:ind w:firstLine="435"/>
        <w:rPr>
          <w:rFonts w:hint="eastAsia" w:hAnsi="宋体" w:eastAsia="宋体"/>
          <w:color w:val="auto"/>
          <w:sz w:val="24"/>
          <w:szCs w:val="24"/>
          <w:highlight w:val="none"/>
        </w:rPr>
      </w:pPr>
      <w:r>
        <w:rPr>
          <w:rFonts w:hint="eastAsia" w:ascii="宋体" w:hAnsi="宋体" w:eastAsia="宋体" w:cs="宋体"/>
          <w:color w:val="auto"/>
          <w:sz w:val="24"/>
          <w:szCs w:val="24"/>
          <w:highlight w:val="none"/>
          <w:lang w:bidi="ar"/>
        </w:rPr>
        <w:t>授权代表身份证明扫描件：</w:t>
      </w:r>
    </w:p>
    <w:p w14:paraId="75749AFD">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4117E7B1">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463D368E">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60193B4D">
      <w:pPr>
        <w:spacing w:line="360" w:lineRule="auto"/>
        <w:ind w:firstLine="435"/>
        <w:rPr>
          <w:rFonts w:hint="eastAsia" w:hAnsi="宋体" w:eastAsia="宋体"/>
          <w:color w:val="auto"/>
          <w:sz w:val="24"/>
          <w:szCs w:val="24"/>
          <w:highlight w:val="none"/>
          <w:u w:val="single"/>
        </w:rPr>
      </w:pPr>
      <w:r>
        <w:rPr>
          <w:rFonts w:hint="eastAsia" w:ascii="宋体" w:hAnsi="宋体" w:eastAsia="宋体" w:cs="宋体"/>
          <w:color w:val="auto"/>
          <w:sz w:val="24"/>
          <w:szCs w:val="24"/>
          <w:highlight w:val="none"/>
          <w:lang w:bidi="ar"/>
        </w:rPr>
        <w:t>授权代表联系方式：</w:t>
      </w:r>
      <w:r>
        <w:rPr>
          <w:rFonts w:hint="eastAsia" w:hAnsi="宋体" w:eastAsia="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bidi="ar"/>
        </w:rPr>
        <w:t>（请填写手机号码）</w:t>
      </w:r>
    </w:p>
    <w:p w14:paraId="61A71A3B">
      <w:pPr>
        <w:spacing w:line="360" w:lineRule="auto"/>
        <w:ind w:firstLine="435"/>
        <w:rPr>
          <w:rFonts w:hint="eastAsia" w:hAnsi="宋体" w:eastAsia="宋体"/>
          <w:color w:val="auto"/>
          <w:sz w:val="24"/>
          <w:szCs w:val="24"/>
          <w:highlight w:val="none"/>
        </w:rPr>
      </w:pPr>
      <w:r>
        <w:rPr>
          <w:rFonts w:hAnsi="宋体" w:eastAsia="宋体"/>
          <w:color w:val="auto"/>
          <w:sz w:val="24"/>
          <w:szCs w:val="24"/>
          <w:highlight w:val="none"/>
          <w:lang w:bidi="ar"/>
        </w:rPr>
        <w:t xml:space="preserve"> </w:t>
      </w:r>
    </w:p>
    <w:p w14:paraId="042CEA36">
      <w:pPr>
        <w:spacing w:line="360" w:lineRule="auto"/>
        <w:ind w:firstLine="435"/>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特此声明。</w:t>
      </w:r>
    </w:p>
    <w:p w14:paraId="0F6F4D2F">
      <w:pPr>
        <w:spacing w:line="360" w:lineRule="auto"/>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250437D4">
      <w:pPr>
        <w:spacing w:line="360" w:lineRule="auto"/>
        <w:ind w:firstLine="435"/>
        <w:jc w:val="center"/>
        <w:rPr>
          <w:rFonts w:hint="eastAsia" w:ascii="宋体" w:hAnsi="宋体" w:eastAsia="宋体"/>
          <w:bCs/>
          <w:color w:val="auto"/>
          <w:sz w:val="24"/>
          <w:szCs w:val="24"/>
          <w:highlight w:val="none"/>
        </w:rPr>
      </w:pPr>
      <w:r>
        <w:rPr>
          <w:rFonts w:hint="eastAsia" w:ascii="宋体" w:hAnsi="宋体" w:eastAsia="宋体"/>
          <w:bCs/>
          <w:color w:val="auto"/>
          <w:sz w:val="24"/>
          <w:szCs w:val="24"/>
          <w:highlight w:val="none"/>
          <w:lang w:bidi="ar"/>
        </w:rPr>
        <w:t xml:space="preserve">                            </w:t>
      </w:r>
      <w:r>
        <w:rPr>
          <w:rFonts w:hint="eastAsia" w:ascii="宋体" w:hAnsi="宋体" w:eastAsia="宋体" w:cs="宋体"/>
          <w:bCs/>
          <w:color w:val="auto"/>
          <w:sz w:val="24"/>
          <w:szCs w:val="24"/>
          <w:highlight w:val="none"/>
          <w:lang w:bidi="ar"/>
        </w:rPr>
        <w:t>投标人电子签章：</w:t>
      </w:r>
      <w:r>
        <w:rPr>
          <w:rFonts w:hint="eastAsia" w:ascii="宋体" w:hAnsi="宋体" w:eastAsia="宋体"/>
          <w:bCs/>
          <w:color w:val="auto"/>
          <w:sz w:val="24"/>
          <w:szCs w:val="24"/>
          <w:highlight w:val="none"/>
          <w:u w:val="single"/>
          <w:lang w:bidi="ar"/>
        </w:rPr>
        <w:t xml:space="preserve">                    </w:t>
      </w:r>
    </w:p>
    <w:p w14:paraId="160201A9">
      <w:pPr>
        <w:spacing w:line="360" w:lineRule="auto"/>
        <w:ind w:firstLine="435"/>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b/>
          <w:bCs/>
          <w:color w:val="auto"/>
          <w:sz w:val="24"/>
          <w:szCs w:val="24"/>
          <w:highlight w:val="none"/>
          <w:u w:val="single"/>
          <w:lang w:bidi="ar"/>
        </w:rPr>
        <w:t xml:space="preserve">                    </w:t>
      </w:r>
    </w:p>
    <w:p w14:paraId="25A4925C">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5E8C5FB1">
      <w:pPr>
        <w:spacing w:line="360" w:lineRule="auto"/>
        <w:ind w:firstLine="435"/>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782E7632">
      <w:pPr>
        <w:spacing w:line="360" w:lineRule="auto"/>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注：</w:t>
      </w:r>
    </w:p>
    <w:p w14:paraId="1FB44E68">
      <w:pPr>
        <w:spacing w:line="360" w:lineRule="auto"/>
        <w:ind w:firstLine="435"/>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1.本项目只允许有唯一的投标人授权代表，提供身份证明扫描件；</w:t>
      </w:r>
    </w:p>
    <w:p w14:paraId="48C52D73">
      <w:pPr>
        <w:spacing w:line="360" w:lineRule="auto"/>
        <w:ind w:firstLine="435"/>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2.法定代表人参加投标的无需提供授权书，提供身份证明扫描件。</w:t>
      </w:r>
    </w:p>
    <w:p w14:paraId="77036CC1">
      <w:pPr>
        <w:spacing w:line="360" w:lineRule="auto"/>
        <w:jc w:val="center"/>
        <w:outlineLvl w:val="1"/>
        <w:rPr>
          <w:rFonts w:hint="eastAsia" w:asciiTheme="minorEastAsia" w:hAnsiTheme="minorEastAsia" w:eastAsiaTheme="minorEastAsia"/>
          <w:b/>
          <w:color w:val="auto"/>
          <w:sz w:val="24"/>
          <w:highlight w:val="none"/>
        </w:rPr>
      </w:pPr>
    </w:p>
    <w:p w14:paraId="79BD87CD">
      <w:pPr>
        <w:spacing w:line="360" w:lineRule="auto"/>
        <w:jc w:val="center"/>
        <w:outlineLvl w:val="1"/>
        <w:rPr>
          <w:rFonts w:hint="eastAsia" w:asciiTheme="minorEastAsia" w:hAnsiTheme="minorEastAsia" w:eastAsiaTheme="minorEastAsia"/>
          <w:b/>
          <w:color w:val="auto"/>
          <w:sz w:val="24"/>
          <w:highlight w:val="none"/>
        </w:rPr>
      </w:pPr>
    </w:p>
    <w:p w14:paraId="7B2C9296">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05DEFC91">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（3）诚信投标承诺书</w:t>
      </w:r>
    </w:p>
    <w:p w14:paraId="310D416A">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本人以企业法定代表人的身份郑重承诺：</w:t>
      </w:r>
    </w:p>
    <w:p w14:paraId="76AE8BC6">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一、将遵循公开、公正和诚实信用的原则自愿参加</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项目的磋商响应，所提供的一切材料都是真实、有效、合法的；</w:t>
      </w:r>
    </w:p>
    <w:p w14:paraId="7227AB90">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02024500">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三、不出借、转让资质证书，不让他人挂靠投标，不以他人名义投标或者以其他方式弄虚作假，骗取成交；</w:t>
      </w:r>
    </w:p>
    <w:p w14:paraId="076E3B17">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四、不与其他供应商相互串通响应报价，不排挤其他供应商的公平竞争、损害采购人的合法权益；</w:t>
      </w:r>
    </w:p>
    <w:p w14:paraId="1654BBA7">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五、不与采购人、采购代理机构或其他供应商串通响应，损害国家利益、社会公共利益或者他人的合法权益；</w:t>
      </w:r>
    </w:p>
    <w:p w14:paraId="29052E26">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六、</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或</w:t>
      </w:r>
      <w:r>
        <w:rPr>
          <w:rFonts w:hint="eastAsia" w:ascii="宋体" w:hAnsi="宋体" w:eastAsia="宋体" w:cs="宋体"/>
          <w:color w:val="auto"/>
          <w:kern w:val="2"/>
          <w:sz w:val="21"/>
          <w:szCs w:val="21"/>
          <w:highlight w:val="none"/>
          <w:u w:val="single"/>
          <w:lang w:val="en-US" w:eastAsia="zh-CN" w:bidi="ar"/>
        </w:rPr>
        <w:t xml:space="preserve">       （企业名称）</w:t>
      </w:r>
      <w:r>
        <w:rPr>
          <w:rFonts w:hint="eastAsia" w:ascii="宋体" w:hAnsi="宋体" w:eastAsia="宋体" w:cs="宋体"/>
          <w:color w:val="auto"/>
          <w:kern w:val="2"/>
          <w:sz w:val="21"/>
          <w:szCs w:val="21"/>
          <w:highlight w:val="none"/>
          <w:lang w:val="en-US" w:eastAsia="zh-CN" w:bidi="ar"/>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6B684095">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七、严格遵守会议现场纪律，服从监管人员管理；</w:t>
      </w:r>
    </w:p>
    <w:p w14:paraId="2C8A8165">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八、保证成交后不转包，若有分包征得采购人同意；</w:t>
      </w:r>
    </w:p>
    <w:p w14:paraId="0A50CB85">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九、保证成交之后，按照响应文件要求提供相关后续服务；</w:t>
      </w:r>
    </w:p>
    <w:p w14:paraId="114DCDE6">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十、保证企业及所属相关人员在本次响应中无行贿等犯罪行为；</w:t>
      </w:r>
    </w:p>
    <w:p w14:paraId="33EFD651">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3D7D4E5F">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以上内容我已仔细阅读，本公司若有违反承诺内容的行为，自愿接受取消投标或者中标（成交）资格、中标（成交）无效、记入不良行为记录等有关处理，愿意承担法律责任，给采购人人造成损失的，依法承担赔偿责任。</w:t>
      </w:r>
    </w:p>
    <w:p w14:paraId="103A4CF9">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785AB487">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7283A53E">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开户银行：                       基本账户：</w:t>
      </w:r>
    </w:p>
    <w:p w14:paraId="00B02B81">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供应商（签章）：                  法定代表人（签章）：</w:t>
      </w:r>
    </w:p>
    <w:p w14:paraId="3A2779D1">
      <w:pPr>
        <w:keepNext w:val="0"/>
        <w:keepLines w:val="0"/>
        <w:widowControl w:val="0"/>
        <w:suppressLineNumbers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623B390F">
      <w:pPr>
        <w:keepNext w:val="0"/>
        <w:keepLines w:val="0"/>
        <w:widowControl w:val="0"/>
        <w:suppressLineNumbers w:val="0"/>
        <w:spacing w:before="0" w:beforeAutospacing="0" w:after="0" w:afterAutospacing="0" w:line="560" w:lineRule="exact"/>
        <w:ind w:left="0" w:right="0"/>
        <w:jc w:val="right"/>
        <w:rPr>
          <w:rFonts w:hint="eastAsia" w:ascii="仿宋_GB2312" w:hAnsi="@仿宋_GB2312" w:eastAsia="仿宋_GB2312" w:cs="仿宋_GB2312"/>
          <w:color w:val="auto"/>
          <w:kern w:val="2"/>
          <w:sz w:val="32"/>
          <w:szCs w:val="32"/>
          <w:highlight w:val="none"/>
        </w:rPr>
      </w:pPr>
      <w:r>
        <w:rPr>
          <w:rFonts w:hint="eastAsia" w:ascii="宋体" w:hAnsi="宋体" w:eastAsia="宋体" w:cs="宋体"/>
          <w:color w:val="auto"/>
          <w:kern w:val="2"/>
          <w:sz w:val="21"/>
          <w:szCs w:val="21"/>
          <w:highlight w:val="none"/>
          <w:lang w:val="en-US" w:eastAsia="zh-CN" w:bidi="ar"/>
        </w:rPr>
        <w:t>日期：</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年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月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02CB73E0">
      <w:pPr>
        <w:spacing w:line="360" w:lineRule="auto"/>
        <w:jc w:val="center"/>
        <w:outlineLvl w:val="1"/>
        <w:rPr>
          <w:rFonts w:hint="eastAsia" w:asciiTheme="minorEastAsia" w:hAnsiTheme="minorEastAsia" w:eastAsiaTheme="minorEastAsia"/>
          <w:b/>
          <w:color w:val="auto"/>
          <w:sz w:val="24"/>
          <w:highlight w:val="none"/>
        </w:rPr>
      </w:pPr>
    </w:p>
    <w:p w14:paraId="0FDA486B">
      <w:pPr>
        <w:spacing w:line="360" w:lineRule="auto"/>
        <w:jc w:val="center"/>
        <w:outlineLvl w:val="1"/>
        <w:rPr>
          <w:rFonts w:hint="eastAsia" w:asciiTheme="minorEastAsia" w:hAnsiTheme="minorEastAsia" w:eastAsiaTheme="minorEastAsia"/>
          <w:b/>
          <w:color w:val="auto"/>
          <w:sz w:val="24"/>
          <w:highlight w:val="none"/>
        </w:rPr>
      </w:pPr>
    </w:p>
    <w:p w14:paraId="130B6B71">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bookmarkStart w:id="224" w:name="_Toc11594"/>
      <w:bookmarkStart w:id="225" w:name="_Toc9864"/>
    </w:p>
    <w:p w14:paraId="2F7EE88F">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5E83B2AB">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5C590638">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05779C28">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6AD63C56">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p w14:paraId="32C1448B">
      <w:pPr>
        <w:wordWrap w:val="0"/>
        <w:spacing w:line="400" w:lineRule="exact"/>
        <w:jc w:val="center"/>
        <w:outlineLvl w:val="1"/>
        <w:rPr>
          <w:rFonts w:hint="eastAsia" w:asciiTheme="minorEastAsia" w:hAnsiTheme="minorEastAsia" w:eastAsiaTheme="minorEastAsia"/>
          <w:b/>
          <w:color w:val="auto"/>
          <w:sz w:val="24"/>
          <w:highlight w:val="none"/>
          <w:lang w:val="en-US" w:eastAsia="zh-CN"/>
        </w:rPr>
      </w:pPr>
    </w:p>
    <w:bookmarkEnd w:id="224"/>
    <w:bookmarkEnd w:id="225"/>
    <w:p w14:paraId="39241AB5">
      <w:pPr>
        <w:jc w:val="both"/>
        <w:rPr>
          <w:rFonts w:hint="eastAsia" w:asciiTheme="minorEastAsia" w:hAnsiTheme="minorEastAsia" w:eastAsiaTheme="minorEastAsia"/>
          <w:b/>
          <w:color w:val="auto"/>
          <w:sz w:val="24"/>
          <w:highlight w:val="none"/>
        </w:rPr>
      </w:pPr>
    </w:p>
    <w:p w14:paraId="277E4C80">
      <w:pPr>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4</w:t>
      </w:r>
      <w:r>
        <w:rPr>
          <w:rFonts w:hint="eastAsia" w:asciiTheme="minorEastAsia" w:hAnsiTheme="minorEastAsia" w:eastAsiaTheme="minorEastAsia"/>
          <w:b/>
          <w:color w:val="auto"/>
          <w:sz w:val="24"/>
          <w:highlight w:val="none"/>
        </w:rPr>
        <w:t>）其他相关证明材料</w:t>
      </w:r>
    </w:p>
    <w:p w14:paraId="0E436C12">
      <w:pPr>
        <w:spacing w:line="360" w:lineRule="auto"/>
        <w:ind w:firstLine="435"/>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如有</w:t>
      </w:r>
      <w:r>
        <w:rPr>
          <w:rFonts w:asciiTheme="minorEastAsia" w:hAnsiTheme="minorEastAsia" w:eastAsiaTheme="minorEastAsia"/>
          <w:color w:val="auto"/>
          <w:sz w:val="24"/>
          <w:highlight w:val="none"/>
        </w:rPr>
        <w:t>。</w:t>
      </w:r>
    </w:p>
    <w:p w14:paraId="4ACC276D">
      <w:pP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br w:type="page"/>
      </w:r>
    </w:p>
    <w:p w14:paraId="7C1A9DD4">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二、技术标格式文件</w:t>
      </w:r>
    </w:p>
    <w:p w14:paraId="66DF8BCF">
      <w:pPr>
        <w:jc w:val="cente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268A70C0">
      <w:pP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30FA2F78">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3A8F11BC">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技术标</w:t>
      </w:r>
    </w:p>
    <w:p w14:paraId="4A273E48">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（投标文件二）</w:t>
      </w:r>
    </w:p>
    <w:p w14:paraId="5FBADD14">
      <w:pPr>
        <w:jc w:val="center"/>
        <w:rPr>
          <w:rFonts w:hint="eastAsia" w:ascii="宋体" w:hAnsi="宋体" w:eastAsia="宋体" w:cs="宋体"/>
          <w:color w:val="auto"/>
          <w:sz w:val="32"/>
          <w:szCs w:val="32"/>
          <w:highlight w:val="none"/>
          <w:u w:val="single"/>
        </w:rPr>
      </w:pPr>
    </w:p>
    <w:p w14:paraId="40D96D1C">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015B53E7">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EF8A1BC">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1502C3F6">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E1567F0">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6F37A986">
      <w:pPr>
        <w:jc w:val="center"/>
        <w:rPr>
          <w:rFonts w:hint="eastAsia" w:ascii="宋体" w:hAnsi="宋体" w:eastAsia="宋体" w:cs="宋体"/>
          <w:color w:val="auto"/>
          <w:sz w:val="28"/>
          <w:szCs w:val="28"/>
          <w:highlight w:val="none"/>
        </w:rPr>
      </w:pPr>
    </w:p>
    <w:p w14:paraId="08891B3B">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0612D2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460D8A5E">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856F2E0">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A0B76F8">
      <w:pPr>
        <w:autoSpaceDE w:val="0"/>
        <w:spacing w:line="360" w:lineRule="auto"/>
        <w:jc w:val="center"/>
        <w:rPr>
          <w:rFonts w:hint="eastAsia" w:ascii="宋体" w:hAnsi="宋体" w:eastAsia="宋体" w:cs="宋体"/>
          <w:color w:val="auto"/>
          <w:sz w:val="28"/>
          <w:szCs w:val="28"/>
          <w:highlight w:val="none"/>
          <w:lang w:bidi="ar"/>
        </w:rPr>
      </w:pPr>
    </w:p>
    <w:p w14:paraId="126A26E8">
      <w:pPr>
        <w:autoSpaceDE w:val="0"/>
        <w:spacing w:line="360" w:lineRule="auto"/>
        <w:jc w:val="center"/>
        <w:rPr>
          <w:rFonts w:hint="eastAsia" w:ascii="宋体" w:hAnsi="宋体" w:eastAsia="宋体" w:cs="宋体"/>
          <w:color w:val="auto"/>
          <w:sz w:val="28"/>
          <w:szCs w:val="28"/>
          <w:highlight w:val="none"/>
          <w:lang w:bidi="ar"/>
        </w:rPr>
      </w:pPr>
    </w:p>
    <w:p w14:paraId="0166B28C">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2A763E90">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4BA7199F">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26E82071">
      <w:pPr>
        <w:spacing w:line="360" w:lineRule="auto"/>
        <w:jc w:val="center"/>
        <w:outlineLvl w:val="1"/>
        <w:rPr>
          <w:rFonts w:hint="eastAsia" w:asciiTheme="minorEastAsia" w:hAnsiTheme="minorEastAsia" w:eastAsiaTheme="minorEastAsia"/>
          <w:b/>
          <w:color w:val="auto"/>
          <w:sz w:val="24"/>
          <w:highlight w:val="none"/>
        </w:rPr>
      </w:pPr>
    </w:p>
    <w:p w14:paraId="46B48F22">
      <w:pPr>
        <w:spacing w:line="360" w:lineRule="auto"/>
        <w:jc w:val="center"/>
        <w:outlineLvl w:val="1"/>
        <w:rPr>
          <w:rFonts w:hint="eastAsia" w:asciiTheme="minorEastAsia" w:hAnsiTheme="minorEastAsia" w:eastAsiaTheme="minorEastAsia"/>
          <w:b/>
          <w:color w:val="auto"/>
          <w:sz w:val="24"/>
          <w:highlight w:val="none"/>
        </w:rPr>
      </w:pPr>
    </w:p>
    <w:p w14:paraId="07BD3FF8">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目   录</w:t>
      </w:r>
    </w:p>
    <w:p w14:paraId="201EC188">
      <w:pPr>
        <w:spacing w:line="400" w:lineRule="exact"/>
        <w:ind w:firstLine="3744" w:firstLineChars="1036"/>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 xml:space="preserve"> </w:t>
      </w:r>
    </w:p>
    <w:p w14:paraId="06EBC369">
      <w:pPr>
        <w:spacing w:line="400" w:lineRule="exact"/>
        <w:ind w:firstLine="480" w:firstLineChars="200"/>
        <w:rPr>
          <w:rFonts w:hint="eastAsia" w:ascii="宋体" w:hAnsi="宋体" w:eastAsia="宋体" w:cs="宋体"/>
          <w:bCs/>
          <w:color w:val="auto"/>
          <w:sz w:val="24"/>
          <w:szCs w:val="24"/>
          <w:highlight w:val="none"/>
          <w:lang w:bidi="ar"/>
        </w:rPr>
      </w:pPr>
      <w:r>
        <w:rPr>
          <w:rFonts w:hint="eastAsia" w:cs="Times New Roman" w:asciiTheme="minorEastAsia" w:hAnsiTheme="minorEastAsia" w:eastAsiaTheme="minorEastAsia"/>
          <w:color w:val="auto"/>
          <w:sz w:val="24"/>
          <w:szCs w:val="24"/>
          <w:highlight w:val="none"/>
        </w:rPr>
        <w:t>（</w:t>
      </w:r>
      <w:r>
        <w:rPr>
          <w:rFonts w:hint="eastAsia" w:ascii="宋体" w:hAnsi="宋体" w:eastAsia="宋体" w:cs="宋体"/>
          <w:bCs/>
          <w:color w:val="auto"/>
          <w:sz w:val="24"/>
          <w:szCs w:val="24"/>
          <w:highlight w:val="none"/>
          <w:lang w:bidi="ar"/>
        </w:rPr>
        <w:t>1）投标响应表（格式见附件）；</w:t>
      </w:r>
    </w:p>
    <w:p w14:paraId="23B53514">
      <w:pPr>
        <w:spacing w:line="400" w:lineRule="exact"/>
        <w:ind w:firstLine="480" w:firstLineChars="20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（2）诚信履约承诺函（格式见附件）；</w:t>
      </w:r>
    </w:p>
    <w:p w14:paraId="45D492F2">
      <w:pPr>
        <w:spacing w:line="400" w:lineRule="exact"/>
        <w:ind w:firstLine="480" w:firstLineChars="20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（3）招标文件中要求的技术标评审及技术标评分的支持资料；</w:t>
      </w:r>
    </w:p>
    <w:p w14:paraId="4B1D6EE1">
      <w:pPr>
        <w:spacing w:line="400" w:lineRule="exact"/>
        <w:ind w:firstLine="480" w:firstLineChars="200"/>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（4）其他（如有）。</w:t>
      </w:r>
    </w:p>
    <w:p w14:paraId="3E584262">
      <w:pPr>
        <w:spacing w:line="400" w:lineRule="exact"/>
        <w:ind w:firstLine="480" w:firstLineChars="200"/>
        <w:rPr>
          <w:rFonts w:hint="eastAsia" w:ascii="宋体" w:hAnsi="宋体" w:eastAsia="宋体" w:cs="宋体"/>
          <w:bCs/>
          <w:color w:val="auto"/>
          <w:sz w:val="24"/>
          <w:szCs w:val="24"/>
          <w:highlight w:val="none"/>
          <w:lang w:bidi="ar"/>
        </w:rPr>
      </w:pPr>
    </w:p>
    <w:p w14:paraId="1CD6B3BC">
      <w:pPr>
        <w:spacing w:line="360" w:lineRule="auto"/>
        <w:jc w:val="center"/>
        <w:outlineLvl w:val="1"/>
        <w:rPr>
          <w:rFonts w:hint="eastAsia" w:asciiTheme="minorEastAsia" w:hAnsiTheme="minorEastAsia" w:eastAsiaTheme="minorEastAsia"/>
          <w:b/>
          <w:color w:val="auto"/>
          <w:sz w:val="24"/>
          <w:highlight w:val="none"/>
        </w:rPr>
      </w:pPr>
    </w:p>
    <w:p w14:paraId="5A7A7C3F">
      <w:pPr>
        <w:spacing w:line="360" w:lineRule="auto"/>
        <w:jc w:val="center"/>
        <w:outlineLvl w:val="1"/>
        <w:rPr>
          <w:rFonts w:hint="eastAsia" w:asciiTheme="minorEastAsia" w:hAnsiTheme="minorEastAsia" w:eastAsiaTheme="minorEastAsia"/>
          <w:b/>
          <w:color w:val="auto"/>
          <w:sz w:val="24"/>
          <w:highlight w:val="none"/>
        </w:rPr>
      </w:pPr>
    </w:p>
    <w:p w14:paraId="3B551D2C">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057D8956">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（1）投标响应表</w:t>
      </w:r>
    </w:p>
    <w:p w14:paraId="23BFE8DE">
      <w:pPr>
        <w:spacing w:line="360" w:lineRule="auto"/>
        <w:ind w:firstLine="435"/>
        <w:outlineLvl w:val="2"/>
        <w:rPr>
          <w:rFonts w:hint="eastAsia" w:ascii="宋体" w:hAnsi="宋体" w:eastAsia="宋体"/>
          <w:b/>
          <w:color w:val="auto"/>
          <w:sz w:val="24"/>
          <w:szCs w:val="24"/>
          <w:highlight w:val="none"/>
        </w:rPr>
      </w:pPr>
      <w:r>
        <w:rPr>
          <w:rFonts w:hint="eastAsia" w:ascii="宋体" w:hAnsi="宋体" w:eastAsia="宋体" w:cs="宋体"/>
          <w:b/>
          <w:color w:val="auto"/>
          <w:sz w:val="24"/>
          <w:szCs w:val="24"/>
          <w:highlight w:val="none"/>
          <w:lang w:bidi="ar"/>
        </w:rPr>
        <w:t>1</w:t>
      </w:r>
      <w:r>
        <w:rPr>
          <w:rFonts w:hint="eastAsia" w:ascii="宋体" w:hAnsi="宋体" w:eastAsia="宋体"/>
          <w:b/>
          <w:color w:val="auto"/>
          <w:sz w:val="24"/>
          <w:szCs w:val="24"/>
          <w:highlight w:val="none"/>
          <w:lang w:bidi="ar"/>
        </w:rPr>
        <w:t>.1</w:t>
      </w:r>
      <w:r>
        <w:rPr>
          <w:rFonts w:hint="eastAsia" w:ascii="宋体" w:hAnsi="宋体" w:eastAsia="宋体" w:cs="宋体"/>
          <w:b/>
          <w:color w:val="auto"/>
          <w:sz w:val="24"/>
          <w:szCs w:val="24"/>
          <w:highlight w:val="none"/>
          <w:lang w:bidi="ar"/>
        </w:rPr>
        <w:t>商务响应表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3F0C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C05AA26">
            <w:pPr>
              <w:pStyle w:val="28"/>
              <w:keepNext w:val="0"/>
              <w:keepLines w:val="0"/>
              <w:suppressLineNumbers w:val="0"/>
              <w:spacing w:before="0" w:beforeAutospacing="0" w:after="0" w:afterAutospacing="0"/>
              <w:ind w:left="0" w:right="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序号</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14:paraId="0DBDFC3C">
            <w:pPr>
              <w:pStyle w:val="28"/>
              <w:keepNext w:val="0"/>
              <w:keepLines w:val="0"/>
              <w:suppressLineNumbers w:val="0"/>
              <w:spacing w:before="0" w:beforeAutospacing="0" w:after="0" w:afterAutospacing="0"/>
              <w:ind w:left="0" w:right="0"/>
              <w:jc w:val="center"/>
              <w:rPr>
                <w:rFonts w:hint="eastAsia" w:ascii="宋体" w:hAnsi="宋体" w:eastAsia="宋体" w:cs="Wingdings"/>
                <w:b/>
                <w:color w:val="auto"/>
                <w:kern w:val="2"/>
                <w:szCs w:val="24"/>
                <w:highlight w:val="none"/>
              </w:rPr>
            </w:pPr>
            <w:r>
              <w:rPr>
                <w:rFonts w:hint="eastAsia" w:ascii="宋体" w:hAnsi="宋体" w:eastAsia="宋体" w:cs="宋体"/>
                <w:b/>
                <w:bCs/>
                <w:color w:val="auto"/>
                <w:kern w:val="2"/>
                <w:szCs w:val="24"/>
                <w:highlight w:val="none"/>
                <w:lang w:bidi="ar"/>
              </w:rPr>
              <w:t>商务条款</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2C3380B2">
            <w:pPr>
              <w:pStyle w:val="28"/>
              <w:keepNext w:val="0"/>
              <w:keepLines w:val="0"/>
              <w:suppressLineNumbers w:val="0"/>
              <w:spacing w:before="0" w:beforeAutospacing="0" w:after="0" w:afterAutospacing="0"/>
              <w:ind w:left="0" w:right="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招标文件要求</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D99C3E7">
            <w:pPr>
              <w:pStyle w:val="28"/>
              <w:keepNext w:val="0"/>
              <w:keepLines w:val="0"/>
              <w:suppressLineNumbers w:val="0"/>
              <w:spacing w:before="0" w:beforeAutospacing="0" w:after="0" w:afterAutospacing="0"/>
              <w:ind w:left="0" w:right="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投标人承诺</w:t>
            </w: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7FF0CEE0">
            <w:pPr>
              <w:pStyle w:val="28"/>
              <w:keepNext w:val="0"/>
              <w:keepLines w:val="0"/>
              <w:suppressLineNumbers w:val="0"/>
              <w:spacing w:before="0" w:beforeAutospacing="0" w:after="0" w:afterAutospacing="0"/>
              <w:ind w:left="0" w:right="0"/>
              <w:jc w:val="center"/>
              <w:rPr>
                <w:rFonts w:hint="eastAsia" w:ascii="宋体" w:hAnsi="宋体" w:eastAsia="宋体" w:cs="Wingdings"/>
                <w:b/>
                <w:color w:val="auto"/>
                <w:kern w:val="2"/>
                <w:szCs w:val="24"/>
                <w:highlight w:val="none"/>
              </w:rPr>
            </w:pPr>
            <w:r>
              <w:rPr>
                <w:rFonts w:hint="eastAsia" w:ascii="宋体" w:hAnsi="宋体" w:eastAsia="宋体" w:cs="宋体"/>
                <w:b/>
                <w:color w:val="auto"/>
                <w:kern w:val="2"/>
                <w:szCs w:val="24"/>
                <w:highlight w:val="none"/>
                <w:lang w:bidi="ar"/>
              </w:rPr>
              <w:t>偏离说明</w:t>
            </w:r>
          </w:p>
        </w:tc>
      </w:tr>
      <w:tr w14:paraId="24FC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6D1F72EF">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default" w:asciiTheme="minorEastAsia" w:hAnsiTheme="minorEastAsia" w:eastAsiaTheme="minorEastAsia"/>
                <w:color w:val="auto"/>
                <w:sz w:val="24"/>
                <w:szCs w:val="20"/>
                <w:highlight w:val="none"/>
              </w:rPr>
              <w:t>1</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1F4D2DC3">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default" w:asciiTheme="minorEastAsia" w:hAnsiTheme="minorEastAsia" w:eastAsiaTheme="minorEastAsia"/>
                <w:color w:val="auto"/>
                <w:sz w:val="24"/>
                <w:szCs w:val="20"/>
                <w:highlight w:val="none"/>
              </w:rPr>
              <w:t>付款方式</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771A4E4F">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47FF1638">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38D4F081">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r>
      <w:tr w14:paraId="3839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748F0DE0">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eastAsia" w:asciiTheme="minorEastAsia" w:hAnsiTheme="minorEastAsia" w:eastAsiaTheme="minorEastAsia"/>
                <w:color w:val="auto"/>
                <w:sz w:val="24"/>
                <w:szCs w:val="20"/>
                <w:highlight w:val="none"/>
              </w:rPr>
              <w:t>2</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5A9BFC4D">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eastAsia" w:ascii="宋体" w:hAnsi="宋体" w:eastAsia="宋体"/>
                <w:color w:val="auto"/>
                <w:sz w:val="24"/>
                <w:szCs w:val="20"/>
                <w:highlight w:val="none"/>
              </w:rPr>
              <w:t>服务地点</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3453A29F">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6FFBADA3">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12DC4E36">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r>
      <w:tr w14:paraId="32FD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4DA3456E">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eastAsia" w:asciiTheme="minorEastAsia" w:hAnsiTheme="minorEastAsia" w:eastAsiaTheme="minorEastAsia"/>
                <w:color w:val="auto"/>
                <w:sz w:val="24"/>
                <w:szCs w:val="20"/>
                <w:highlight w:val="none"/>
              </w:rPr>
              <w:t>3</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48AA58F4">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eastAsia" w:ascii="宋体" w:hAnsi="宋体" w:eastAsia="宋体"/>
                <w:color w:val="auto"/>
                <w:sz w:val="24"/>
                <w:szCs w:val="20"/>
                <w:highlight w:val="none"/>
              </w:rPr>
              <w:t>服务期限</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5FC49894">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7C92F4D0">
            <w:pPr>
              <w:pStyle w:val="28"/>
              <w:keepNext w:val="0"/>
              <w:keepLines w:val="0"/>
              <w:suppressLineNumbers w:val="0"/>
              <w:spacing w:before="0" w:beforeAutospacing="0" w:after="0" w:afterAutospacing="0"/>
              <w:ind w:left="0" w:right="0"/>
              <w:jc w:val="center"/>
              <w:rPr>
                <w:rFonts w:hint="eastAsia" w:ascii="宋体" w:hAnsi="宋体" w:eastAsia="宋体" w:cs="Arial"/>
                <w:color w:val="auto"/>
                <w:kern w:val="2"/>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03D5CB41">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r>
      <w:tr w14:paraId="2658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3" w:type="dxa"/>
            <w:tcBorders>
              <w:top w:val="single" w:color="auto" w:sz="4" w:space="0"/>
              <w:left w:val="single" w:color="auto" w:sz="4" w:space="0"/>
              <w:bottom w:val="single" w:color="auto" w:sz="4" w:space="0"/>
              <w:right w:val="single" w:color="auto" w:sz="4" w:space="0"/>
            </w:tcBorders>
            <w:shd w:val="clear" w:color="auto" w:fill="auto"/>
            <w:vAlign w:val="center"/>
          </w:tcPr>
          <w:p w14:paraId="0660E998">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eastAsia" w:asciiTheme="minorEastAsia" w:hAnsiTheme="minorEastAsia" w:eastAsiaTheme="minorEastAsia"/>
                <w:color w:val="auto"/>
                <w:sz w:val="24"/>
                <w:szCs w:val="20"/>
                <w:highlight w:val="none"/>
              </w:rPr>
              <w:t>4</w:t>
            </w:r>
          </w:p>
        </w:tc>
        <w:tc>
          <w:tcPr>
            <w:tcW w:w="2102" w:type="dxa"/>
            <w:tcBorders>
              <w:top w:val="single" w:color="auto" w:sz="4" w:space="0"/>
              <w:left w:val="single" w:color="auto" w:sz="4" w:space="0"/>
              <w:bottom w:val="single" w:color="auto" w:sz="4" w:space="0"/>
              <w:right w:val="single" w:color="auto" w:sz="4" w:space="0"/>
            </w:tcBorders>
            <w:shd w:val="clear" w:color="auto" w:fill="auto"/>
            <w:vAlign w:val="center"/>
          </w:tcPr>
          <w:p w14:paraId="0E9B422B">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default" w:asciiTheme="minorEastAsia" w:hAnsiTheme="minorEastAsia" w:eastAsiaTheme="minorEastAsia"/>
                <w:color w:val="auto"/>
                <w:sz w:val="24"/>
                <w:szCs w:val="20"/>
                <w:highlight w:val="none"/>
              </w:rPr>
              <w:t>“</w:t>
            </w:r>
            <w:r>
              <w:rPr>
                <w:rFonts w:hint="eastAsia" w:asciiTheme="minorEastAsia" w:hAnsiTheme="minorEastAsia" w:eastAsiaTheme="minorEastAsia"/>
                <w:color w:val="auto"/>
                <w:sz w:val="24"/>
                <w:szCs w:val="20"/>
                <w:highlight w:val="none"/>
              </w:rPr>
              <w:t>采购</w:t>
            </w:r>
            <w:r>
              <w:rPr>
                <w:rFonts w:hint="default" w:asciiTheme="minorEastAsia" w:hAnsiTheme="minorEastAsia" w:eastAsiaTheme="minorEastAsia"/>
                <w:color w:val="auto"/>
                <w:sz w:val="24"/>
                <w:szCs w:val="20"/>
                <w:highlight w:val="none"/>
              </w:rPr>
              <w:t>需求”所列的所有内容</w:t>
            </w: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2580D0C0">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6A5A776E">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4413D7AE">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r>
      <w:tr w14:paraId="1E95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6D153E8">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r>
              <w:rPr>
                <w:rFonts w:hint="eastAsia" w:ascii="宋体" w:hAnsi="宋体" w:eastAsia="宋体" w:cs="宋体"/>
                <w:color w:val="auto"/>
                <w:sz w:val="24"/>
                <w:szCs w:val="24"/>
                <w:highlight w:val="none"/>
                <w:lang w:bidi="ar"/>
              </w:rPr>
              <w:t>…</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14:paraId="640A6835">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1465" w:type="pct"/>
            <w:tcBorders>
              <w:top w:val="single" w:color="auto" w:sz="4" w:space="0"/>
              <w:left w:val="single" w:color="auto" w:sz="4" w:space="0"/>
              <w:bottom w:val="single" w:color="auto" w:sz="4" w:space="0"/>
              <w:right w:val="single" w:color="auto" w:sz="4" w:space="0"/>
            </w:tcBorders>
            <w:shd w:val="clear" w:color="auto" w:fill="auto"/>
            <w:vAlign w:val="center"/>
          </w:tcPr>
          <w:p w14:paraId="318E2D82">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F65ED4C">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c>
          <w:tcPr>
            <w:tcW w:w="475" w:type="pct"/>
            <w:tcBorders>
              <w:top w:val="single" w:color="auto" w:sz="4" w:space="0"/>
              <w:left w:val="single" w:color="auto" w:sz="4" w:space="0"/>
              <w:bottom w:val="single" w:color="auto" w:sz="4" w:space="0"/>
              <w:right w:val="single" w:color="auto" w:sz="4" w:space="0"/>
            </w:tcBorders>
            <w:shd w:val="clear" w:color="auto" w:fill="auto"/>
            <w:vAlign w:val="center"/>
          </w:tcPr>
          <w:p w14:paraId="255E36AE">
            <w:pPr>
              <w:keepNext w:val="0"/>
              <w:keepLines w:val="0"/>
              <w:suppressLineNumbers w:val="0"/>
              <w:spacing w:before="0" w:beforeAutospacing="0" w:after="0" w:afterAutospacing="0"/>
              <w:ind w:left="0" w:right="0"/>
              <w:jc w:val="center"/>
              <w:rPr>
                <w:rFonts w:hint="eastAsia" w:ascii="宋体" w:hAnsi="宋体" w:eastAsia="宋体"/>
                <w:color w:val="auto"/>
                <w:sz w:val="24"/>
                <w:szCs w:val="24"/>
                <w:highlight w:val="none"/>
              </w:rPr>
            </w:pPr>
          </w:p>
        </w:tc>
      </w:tr>
    </w:tbl>
    <w:p w14:paraId="4A385B25">
      <w:pPr>
        <w:spacing w:line="360" w:lineRule="auto"/>
        <w:ind w:firstLine="4800" w:firstLineChars="2000"/>
        <w:rPr>
          <w:rFonts w:hint="eastAsia" w:ascii="宋体" w:hAnsi="宋体" w:eastAsia="宋体" w:cs="宋体"/>
          <w:color w:val="auto"/>
          <w:sz w:val="24"/>
          <w:szCs w:val="24"/>
          <w:highlight w:val="none"/>
          <w:lang w:bidi="ar"/>
        </w:rPr>
      </w:pPr>
    </w:p>
    <w:p w14:paraId="50572A1E">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olor w:val="auto"/>
          <w:sz w:val="24"/>
          <w:szCs w:val="24"/>
          <w:highlight w:val="none"/>
          <w:u w:val="single"/>
          <w:lang w:bidi="ar"/>
        </w:rPr>
        <w:t xml:space="preserve">             </w:t>
      </w:r>
    </w:p>
    <w:p w14:paraId="22500C78">
      <w:pPr>
        <w:spacing w:line="360" w:lineRule="auto"/>
        <w:ind w:firstLine="4800" w:firstLineChars="2000"/>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color w:val="auto"/>
          <w:sz w:val="24"/>
          <w:szCs w:val="24"/>
          <w:highlight w:val="none"/>
          <w:u w:val="single"/>
          <w:lang w:bidi="ar"/>
        </w:rPr>
        <w:t xml:space="preserve">             </w:t>
      </w:r>
    </w:p>
    <w:p w14:paraId="71D3FA45">
      <w:pPr>
        <w:spacing w:line="360" w:lineRule="auto"/>
        <w:jc w:val="center"/>
        <w:outlineLvl w:val="1"/>
        <w:rPr>
          <w:rFonts w:hint="eastAsia" w:asciiTheme="minorEastAsia" w:hAnsiTheme="minorEastAsia" w:eastAsiaTheme="minorEastAsia"/>
          <w:b/>
          <w:color w:val="auto"/>
          <w:sz w:val="24"/>
          <w:highlight w:val="none"/>
        </w:rPr>
      </w:pPr>
    </w:p>
    <w:p w14:paraId="639E16D0">
      <w:pPr>
        <w:spacing w:line="360" w:lineRule="auto"/>
        <w:jc w:val="center"/>
        <w:outlineLvl w:val="1"/>
        <w:rPr>
          <w:rFonts w:hint="eastAsia" w:asciiTheme="minorEastAsia" w:hAnsiTheme="minorEastAsia" w:eastAsiaTheme="minorEastAsia"/>
          <w:b/>
          <w:color w:val="auto"/>
          <w:sz w:val="24"/>
          <w:highlight w:val="none"/>
        </w:rPr>
      </w:pPr>
    </w:p>
    <w:p w14:paraId="0A55141C">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21E719A3">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（2）诚信履约承诺函</w:t>
      </w:r>
    </w:p>
    <w:p w14:paraId="6C05067A">
      <w:pPr>
        <w:spacing w:line="360" w:lineRule="auto"/>
        <w:rPr>
          <w:rFonts w:hint="eastAsia" w:ascii="宋体" w:hAnsi="宋体" w:eastAsia="宋体"/>
          <w:b/>
          <w:bCs/>
          <w:color w:val="auto"/>
          <w:sz w:val="24"/>
          <w:szCs w:val="24"/>
          <w:highlight w:val="none"/>
        </w:rPr>
      </w:pPr>
    </w:p>
    <w:p w14:paraId="7E4C5DD2">
      <w:pPr>
        <w:spacing w:line="360" w:lineRule="auto"/>
        <w:rPr>
          <w:rFonts w:hint="eastAsia" w:ascii="宋体" w:hAnsi="宋体" w:eastAsia="宋体"/>
          <w:b/>
          <w:bCs/>
          <w:color w:val="auto"/>
          <w:sz w:val="24"/>
          <w:szCs w:val="24"/>
          <w:highlight w:val="none"/>
          <w:u w:val="single"/>
        </w:rPr>
      </w:pPr>
      <w:r>
        <w:rPr>
          <w:rFonts w:hint="eastAsia" w:ascii="宋体" w:hAnsi="宋体" w:eastAsia="宋体" w:cs="宋体"/>
          <w:b/>
          <w:bCs/>
          <w:color w:val="auto"/>
          <w:sz w:val="24"/>
          <w:szCs w:val="24"/>
          <w:highlight w:val="none"/>
          <w:lang w:bidi="ar"/>
        </w:rPr>
        <w:t>致：采购人</w:t>
      </w:r>
    </w:p>
    <w:p w14:paraId="2FFF136C">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27E51B98">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（1）中标或者成交后无正当理由拒不与采购人签订政府采购合同；</w:t>
      </w:r>
    </w:p>
    <w:p w14:paraId="6F8C0E8D">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（2）未按照采购文件确定的事项签订政府采购合同；</w:t>
      </w:r>
    </w:p>
    <w:p w14:paraId="3644073E">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（3）将政府采购合同转包；</w:t>
      </w:r>
    </w:p>
    <w:p w14:paraId="08986B61">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（4）提供假冒伪劣产品；</w:t>
      </w:r>
    </w:p>
    <w:p w14:paraId="2F9DE62F">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（5）擅自变更、中止或者终止政府采购合同。</w:t>
      </w:r>
    </w:p>
    <w:p w14:paraId="3CE972E1">
      <w:pPr>
        <w:spacing w:line="360" w:lineRule="auto"/>
        <w:ind w:firstLine="480" w:firstLineChars="2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8EB330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本承诺声明：</w:t>
      </w:r>
      <w:r>
        <w:rPr>
          <w:rFonts w:hint="eastAsia" w:ascii="宋体" w:hAnsi="宋体" w:eastAsia="宋体" w:cs="宋体"/>
          <w:bCs/>
          <w:color w:val="auto"/>
          <w:sz w:val="24"/>
          <w:szCs w:val="24"/>
          <w:highlight w:val="none"/>
          <w:u w:val="single"/>
          <w:lang w:bidi="ar"/>
        </w:rPr>
        <w:t xml:space="preserve">                   （投标人名称）</w:t>
      </w:r>
      <w:r>
        <w:rPr>
          <w:rFonts w:hint="eastAsia" w:ascii="宋体" w:hAnsi="宋体" w:eastAsia="宋体" w:cs="宋体"/>
          <w:bCs/>
          <w:color w:val="auto"/>
          <w:sz w:val="24"/>
          <w:szCs w:val="24"/>
          <w:highlight w:val="none"/>
          <w:lang w:bidi="ar"/>
        </w:rPr>
        <w:t>对本招标文件的相关要求完全响应</w:t>
      </w:r>
      <w:r>
        <w:rPr>
          <w:rFonts w:hint="eastAsia" w:asciiTheme="minorEastAsia" w:hAnsiTheme="minorEastAsia" w:eastAsiaTheme="minorEastAsia"/>
          <w:bCs/>
          <w:color w:val="auto"/>
          <w:sz w:val="24"/>
          <w:highlight w:val="none"/>
        </w:rPr>
        <w:t>。配备人员数量</w:t>
      </w: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rPr>
        <w:t>设备</w:t>
      </w:r>
      <w:r>
        <w:rPr>
          <w:rFonts w:hint="eastAsia" w:asciiTheme="minorEastAsia" w:hAnsiTheme="minorEastAsia" w:eastAsiaTheme="minorEastAsia"/>
          <w:bCs/>
          <w:color w:val="auto"/>
          <w:sz w:val="24"/>
          <w:highlight w:val="none"/>
          <w:lang w:val="en-US" w:eastAsia="zh-CN"/>
        </w:rPr>
        <w:t>数量和采购生产资料数量均</w:t>
      </w:r>
      <w:r>
        <w:rPr>
          <w:rFonts w:hint="eastAsia" w:asciiTheme="minorEastAsia" w:hAnsiTheme="minorEastAsia" w:eastAsiaTheme="minorEastAsia"/>
          <w:bCs/>
          <w:color w:val="auto"/>
          <w:sz w:val="24"/>
          <w:highlight w:val="none"/>
        </w:rPr>
        <w:t>不低于采购需求的要求。若有幸中标将严格按照以上承诺进行服务。</w:t>
      </w:r>
    </w:p>
    <w:p w14:paraId="389D3455">
      <w:pPr>
        <w:spacing w:line="360" w:lineRule="auto"/>
        <w:ind w:firstLine="4320" w:firstLineChars="1800"/>
        <w:rPr>
          <w:rFonts w:hint="eastAsia" w:ascii="宋体" w:hAnsi="宋体" w:eastAsia="宋体" w:cs="宋体"/>
          <w:bCs/>
          <w:color w:val="auto"/>
          <w:sz w:val="24"/>
          <w:szCs w:val="24"/>
          <w:highlight w:val="none"/>
          <w:lang w:bidi="ar"/>
        </w:rPr>
      </w:pPr>
    </w:p>
    <w:p w14:paraId="381A53D9">
      <w:pPr>
        <w:spacing w:line="360" w:lineRule="auto"/>
        <w:ind w:firstLine="4320" w:firstLineChars="1800"/>
        <w:rPr>
          <w:rFonts w:hint="eastAsia" w:ascii="宋体" w:hAnsi="宋体" w:eastAsia="宋体"/>
          <w:bCs/>
          <w:color w:val="auto"/>
          <w:sz w:val="24"/>
          <w:szCs w:val="24"/>
          <w:highlight w:val="none"/>
          <w:u w:val="single"/>
        </w:rPr>
      </w:pPr>
      <w:r>
        <w:rPr>
          <w:rFonts w:hint="eastAsia" w:ascii="宋体" w:hAnsi="宋体" w:eastAsia="宋体" w:cs="宋体"/>
          <w:bCs/>
          <w:color w:val="auto"/>
          <w:sz w:val="24"/>
          <w:szCs w:val="24"/>
          <w:highlight w:val="none"/>
          <w:lang w:bidi="ar"/>
        </w:rPr>
        <w:t>投标人电子签章：</w:t>
      </w:r>
      <w:r>
        <w:rPr>
          <w:rFonts w:hint="eastAsia" w:ascii="宋体" w:hAnsi="宋体" w:eastAsia="宋体"/>
          <w:bCs/>
          <w:color w:val="auto"/>
          <w:sz w:val="24"/>
          <w:szCs w:val="24"/>
          <w:highlight w:val="none"/>
          <w:u w:val="single"/>
          <w:lang w:bidi="ar"/>
        </w:rPr>
        <w:t xml:space="preserve">             </w:t>
      </w:r>
    </w:p>
    <w:p w14:paraId="62C599E8">
      <w:pPr>
        <w:spacing w:line="360" w:lineRule="auto"/>
        <w:ind w:firstLine="4320" w:firstLineChars="1800"/>
        <w:rPr>
          <w:rFonts w:hint="eastAsia" w:ascii="宋体" w:hAnsi="宋体" w:eastAsia="宋体"/>
          <w:bCs/>
          <w:color w:val="auto"/>
          <w:sz w:val="24"/>
          <w:szCs w:val="24"/>
          <w:highlight w:val="none"/>
        </w:rPr>
      </w:pPr>
      <w:r>
        <w:rPr>
          <w:rFonts w:hint="eastAsia" w:ascii="宋体" w:hAnsi="宋体" w:eastAsia="宋体" w:cs="宋体"/>
          <w:bCs/>
          <w:color w:val="auto"/>
          <w:sz w:val="24"/>
          <w:szCs w:val="24"/>
          <w:highlight w:val="none"/>
          <w:lang w:bidi="ar"/>
        </w:rPr>
        <w:t>日</w:t>
      </w:r>
      <w:r>
        <w:rPr>
          <w:rFonts w:hint="eastAsia" w:ascii="宋体" w:hAnsi="宋体" w:eastAsia="宋体"/>
          <w:bCs/>
          <w:color w:val="auto"/>
          <w:sz w:val="24"/>
          <w:szCs w:val="24"/>
          <w:highlight w:val="none"/>
          <w:lang w:bidi="ar"/>
        </w:rPr>
        <w:t xml:space="preserve">          </w:t>
      </w:r>
      <w:r>
        <w:rPr>
          <w:rFonts w:hint="eastAsia" w:ascii="宋体" w:hAnsi="宋体" w:eastAsia="宋体" w:cs="宋体"/>
          <w:bCs/>
          <w:color w:val="auto"/>
          <w:sz w:val="24"/>
          <w:szCs w:val="24"/>
          <w:highlight w:val="none"/>
          <w:lang w:bidi="ar"/>
        </w:rPr>
        <w:t>期：</w:t>
      </w:r>
      <w:r>
        <w:rPr>
          <w:rFonts w:hint="eastAsia" w:ascii="宋体" w:hAnsi="宋体" w:eastAsia="宋体"/>
          <w:bCs/>
          <w:color w:val="auto"/>
          <w:sz w:val="24"/>
          <w:szCs w:val="24"/>
          <w:highlight w:val="none"/>
          <w:u w:val="single"/>
          <w:lang w:bidi="ar"/>
        </w:rPr>
        <w:t xml:space="preserve">             </w:t>
      </w:r>
    </w:p>
    <w:p w14:paraId="6FFC7DA7">
      <w:pPr>
        <w:spacing w:line="360" w:lineRule="auto"/>
        <w:jc w:val="center"/>
        <w:outlineLvl w:val="1"/>
        <w:rPr>
          <w:rFonts w:hint="eastAsia" w:asciiTheme="minorEastAsia" w:hAnsiTheme="minorEastAsia" w:eastAsiaTheme="minorEastAsia"/>
          <w:b/>
          <w:color w:val="auto"/>
          <w:sz w:val="24"/>
          <w:highlight w:val="none"/>
        </w:rPr>
      </w:pPr>
    </w:p>
    <w:p w14:paraId="5C5BF110">
      <w:pPr>
        <w:spacing w:line="360" w:lineRule="auto"/>
        <w:jc w:val="center"/>
        <w:outlineLvl w:val="1"/>
        <w:rPr>
          <w:rFonts w:hint="eastAsia" w:asciiTheme="minorEastAsia" w:hAnsiTheme="minorEastAsia" w:eastAsiaTheme="minorEastAsia"/>
          <w:b/>
          <w:color w:val="auto"/>
          <w:sz w:val="24"/>
          <w:highlight w:val="none"/>
        </w:rPr>
      </w:pPr>
    </w:p>
    <w:p w14:paraId="5220282D">
      <w:pP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br w:type="page"/>
      </w:r>
    </w:p>
    <w:p w14:paraId="189A9BDF">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bidi="ar"/>
        </w:rPr>
        <w:t>三、商务标格式文件</w:t>
      </w:r>
    </w:p>
    <w:p w14:paraId="3318C44C">
      <w:pPr>
        <w:jc w:val="cente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00796989">
      <w:pPr>
        <w:rPr>
          <w:rFonts w:hint="eastAsia" w:ascii="黑体" w:hAnsi="宋体" w:eastAsia="黑体" w:cs="黑体"/>
          <w:color w:val="auto"/>
          <w:sz w:val="20"/>
          <w:highlight w:val="none"/>
        </w:rPr>
      </w:pPr>
      <w:r>
        <w:rPr>
          <w:rFonts w:hint="eastAsia" w:ascii="黑体" w:hAnsi="宋体" w:eastAsia="黑体" w:cs="黑体"/>
          <w:color w:val="auto"/>
          <w:sz w:val="20"/>
          <w:highlight w:val="none"/>
          <w:lang w:bidi="ar"/>
        </w:rPr>
        <w:t xml:space="preserve"> </w:t>
      </w:r>
    </w:p>
    <w:p w14:paraId="5D907497">
      <w:pPr>
        <w:jc w:val="center"/>
        <w:rPr>
          <w:rFonts w:hint="eastAsia" w:ascii="宋体" w:hAnsi="宋体" w:eastAsia="宋体" w:cs="宋体"/>
          <w:b/>
          <w:color w:val="auto"/>
          <w:sz w:val="44"/>
          <w:szCs w:val="44"/>
          <w:highlight w:val="none"/>
        </w:rPr>
      </w:pPr>
    </w:p>
    <w:p w14:paraId="3EBAFF2F">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29CBB439">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商务标</w:t>
      </w:r>
    </w:p>
    <w:p w14:paraId="60545F3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bidi="ar"/>
        </w:rPr>
        <w:t>（投标文件三）</w:t>
      </w:r>
    </w:p>
    <w:p w14:paraId="5BE86DC7">
      <w:pPr>
        <w:jc w:val="center"/>
        <w:rPr>
          <w:rFonts w:hint="eastAsia" w:ascii="宋体" w:hAnsi="宋体" w:eastAsia="宋体" w:cs="宋体"/>
          <w:color w:val="auto"/>
          <w:sz w:val="32"/>
          <w:szCs w:val="32"/>
          <w:highlight w:val="none"/>
          <w:u w:val="single"/>
        </w:rPr>
      </w:pPr>
    </w:p>
    <w:p w14:paraId="21415E4D">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single"/>
          <w:lang w:bidi="ar"/>
        </w:rPr>
        <w:t xml:space="preserve">        </w:t>
      </w:r>
      <w:r>
        <w:rPr>
          <w:rFonts w:hint="eastAsia" w:ascii="宋体" w:hAnsi="宋体" w:eastAsia="宋体" w:cs="宋体"/>
          <w:color w:val="auto"/>
          <w:sz w:val="32"/>
          <w:szCs w:val="32"/>
          <w:highlight w:val="none"/>
          <w:lang w:bidi="ar"/>
        </w:rPr>
        <w:t>项目</w:t>
      </w:r>
    </w:p>
    <w:p w14:paraId="1BF5EEBB">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532275D1">
      <w:pPr>
        <w:jc w:val="center"/>
        <w:rPr>
          <w:rFonts w:hint="eastAsia" w:ascii="宋体" w:hAnsi="宋体" w:eastAsia="宋体" w:cs="宋体"/>
          <w:color w:val="auto"/>
          <w:sz w:val="44"/>
          <w:szCs w:val="44"/>
          <w:highlight w:val="none"/>
        </w:rPr>
      </w:pPr>
      <w:r>
        <w:rPr>
          <w:rFonts w:hint="eastAsia" w:ascii="宋体" w:hAnsi="宋体" w:eastAsia="宋体" w:cs="宋体"/>
          <w:color w:val="auto"/>
          <w:sz w:val="28"/>
          <w:szCs w:val="28"/>
          <w:highlight w:val="none"/>
          <w:lang w:bidi="ar"/>
        </w:rPr>
        <w:t>项目编号：</w:t>
      </w:r>
      <w:r>
        <w:rPr>
          <w:rFonts w:hint="eastAsia" w:ascii="宋体" w:hAnsi="宋体" w:eastAsia="宋体" w:cs="宋体"/>
          <w:color w:val="auto"/>
          <w:sz w:val="28"/>
          <w:szCs w:val="28"/>
          <w:highlight w:val="none"/>
          <w:u w:val="single"/>
          <w:lang w:bidi="ar"/>
        </w:rPr>
        <w:t xml:space="preserve">     </w:t>
      </w:r>
    </w:p>
    <w:p w14:paraId="6992FC0F">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1448768">
      <w:pPr>
        <w:rPr>
          <w:rFonts w:hint="eastAsia" w:ascii="宋体" w:hAnsi="宋体" w:eastAsia="宋体" w:cs="宋体"/>
          <w:color w:val="auto"/>
          <w:sz w:val="28"/>
          <w:szCs w:val="28"/>
          <w:highlight w:val="none"/>
        </w:rPr>
      </w:pPr>
    </w:p>
    <w:p w14:paraId="25EA398C">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247FAB9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0D0D4FCD">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1CD9F5DF">
      <w:pPr>
        <w:jc w:val="center"/>
        <w:rPr>
          <w:rFonts w:hint="eastAsia" w:ascii="宋体" w:hAnsi="宋体" w:eastAsia="宋体" w:cs="宋体"/>
          <w:color w:val="auto"/>
          <w:sz w:val="28"/>
          <w:szCs w:val="28"/>
          <w:highlight w:val="none"/>
          <w:lang w:bidi="ar"/>
        </w:rPr>
      </w:pPr>
    </w:p>
    <w:p w14:paraId="00C8C742">
      <w:pPr>
        <w:jc w:val="center"/>
        <w:rPr>
          <w:rFonts w:hint="eastAsia" w:ascii="宋体" w:hAnsi="宋体" w:eastAsia="宋体" w:cs="宋体"/>
          <w:color w:val="auto"/>
          <w:sz w:val="28"/>
          <w:szCs w:val="28"/>
          <w:highlight w:val="none"/>
        </w:rPr>
      </w:pPr>
    </w:p>
    <w:p w14:paraId="6DE012B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 xml:space="preserve"> </w:t>
      </w:r>
    </w:p>
    <w:p w14:paraId="397A1180">
      <w:pPr>
        <w:autoSpaceDE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bidi="ar"/>
        </w:rPr>
        <w:t>投标人：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7B0532E4">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bidi="ar"/>
        </w:rPr>
        <w:t>法定代表人：</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（签章）</w:t>
      </w:r>
    </w:p>
    <w:p w14:paraId="79B41769">
      <w:pPr>
        <w:autoSpaceDE w:val="0"/>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年</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月</w:t>
      </w:r>
      <w:r>
        <w:rPr>
          <w:rFonts w:hint="eastAsia" w:ascii="宋体" w:hAnsi="宋体" w:eastAsia="宋体" w:cs="宋体"/>
          <w:color w:val="auto"/>
          <w:sz w:val="28"/>
          <w:szCs w:val="28"/>
          <w:highlight w:val="none"/>
          <w:u w:val="single"/>
          <w:lang w:bidi="ar"/>
        </w:rPr>
        <w:t xml:space="preserve">        </w:t>
      </w:r>
      <w:r>
        <w:rPr>
          <w:rFonts w:hint="eastAsia" w:ascii="宋体" w:hAnsi="宋体" w:eastAsia="宋体" w:cs="宋体"/>
          <w:color w:val="auto"/>
          <w:sz w:val="28"/>
          <w:szCs w:val="28"/>
          <w:highlight w:val="none"/>
          <w:lang w:bidi="ar"/>
        </w:rPr>
        <w:t>日</w:t>
      </w:r>
    </w:p>
    <w:p w14:paraId="4908628A">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540A442F">
      <w:pPr>
        <w:spacing w:line="400" w:lineRule="exact"/>
        <w:ind w:firstLine="3379" w:firstLineChars="935"/>
        <w:jc w:val="left"/>
        <w:rPr>
          <w:rFonts w:hint="eastAsia" w:ascii="宋体" w:hAnsi="宋体" w:eastAsia="宋体" w:cs="宋体"/>
          <w:b/>
          <w:color w:val="auto"/>
          <w:sz w:val="36"/>
          <w:szCs w:val="36"/>
          <w:highlight w:val="none"/>
          <w:lang w:bidi="ar"/>
        </w:rPr>
      </w:pPr>
    </w:p>
    <w:p w14:paraId="1C340C82">
      <w:pPr>
        <w:spacing w:line="400" w:lineRule="exact"/>
        <w:ind w:firstLine="3379" w:firstLineChars="935"/>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lang w:bidi="ar"/>
        </w:rPr>
        <w:t>目   录</w:t>
      </w:r>
    </w:p>
    <w:p w14:paraId="4CB1890A">
      <w:pPr>
        <w:spacing w:line="400" w:lineRule="exact"/>
        <w:ind w:firstLine="4130" w:firstLineChars="935"/>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bidi="ar"/>
        </w:rPr>
        <w:t xml:space="preserve"> </w:t>
      </w:r>
    </w:p>
    <w:p w14:paraId="5797DC82">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（1）开标一览表（格式见附件）；</w:t>
      </w:r>
    </w:p>
    <w:p w14:paraId="60B4D7DA">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（2）投标函（格式见附件）；</w:t>
      </w:r>
    </w:p>
    <w:p w14:paraId="7E79E104">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（3）中小企业声明函，残疾人福利性企业（格式见附件）（如是）；</w:t>
      </w:r>
    </w:p>
    <w:p w14:paraId="0C96846A">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）省级以上监狱管理局、戒毒管理局（含新疆生产建设兵团）出具的属于监狱企业的证明（如是）；</w:t>
      </w:r>
    </w:p>
    <w:p w14:paraId="48B224FA">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招标文件商务评审中要求提供的其他相关资料；</w:t>
      </w:r>
    </w:p>
    <w:p w14:paraId="01ADD590">
      <w:pPr>
        <w:spacing w:line="440" w:lineRule="exact"/>
        <w:ind w:left="420"/>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）其他（如有）。</w:t>
      </w:r>
    </w:p>
    <w:p w14:paraId="36F99C0D">
      <w:pPr>
        <w:spacing w:line="440" w:lineRule="exact"/>
        <w:ind w:left="420"/>
        <w:rPr>
          <w:rFonts w:hint="eastAsia" w:ascii="宋体" w:hAnsi="宋体" w:eastAsia="宋体" w:cs="宋体"/>
          <w:color w:val="auto"/>
          <w:szCs w:val="21"/>
          <w:highlight w:val="none"/>
          <w:lang w:bidi="ar"/>
        </w:rPr>
      </w:pPr>
    </w:p>
    <w:p w14:paraId="201A28BD">
      <w:pPr>
        <w:spacing w:line="360" w:lineRule="auto"/>
        <w:jc w:val="center"/>
        <w:outlineLvl w:val="1"/>
        <w:rPr>
          <w:rFonts w:hint="eastAsia" w:asciiTheme="minorEastAsia" w:hAnsiTheme="minorEastAsia" w:eastAsiaTheme="minorEastAsia"/>
          <w:b/>
          <w:color w:val="auto"/>
          <w:sz w:val="24"/>
          <w:highlight w:val="none"/>
        </w:rPr>
      </w:pPr>
    </w:p>
    <w:p w14:paraId="723FA2B8">
      <w:pPr>
        <w:spacing w:line="360" w:lineRule="auto"/>
        <w:ind w:firstLine="482" w:firstLineChars="200"/>
        <w:rPr>
          <w:rFonts w:hint="eastAsia" w:ascii="宋体" w:hAnsi="宋体" w:eastAsia="宋体" w:cs="宋体"/>
          <w:color w:val="auto"/>
          <w:szCs w:val="21"/>
          <w:highlight w:val="none"/>
        </w:rPr>
      </w:pPr>
      <w:r>
        <w:rPr>
          <w:rFonts w:hint="eastAsia" w:asciiTheme="minorEastAsia" w:hAnsiTheme="minorEastAsia" w:eastAsiaTheme="minorEastAsia"/>
          <w:b/>
          <w:color w:val="auto"/>
          <w:sz w:val="24"/>
          <w:highlight w:val="none"/>
        </w:rPr>
        <w:br w:type="page"/>
      </w:r>
    </w:p>
    <w:p w14:paraId="3A75A003">
      <w:pPr>
        <w:rPr>
          <w:rFonts w:hint="eastAsia" w:asciiTheme="minorEastAsia" w:hAnsiTheme="minorEastAsia" w:eastAsiaTheme="minorEastAsia"/>
          <w:b/>
          <w:color w:val="auto"/>
          <w:sz w:val="24"/>
          <w:highlight w:val="none"/>
        </w:rPr>
      </w:pPr>
    </w:p>
    <w:p w14:paraId="33453FA1">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（1）开标一览表</w:t>
      </w:r>
      <w:bookmarkEnd w:id="222"/>
      <w:bookmarkEnd w:id="223"/>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6218"/>
      </w:tblGrid>
      <w:tr w14:paraId="6224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352" w:type="pct"/>
            <w:tcBorders>
              <w:top w:val="single" w:color="auto" w:sz="4" w:space="0"/>
              <w:bottom w:val="single" w:color="auto" w:sz="4" w:space="0"/>
              <w:right w:val="single" w:color="auto" w:sz="4" w:space="0"/>
            </w:tcBorders>
            <w:vAlign w:val="center"/>
          </w:tcPr>
          <w:p w14:paraId="6F6FB831">
            <w:pPr>
              <w:keepNext w:val="0"/>
              <w:keepLines w:val="0"/>
              <w:widowControl/>
              <w:suppressLineNumbers w:val="0"/>
              <w:spacing w:before="0" w:beforeAutospacing="0" w:after="0" w:afterAutospacing="0" w:line="360" w:lineRule="exact"/>
              <w:ind w:left="0" w:right="0"/>
              <w:jc w:val="center"/>
              <w:rPr>
                <w:rFonts w:hint="eastAsia"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项目名称</w:t>
            </w:r>
          </w:p>
        </w:tc>
        <w:tc>
          <w:tcPr>
            <w:tcW w:w="3648" w:type="pct"/>
            <w:tcBorders>
              <w:top w:val="single" w:color="auto" w:sz="4" w:space="0"/>
              <w:bottom w:val="single" w:color="auto" w:sz="4" w:space="0"/>
              <w:right w:val="single" w:color="auto" w:sz="4" w:space="0"/>
            </w:tcBorders>
            <w:vAlign w:val="center"/>
          </w:tcPr>
          <w:p w14:paraId="5295560F">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bCs/>
                <w:color w:val="auto"/>
                <w:sz w:val="24"/>
                <w:szCs w:val="20"/>
                <w:highlight w:val="none"/>
                <w:u w:val="single"/>
              </w:rPr>
            </w:pPr>
          </w:p>
        </w:tc>
      </w:tr>
      <w:tr w14:paraId="18EF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36ED581E">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投标人全称</w:t>
            </w:r>
          </w:p>
        </w:tc>
        <w:tc>
          <w:tcPr>
            <w:tcW w:w="3648" w:type="pct"/>
            <w:tcBorders>
              <w:top w:val="nil"/>
            </w:tcBorders>
            <w:vAlign w:val="center"/>
          </w:tcPr>
          <w:p w14:paraId="7C9EF527">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olor w:val="auto"/>
                <w:sz w:val="24"/>
                <w:szCs w:val="20"/>
                <w:highlight w:val="none"/>
              </w:rPr>
            </w:pPr>
          </w:p>
        </w:tc>
      </w:tr>
      <w:tr w14:paraId="13D1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1352" w:type="pct"/>
            <w:tcBorders>
              <w:top w:val="nil"/>
            </w:tcBorders>
            <w:vAlign w:val="center"/>
          </w:tcPr>
          <w:p w14:paraId="09C37F29">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投标范围</w:t>
            </w:r>
          </w:p>
        </w:tc>
        <w:tc>
          <w:tcPr>
            <w:tcW w:w="3648" w:type="pct"/>
            <w:tcBorders>
              <w:top w:val="nil"/>
            </w:tcBorders>
            <w:vAlign w:val="center"/>
          </w:tcPr>
          <w:p w14:paraId="03BF8AA4">
            <w:pPr>
              <w:keepNext w:val="0"/>
              <w:keepLines w:val="0"/>
              <w:widowControl/>
              <w:suppressLineNumbers w:val="0"/>
              <w:spacing w:before="0" w:beforeAutospacing="0" w:after="0" w:afterAutospacing="0" w:line="360" w:lineRule="auto"/>
              <w:ind w:left="0" w:right="0"/>
              <w:rPr>
                <w:rFonts w:hint="eastAsia" w:asciiTheme="minorEastAsia" w:hAnsiTheme="minorEastAsia" w:eastAsiaTheme="minorEastAsia"/>
                <w:color w:val="auto"/>
                <w:sz w:val="24"/>
                <w:szCs w:val="20"/>
                <w:highlight w:val="none"/>
              </w:rPr>
            </w:pPr>
            <w:r>
              <w:rPr>
                <w:rFonts w:hint="eastAsia" w:ascii="宋体" w:hAnsi="宋体" w:eastAsia="宋体" w:cs="宋体"/>
                <w:color w:val="auto"/>
                <w:sz w:val="24"/>
                <w:szCs w:val="28"/>
                <w:highlight w:val="none"/>
              </w:rPr>
              <w:t>全部</w:t>
            </w:r>
          </w:p>
        </w:tc>
      </w:tr>
      <w:tr w14:paraId="4962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352" w:type="pct"/>
            <w:tcBorders>
              <w:top w:val="nil"/>
            </w:tcBorders>
            <w:vAlign w:val="center"/>
          </w:tcPr>
          <w:p w14:paraId="5B005258">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投标报价</w:t>
            </w:r>
          </w:p>
        </w:tc>
        <w:tc>
          <w:tcPr>
            <w:tcW w:w="3648" w:type="pct"/>
            <w:tcBorders>
              <w:top w:val="nil"/>
            </w:tcBorders>
            <w:vAlign w:val="center"/>
          </w:tcPr>
          <w:p w14:paraId="6007C3C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440" w:lineRule="exact"/>
              <w:ind w:left="0" w:right="0"/>
              <w:jc w:val="left"/>
              <w:textAlignment w:val="auto"/>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75ED348E">
            <w:pPr>
              <w:keepNext w:val="0"/>
              <w:keepLines w:val="0"/>
              <w:suppressLineNumbers w:val="0"/>
              <w:spacing w:before="0" w:beforeAutospacing="0" w:after="0" w:afterAutospacing="0" w:line="360" w:lineRule="auto"/>
              <w:ind w:left="0" w:right="-670"/>
              <w:rPr>
                <w:rFonts w:hint="eastAsia" w:asciiTheme="minorEastAsia" w:hAnsiTheme="minorEastAsia" w:eastAsiaTheme="minorEastAsia"/>
                <w:color w:val="auto"/>
                <w:sz w:val="24"/>
                <w:szCs w:val="20"/>
                <w:highlight w:val="none"/>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p>
        </w:tc>
      </w:tr>
      <w:tr w14:paraId="322D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2" w:type="pct"/>
            <w:tcBorders>
              <w:top w:val="nil"/>
            </w:tcBorders>
            <w:vAlign w:val="center"/>
          </w:tcPr>
          <w:p w14:paraId="42EC671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sz w:val="24"/>
                <w:szCs w:val="20"/>
                <w:highlight w:val="none"/>
              </w:rPr>
              <w:t>其他</w:t>
            </w:r>
          </w:p>
        </w:tc>
        <w:tc>
          <w:tcPr>
            <w:tcW w:w="3648" w:type="pct"/>
            <w:tcBorders>
              <w:top w:val="nil"/>
            </w:tcBorders>
            <w:vAlign w:val="center"/>
          </w:tcPr>
          <w:p w14:paraId="1088E84B">
            <w:pPr>
              <w:keepNext w:val="0"/>
              <w:keepLines w:val="0"/>
              <w:suppressLineNumbers w:val="0"/>
              <w:spacing w:before="0" w:beforeAutospacing="0" w:after="0" w:afterAutospacing="0" w:line="360" w:lineRule="auto"/>
              <w:ind w:left="0" w:right="0"/>
              <w:jc w:val="left"/>
              <w:rPr>
                <w:rFonts w:hint="eastAsia" w:asciiTheme="minorEastAsia" w:hAnsiTheme="minorEastAsia" w:eastAsiaTheme="minorEastAsia"/>
                <w:color w:val="auto"/>
                <w:sz w:val="24"/>
                <w:szCs w:val="28"/>
                <w:highlight w:val="none"/>
                <w:lang w:val="en-US" w:eastAsia="zh-CN"/>
              </w:rPr>
            </w:pPr>
          </w:p>
        </w:tc>
      </w:tr>
    </w:tbl>
    <w:p w14:paraId="07655563">
      <w:pPr>
        <w:spacing w:line="360" w:lineRule="auto"/>
        <w:ind w:firstLine="4800" w:firstLineChars="2000"/>
        <w:rPr>
          <w:rFonts w:hint="eastAsia" w:ascii="宋体" w:hAnsi="宋体" w:eastAsia="宋体"/>
          <w:color w:val="auto"/>
          <w:sz w:val="24"/>
          <w:highlight w:val="none"/>
        </w:rPr>
      </w:pPr>
    </w:p>
    <w:p w14:paraId="2A66F7B3">
      <w:pPr>
        <w:spacing w:line="360" w:lineRule="auto"/>
        <w:ind w:firstLine="4800" w:firstLineChars="2000"/>
        <w:rPr>
          <w:rFonts w:hint="eastAsia"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2D007962">
      <w:pPr>
        <w:tabs>
          <w:tab w:val="left" w:pos="630"/>
        </w:tabs>
        <w:spacing w:line="360" w:lineRule="auto"/>
        <w:ind w:firstLine="4800" w:firstLineChars="2000"/>
        <w:rPr>
          <w:rFonts w:hint="eastAsia" w:asciiTheme="minorEastAsia" w:hAnsiTheme="minorEastAsia" w:eastAsiaTheme="minorEastAsia"/>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1BBC913A">
      <w:pPr>
        <w:spacing w:line="360" w:lineRule="auto"/>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注：</w:t>
      </w:r>
    </w:p>
    <w:p w14:paraId="1855BB79">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696792B8">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41F6E806">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3.表中大写金额与小写金额不一致的，以大写金额为准。</w:t>
      </w:r>
      <w:r>
        <w:rPr>
          <w:rFonts w:asciiTheme="minorEastAsia" w:hAnsiTheme="minorEastAsia" w:eastAsiaTheme="minorEastAsia"/>
          <w:color w:val="auto"/>
          <w:sz w:val="24"/>
          <w:highlight w:val="none"/>
        </w:rPr>
        <w:br w:type="page"/>
      </w:r>
    </w:p>
    <w:p w14:paraId="0FD882F1">
      <w:pPr>
        <w:spacing w:line="360" w:lineRule="auto"/>
        <w:jc w:val="center"/>
        <w:outlineLvl w:val="1"/>
        <w:rPr>
          <w:rFonts w:hint="eastAsia" w:asciiTheme="minorEastAsia" w:hAnsiTheme="minorEastAsia" w:eastAsiaTheme="minorEastAsia"/>
          <w:b/>
          <w:color w:val="auto"/>
          <w:sz w:val="24"/>
          <w:highlight w:val="none"/>
        </w:rPr>
      </w:pPr>
      <w:bookmarkStart w:id="226" w:name="_Toc6441"/>
      <w:bookmarkStart w:id="227" w:name="_Toc6120"/>
      <w:r>
        <w:rPr>
          <w:rFonts w:hint="eastAsia" w:asciiTheme="minorEastAsia" w:hAnsiTheme="minorEastAsia" w:eastAsiaTheme="minorEastAsia"/>
          <w:b/>
          <w:color w:val="auto"/>
          <w:sz w:val="24"/>
          <w:highlight w:val="none"/>
        </w:rPr>
        <w:t>（2）投标函</w:t>
      </w:r>
      <w:bookmarkEnd w:id="226"/>
      <w:bookmarkEnd w:id="227"/>
    </w:p>
    <w:p w14:paraId="29B249EE">
      <w:pPr>
        <w:pStyle w:val="21"/>
        <w:spacing w:line="360" w:lineRule="auto"/>
        <w:rPr>
          <w:rFonts w:hint="eastAsia" w:ascii="宋体" w:hAnsi="宋体"/>
          <w:color w:val="auto"/>
          <w:sz w:val="24"/>
          <w:highlight w:val="none"/>
          <w:u w:val="single"/>
        </w:rPr>
      </w:pPr>
      <w:r>
        <w:rPr>
          <w:rFonts w:hint="eastAsia" w:ascii="宋体" w:hAnsi="宋体"/>
          <w:color w:val="auto"/>
          <w:sz w:val="24"/>
          <w:highlight w:val="none"/>
        </w:rPr>
        <w:t>致：</w:t>
      </w:r>
      <w:r>
        <w:rPr>
          <w:rFonts w:hint="eastAsia" w:ascii="宋体" w:hAnsi="宋体"/>
          <w:color w:val="auto"/>
          <w:sz w:val="24"/>
          <w:highlight w:val="none"/>
          <w:u w:val="single"/>
        </w:rPr>
        <w:t>采购人</w:t>
      </w:r>
    </w:p>
    <w:p w14:paraId="5CB8662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4F05420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666B1FEA">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2.我方已详细审核全部招标文件，包括招标文件附件及更正公告（如有），我方正式认可并遵守本次招标文件，并对招标文件各项条款、规定及要求均无异议。</w:t>
      </w:r>
    </w:p>
    <w:p w14:paraId="555FB962">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3.我方同意从招标文件规定的开标日期起遵循本招标文件，并在招标文件规定的投标有效期之前均具有约束力。</w:t>
      </w:r>
    </w:p>
    <w:p w14:paraId="3090AA4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我方声明投标文件所提供的一切资料均真实无误、及时、有效，企业运营正常。由于我方提供资料不实而造成的责任和后果由我方承担。我方同意按照贵方提出的要求，提供与投标有关的任何证据、数据或资料。</w:t>
      </w:r>
    </w:p>
    <w:p w14:paraId="4E6D6EAC">
      <w:pPr>
        <w:spacing w:line="360" w:lineRule="auto"/>
        <w:ind w:firstLine="4800" w:firstLineChars="2000"/>
        <w:rPr>
          <w:rFonts w:hint="eastAsia" w:ascii="宋体" w:hAnsi="宋体" w:eastAsia="宋体"/>
          <w:color w:val="auto"/>
          <w:sz w:val="24"/>
          <w:highlight w:val="none"/>
        </w:rPr>
      </w:pPr>
    </w:p>
    <w:p w14:paraId="48DD59F1">
      <w:pPr>
        <w:spacing w:line="360" w:lineRule="auto"/>
        <w:ind w:firstLine="4800" w:firstLineChars="2000"/>
        <w:rPr>
          <w:rFonts w:hint="eastAsia"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0A4FB4D5">
      <w:pPr>
        <w:spacing w:line="360" w:lineRule="auto"/>
        <w:jc w:val="center"/>
        <w:outlineLvl w:val="1"/>
        <w:rPr>
          <w:rFonts w:hint="eastAsia" w:asciiTheme="minorEastAsia" w:hAnsiTheme="minorEastAsia" w:eastAsiaTheme="minorEastAsia"/>
          <w:b/>
          <w:color w:val="auto"/>
          <w:sz w:val="24"/>
          <w:highlight w:val="none"/>
        </w:rPr>
      </w:pPr>
    </w:p>
    <w:p w14:paraId="4FBBB2F2">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10DC8F3D">
      <w:pPr>
        <w:keepNext w:val="0"/>
        <w:keepLines w:val="0"/>
        <w:pageBreakBefore w:val="0"/>
        <w:widowControl w:val="0"/>
        <w:kinsoku/>
        <w:wordWrap/>
        <w:overflowPunct/>
        <w:topLinePunct w:val="0"/>
        <w:autoSpaceDN/>
        <w:bidi w:val="0"/>
        <w:adjustRightInd/>
        <w:snapToGrid/>
        <w:spacing w:beforeAutospacing="0" w:line="240" w:lineRule="auto"/>
        <w:jc w:val="center"/>
        <w:textAlignment w:val="auto"/>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3</w:t>
      </w:r>
      <w:r>
        <w:rPr>
          <w:rFonts w:hint="eastAsia" w:asciiTheme="minorEastAsia" w:hAnsiTheme="minorEastAsia" w:eastAsiaTheme="minorEastAsia"/>
          <w:b/>
          <w:color w:val="auto"/>
          <w:sz w:val="24"/>
          <w:highlight w:val="none"/>
        </w:rPr>
        <w:t>）中小企业声明函</w:t>
      </w:r>
    </w:p>
    <w:p w14:paraId="392812BF">
      <w:pPr>
        <w:pStyle w:val="28"/>
        <w:keepNext w:val="0"/>
        <w:keepLines w:val="0"/>
        <w:pageBreakBefore w:val="0"/>
        <w:widowControl w:val="0"/>
        <w:suppressLineNumbers w:val="0"/>
        <w:kinsoku/>
        <w:wordWrap/>
        <w:overflowPunct/>
        <w:topLinePunct w:val="0"/>
        <w:autoSpaceDE w:val="0"/>
        <w:autoSpaceDN/>
        <w:bidi w:val="0"/>
        <w:adjustRightInd/>
        <w:snapToGrid/>
        <w:spacing w:before="0" w:beforeAutospacing="0" w:after="120" w:afterAutospacing="0" w:line="240" w:lineRule="auto"/>
        <w:ind w:left="0" w:right="0"/>
        <w:jc w:val="center"/>
        <w:textAlignment w:val="auto"/>
        <w:rPr>
          <w:rFonts w:hint="eastAsia" w:ascii="宋体" w:hAnsi="宋体" w:eastAsia="宋体" w:cs="@微软简标宋"/>
          <w:b w:val="0"/>
          <w:i/>
          <w:iCs w:val="0"/>
          <w:color w:val="auto"/>
          <w:kern w:val="2"/>
          <w:sz w:val="24"/>
          <w:szCs w:val="24"/>
          <w:highlight w:val="none"/>
        </w:rPr>
      </w:pPr>
      <w:r>
        <w:rPr>
          <w:rFonts w:hint="eastAsia" w:ascii="宋体" w:hAnsi="宋体" w:eastAsia="宋体"/>
          <w:color w:val="auto"/>
          <w:sz w:val="24"/>
          <w:szCs w:val="24"/>
          <w:highlight w:val="none"/>
          <w:lang w:bidi="ar"/>
        </w:rPr>
        <w:t xml:space="preserve"> </w:t>
      </w:r>
      <w:r>
        <w:rPr>
          <w:rFonts w:hint="eastAsia" w:ascii="宋体" w:hAnsi="宋体" w:eastAsia="宋体" w:cs="宋体"/>
          <w:b w:val="0"/>
          <w:i/>
          <w:iCs w:val="0"/>
          <w:color w:val="auto"/>
          <w:kern w:val="2"/>
          <w:sz w:val="24"/>
          <w:szCs w:val="24"/>
          <w:highlight w:val="none"/>
          <w:lang w:val="en-US" w:eastAsia="zh-CN" w:bidi="ar"/>
        </w:rPr>
        <w:t>（非中小企业投标，不需此件，请删去“中小企业声明函”）</w:t>
      </w:r>
    </w:p>
    <w:p w14:paraId="70672417">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u w:val="single"/>
        </w:rPr>
        <w:t>单位名称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rPr>
        <w:t>名称</w:t>
      </w:r>
      <w:r>
        <w:rPr>
          <w:rFonts w:hint="eastAsia" w:ascii="宋体" w:hAnsi="宋体" w:eastAsia="宋体"/>
          <w:color w:val="auto"/>
          <w:sz w:val="24"/>
          <w:szCs w:val="24"/>
          <w:highlight w:val="none"/>
          <w:u w:val="single"/>
          <w:lang w:val="zh-CN"/>
        </w:rPr>
        <w:t>）</w:t>
      </w:r>
      <w:r>
        <w:rPr>
          <w:rFonts w:hint="eastAsia" w:ascii="宋体" w:hAnsi="宋体" w:eastAsia="宋体"/>
          <w:color w:val="auto"/>
          <w:sz w:val="24"/>
          <w:szCs w:val="24"/>
          <w:highlight w:val="none"/>
          <w:lang w:val="zh-CN"/>
        </w:rPr>
        <w:t xml:space="preserve">采购活动，服务全部由符合政策要求的中小企业承接。相关企业（含联合体中的中小企业、签订分包意向协议的中小企业）的具体情况如下： </w:t>
      </w:r>
    </w:p>
    <w:p w14:paraId="13DEBF29">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48368648">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314EAA1F">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5F2A9CF5">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7F10DEE5">
      <w:pPr>
        <w:spacing w:line="360" w:lineRule="auto"/>
        <w:ind w:firstLine="435"/>
        <w:rPr>
          <w:rFonts w:hint="eastAsia"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148AE17B">
      <w:pPr>
        <w:spacing w:line="360" w:lineRule="auto"/>
        <w:ind w:firstLine="4228" w:firstLineChars="1762"/>
        <w:rPr>
          <w:rFonts w:hint="eastAsia"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供应商</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6AA3C7E7">
      <w:pPr>
        <w:tabs>
          <w:tab w:val="left" w:pos="4620"/>
        </w:tabs>
        <w:spacing w:line="360" w:lineRule="auto"/>
        <w:ind w:firstLine="4252" w:firstLineChars="1772"/>
        <w:rPr>
          <w:rFonts w:hint="eastAsia"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0AD6B17C">
      <w:pPr>
        <w:spacing w:line="360" w:lineRule="auto"/>
        <w:jc w:val="left"/>
        <w:rPr>
          <w:rFonts w:hint="eastAsia" w:ascii="宋体" w:hAnsi="宋体" w:eastAsia="宋体"/>
          <w:b/>
          <w:color w:val="auto"/>
          <w:szCs w:val="21"/>
          <w:highlight w:val="none"/>
        </w:rPr>
      </w:pPr>
      <w:r>
        <w:rPr>
          <w:rFonts w:hint="eastAsia" w:ascii="宋体" w:hAnsi="宋体" w:eastAsia="宋体" w:cs="宋体"/>
          <w:b/>
          <w:color w:val="auto"/>
          <w:szCs w:val="21"/>
          <w:highlight w:val="none"/>
          <w:lang w:bidi="ar"/>
        </w:rPr>
        <w:t>注：</w:t>
      </w:r>
    </w:p>
    <w:p w14:paraId="780686B3">
      <w:pPr>
        <w:spacing w:line="360" w:lineRule="auto"/>
        <w:jc w:val="left"/>
        <w:rPr>
          <w:rFonts w:hint="eastAsia" w:ascii="宋体" w:hAnsi="宋体" w:eastAsia="宋体"/>
          <w:color w:val="auto"/>
          <w:szCs w:val="21"/>
          <w:highlight w:val="none"/>
        </w:rPr>
      </w:pPr>
      <w:r>
        <w:rPr>
          <w:rFonts w:hint="eastAsia" w:ascii="宋体" w:hAnsi="宋体" w:eastAsia="宋体"/>
          <w:color w:val="auto"/>
          <w:szCs w:val="21"/>
          <w:highlight w:val="none"/>
          <w:lang w:bidi="ar"/>
        </w:rPr>
        <w:t>1.从业人员、营业收入、资产总额填报上一年数据，无上一年数据的新成立企业可不填报。</w:t>
      </w:r>
    </w:p>
    <w:p w14:paraId="2766BA86">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2.投标人应根据《政府采购促进中小企业发展管理办法》（财库﹝2020﹞46号）和《关于印发中小企业划型标准规定的通知》(工信部联企业〔2011〕300号)相关规定，如实填写中小企业声明函。如有虚假，将依法承担相应责任。投标人自行登录工业和信息化部官网进行中小企业规模类型自测（查询网址https://www.miit.gov.cn/）。</w:t>
      </w:r>
    </w:p>
    <w:p w14:paraId="50061E98">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3.上述“</w:t>
      </w:r>
      <w:r>
        <w:rPr>
          <w:rFonts w:hint="eastAsia" w:ascii="宋体" w:hAnsi="宋体" w:eastAsia="宋体" w:cs="宋体"/>
          <w:b/>
          <w:bCs/>
          <w:color w:val="auto"/>
          <w:szCs w:val="21"/>
          <w:highlight w:val="none"/>
          <w:u w:val="single"/>
          <w:lang w:bidi="ar"/>
        </w:rPr>
        <w:t>标的名称</w:t>
      </w:r>
      <w:r>
        <w:rPr>
          <w:rFonts w:hint="eastAsia" w:ascii="宋体" w:hAnsi="宋体" w:eastAsia="宋体" w:cs="宋体"/>
          <w:b/>
          <w:bCs/>
          <w:color w:val="auto"/>
          <w:szCs w:val="21"/>
          <w:highlight w:val="none"/>
          <w:lang w:bidi="ar"/>
        </w:rPr>
        <w:t>”，详见第三章采购需求中明确的“货物名称”。</w:t>
      </w:r>
    </w:p>
    <w:p w14:paraId="51829DFB">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4.上述“</w:t>
      </w:r>
      <w:r>
        <w:rPr>
          <w:rFonts w:hint="eastAsia" w:ascii="宋体" w:hAnsi="宋体" w:eastAsia="宋体" w:cs="宋体"/>
          <w:b/>
          <w:bCs/>
          <w:color w:val="auto"/>
          <w:szCs w:val="21"/>
          <w:highlight w:val="none"/>
          <w:u w:val="single"/>
          <w:lang w:bidi="ar"/>
        </w:rPr>
        <w:t>采购文件中明确的所属行业</w:t>
      </w:r>
      <w:r>
        <w:rPr>
          <w:rFonts w:hint="eastAsia" w:ascii="宋体" w:hAnsi="宋体" w:eastAsia="宋体" w:cs="宋体"/>
          <w:b/>
          <w:bCs/>
          <w:color w:val="auto"/>
          <w:szCs w:val="21"/>
          <w:highlight w:val="none"/>
          <w:lang w:bidi="ar"/>
        </w:rPr>
        <w:t>”，详见第三章采购需求中明确的“所属行业”。</w:t>
      </w:r>
    </w:p>
    <w:p w14:paraId="39E522D0">
      <w:pPr>
        <w:wordWrap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
        </w:rPr>
        <w:t>5．填写示例：</w:t>
      </w:r>
      <w:r>
        <w:rPr>
          <w:rFonts w:hint="eastAsia" w:ascii="宋体" w:hAnsi="宋体" w:eastAsia="宋体" w:cs="宋体"/>
          <w:b/>
          <w:bCs/>
          <w:color w:val="auto"/>
          <w:szCs w:val="21"/>
          <w:highlight w:val="none"/>
          <w:u w:val="single"/>
          <w:lang w:bidi="ar"/>
        </w:rPr>
        <w:t>某设备</w:t>
      </w:r>
      <w:r>
        <w:rPr>
          <w:rFonts w:hint="eastAsia" w:ascii="宋体" w:hAnsi="宋体" w:eastAsia="宋体" w:cs="宋体"/>
          <w:b/>
          <w:bCs/>
          <w:color w:val="auto"/>
          <w:szCs w:val="21"/>
          <w:highlight w:val="none"/>
          <w:lang w:bidi="ar"/>
        </w:rPr>
        <w:t>，属于</w:t>
      </w:r>
      <w:r>
        <w:rPr>
          <w:rFonts w:hint="eastAsia" w:ascii="宋体" w:hAnsi="宋体" w:eastAsia="宋体" w:cs="宋体"/>
          <w:b/>
          <w:bCs/>
          <w:color w:val="auto"/>
          <w:szCs w:val="21"/>
          <w:highlight w:val="none"/>
          <w:u w:val="single"/>
          <w:lang w:bidi="ar"/>
        </w:rPr>
        <w:t>（填写第三章采购需求中对应货物的“所属行业”，如工业）</w:t>
      </w:r>
      <w:r>
        <w:rPr>
          <w:rFonts w:hint="eastAsia" w:ascii="宋体" w:hAnsi="宋体" w:eastAsia="宋体" w:cs="宋体"/>
          <w:b/>
          <w:bCs/>
          <w:color w:val="auto"/>
          <w:szCs w:val="21"/>
          <w:highlight w:val="none"/>
          <w:lang w:bidi="ar"/>
        </w:rPr>
        <w:t>行业；承接企业为</w:t>
      </w:r>
      <w:r>
        <w:rPr>
          <w:rFonts w:hint="eastAsia" w:ascii="宋体" w:hAnsi="宋体" w:eastAsia="宋体" w:cs="宋体"/>
          <w:b/>
          <w:bCs/>
          <w:color w:val="auto"/>
          <w:szCs w:val="21"/>
          <w:highlight w:val="none"/>
          <w:u w:val="single"/>
          <w:lang w:bidi="ar"/>
        </w:rPr>
        <w:t>某企业</w:t>
      </w:r>
      <w:r>
        <w:rPr>
          <w:rFonts w:hint="eastAsia" w:ascii="宋体" w:hAnsi="宋体" w:eastAsia="宋体" w:cs="宋体"/>
          <w:b/>
          <w:bCs/>
          <w:color w:val="auto"/>
          <w:szCs w:val="21"/>
          <w:highlight w:val="none"/>
          <w:lang w:bidi="ar"/>
        </w:rPr>
        <w:t>，从业人员</w:t>
      </w:r>
      <w:r>
        <w:rPr>
          <w:rFonts w:hint="eastAsia" w:ascii="宋体" w:hAnsi="宋体" w:eastAsia="宋体" w:cs="宋体"/>
          <w:b/>
          <w:bCs/>
          <w:color w:val="auto"/>
          <w:szCs w:val="21"/>
          <w:highlight w:val="none"/>
          <w:u w:val="single"/>
          <w:lang w:bidi="ar"/>
        </w:rPr>
        <w:t>100</w:t>
      </w:r>
      <w:r>
        <w:rPr>
          <w:rFonts w:hint="eastAsia" w:ascii="宋体" w:hAnsi="宋体" w:eastAsia="宋体" w:cs="宋体"/>
          <w:b/>
          <w:bCs/>
          <w:color w:val="auto"/>
          <w:szCs w:val="21"/>
          <w:highlight w:val="none"/>
          <w:lang w:bidi="ar"/>
        </w:rPr>
        <w:t>人，营业收入为</w:t>
      </w:r>
      <w:r>
        <w:rPr>
          <w:rFonts w:hint="eastAsia" w:ascii="宋体" w:hAnsi="宋体" w:eastAsia="宋体" w:cs="宋体"/>
          <w:b/>
          <w:bCs/>
          <w:color w:val="auto"/>
          <w:szCs w:val="21"/>
          <w:highlight w:val="none"/>
          <w:u w:val="single"/>
          <w:lang w:bidi="ar"/>
        </w:rPr>
        <w:t>10000</w:t>
      </w:r>
      <w:r>
        <w:rPr>
          <w:rFonts w:hint="eastAsia" w:ascii="宋体" w:hAnsi="宋体" w:eastAsia="宋体" w:cs="宋体"/>
          <w:b/>
          <w:bCs/>
          <w:color w:val="auto"/>
          <w:szCs w:val="21"/>
          <w:highlight w:val="none"/>
          <w:lang w:bidi="ar"/>
        </w:rPr>
        <w:t>万元，资产总额为</w:t>
      </w:r>
      <w:r>
        <w:rPr>
          <w:rFonts w:hint="eastAsia" w:ascii="宋体" w:hAnsi="宋体" w:eastAsia="宋体" w:cs="宋体"/>
          <w:b/>
          <w:bCs/>
          <w:color w:val="auto"/>
          <w:szCs w:val="21"/>
          <w:highlight w:val="none"/>
          <w:u w:val="single"/>
          <w:lang w:bidi="ar"/>
        </w:rPr>
        <w:t>5000</w:t>
      </w:r>
      <w:r>
        <w:rPr>
          <w:rFonts w:hint="eastAsia" w:ascii="宋体" w:hAnsi="宋体" w:eastAsia="宋体" w:cs="宋体"/>
          <w:b/>
          <w:bCs/>
          <w:color w:val="auto"/>
          <w:szCs w:val="21"/>
          <w:highlight w:val="none"/>
          <w:lang w:bidi="ar"/>
        </w:rPr>
        <w:t>万元，属于</w:t>
      </w:r>
      <w:r>
        <w:rPr>
          <w:rFonts w:hint="eastAsia" w:ascii="宋体" w:hAnsi="宋体" w:eastAsia="宋体" w:cs="宋体"/>
          <w:b/>
          <w:bCs/>
          <w:color w:val="auto"/>
          <w:szCs w:val="21"/>
          <w:highlight w:val="none"/>
          <w:u w:val="single"/>
          <w:lang w:bidi="ar"/>
        </w:rPr>
        <w:t>小型</w:t>
      </w:r>
      <w:r>
        <w:rPr>
          <w:rFonts w:hint="eastAsia" w:ascii="宋体" w:hAnsi="宋体" w:eastAsia="宋体" w:cs="宋体"/>
          <w:b/>
          <w:bCs/>
          <w:color w:val="auto"/>
          <w:szCs w:val="21"/>
          <w:highlight w:val="none"/>
          <w:lang w:bidi="ar"/>
        </w:rPr>
        <w:t>企业[投标人自行登录工业和信息化部官网进行中小企业规模类型自测（查询网址https://www.miit.gov.cn/）]。</w:t>
      </w:r>
    </w:p>
    <w:p w14:paraId="7B3519B2">
      <w:pPr>
        <w:spacing w:line="360" w:lineRule="auto"/>
        <w:jc w:val="center"/>
        <w:outlineLvl w:val="1"/>
        <w:rPr>
          <w:rFonts w:hint="eastAsia" w:asciiTheme="minorEastAsia" w:hAnsiTheme="minorEastAsia" w:eastAsiaTheme="minorEastAsia"/>
          <w:b/>
          <w:color w:val="auto"/>
          <w:sz w:val="24"/>
          <w:highlight w:val="none"/>
        </w:rPr>
      </w:pPr>
    </w:p>
    <w:p w14:paraId="48E0090A">
      <w:pPr>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4</w:t>
      </w:r>
      <w:r>
        <w:rPr>
          <w:rFonts w:hint="eastAsia" w:asciiTheme="minorEastAsia" w:hAnsiTheme="minorEastAsia" w:eastAsiaTheme="minorEastAsia"/>
          <w:b/>
          <w:color w:val="auto"/>
          <w:sz w:val="24"/>
          <w:highlight w:val="none"/>
        </w:rPr>
        <w:t>）残疾人福利性单位声明函</w:t>
      </w:r>
    </w:p>
    <w:p w14:paraId="5691E25D">
      <w:pPr>
        <w:pStyle w:val="28"/>
        <w:autoSpaceDE w:val="0"/>
        <w:spacing w:before="0" w:after="120" w:afterAutospacing="0" w:line="360" w:lineRule="auto"/>
        <w:jc w:val="center"/>
        <w:rPr>
          <w:rFonts w:hint="eastAsia" w:ascii="宋体" w:hAnsi="宋体" w:eastAsia="宋体" w:cs="@微软简标宋"/>
          <w:i/>
          <w:color w:val="auto"/>
          <w:kern w:val="2"/>
          <w:szCs w:val="24"/>
          <w:highlight w:val="none"/>
        </w:rPr>
      </w:pPr>
      <w:r>
        <w:rPr>
          <w:rFonts w:hint="eastAsia" w:ascii="宋体" w:hAnsi="宋体" w:eastAsia="宋体" w:cs="宋体"/>
          <w:i/>
          <w:color w:val="auto"/>
          <w:kern w:val="2"/>
          <w:szCs w:val="24"/>
          <w:highlight w:val="none"/>
          <w:lang w:bidi="ar"/>
        </w:rPr>
        <w:t>（非残疾人福利性单位投标，请删去“残疾人福利性单位声明函”）</w:t>
      </w:r>
    </w:p>
    <w:p w14:paraId="7441A9EC">
      <w:pPr>
        <w:spacing w:line="360" w:lineRule="auto"/>
        <w:ind w:firstLine="435"/>
        <w:rPr>
          <w:rFonts w:hint="eastAsia" w:ascii="宋体" w:hAnsi="宋体" w:eastAsia="宋体"/>
          <w:color w:val="auto"/>
          <w:spacing w:val="6"/>
          <w:sz w:val="24"/>
          <w:szCs w:val="24"/>
          <w:highlight w:val="none"/>
        </w:rPr>
      </w:pPr>
      <w:r>
        <w:rPr>
          <w:rFonts w:hint="eastAsia" w:ascii="宋体" w:hAnsi="宋体" w:eastAsia="宋体" w:cs="宋体"/>
          <w:color w:val="auto"/>
          <w:spacing w:val="6"/>
          <w:sz w:val="24"/>
          <w:szCs w:val="24"/>
          <w:highlight w:val="none"/>
          <w:lang w:bidi="ar"/>
        </w:rPr>
        <w:t>本单位</w:t>
      </w:r>
      <w:r>
        <w:rPr>
          <w:rFonts w:hint="eastAsia" w:ascii="宋体" w:hAnsi="宋体" w:eastAsia="宋体" w:cs="宋体"/>
          <w:color w:val="auto"/>
          <w:sz w:val="24"/>
          <w:szCs w:val="24"/>
          <w:highlight w:val="none"/>
          <w:lang w:bidi="ar"/>
        </w:rPr>
        <w:t>郑重</w:t>
      </w:r>
      <w:r>
        <w:rPr>
          <w:rFonts w:hint="eastAsia" w:ascii="宋体" w:hAnsi="宋体" w:eastAsia="宋体" w:cs="宋体"/>
          <w:color w:val="auto"/>
          <w:spacing w:val="6"/>
          <w:sz w:val="24"/>
          <w:szCs w:val="24"/>
          <w:highlight w:val="none"/>
          <w:lang w:bidi="ar"/>
        </w:rPr>
        <w:t>声明，根据《财政部</w:t>
      </w:r>
      <w:r>
        <w:rPr>
          <w:rFonts w:hint="eastAsia" w:ascii="宋体" w:hAnsi="宋体" w:eastAsia="宋体"/>
          <w:color w:val="auto"/>
          <w:spacing w:val="6"/>
          <w:sz w:val="24"/>
          <w:szCs w:val="24"/>
          <w:highlight w:val="none"/>
          <w:lang w:bidi="ar"/>
        </w:rPr>
        <w:t xml:space="preserve"> </w:t>
      </w:r>
      <w:r>
        <w:rPr>
          <w:rFonts w:hint="eastAsia" w:ascii="宋体" w:hAnsi="宋体" w:eastAsia="宋体" w:cs="宋体"/>
          <w:color w:val="auto"/>
          <w:spacing w:val="6"/>
          <w:sz w:val="24"/>
          <w:szCs w:val="24"/>
          <w:highlight w:val="none"/>
          <w:lang w:bidi="ar"/>
        </w:rPr>
        <w:t>民政部</w:t>
      </w:r>
      <w:r>
        <w:rPr>
          <w:rFonts w:hint="eastAsia" w:ascii="宋体" w:hAnsi="宋体" w:eastAsia="宋体"/>
          <w:color w:val="auto"/>
          <w:spacing w:val="6"/>
          <w:sz w:val="24"/>
          <w:szCs w:val="24"/>
          <w:highlight w:val="none"/>
          <w:lang w:bidi="ar"/>
        </w:rPr>
        <w:t xml:space="preserve"> </w:t>
      </w:r>
      <w:r>
        <w:rPr>
          <w:rFonts w:hint="eastAsia" w:ascii="宋体" w:hAnsi="宋体" w:eastAsia="宋体" w:cs="宋体"/>
          <w:color w:val="auto"/>
          <w:spacing w:val="6"/>
          <w:sz w:val="24"/>
          <w:szCs w:val="24"/>
          <w:highlight w:val="none"/>
          <w:lang w:bidi="ar"/>
        </w:rPr>
        <w:t>中国残疾人联合会关于促进残疾人就业政府采购政策的通知》（财库</w:t>
      </w:r>
      <w:r>
        <w:rPr>
          <w:rFonts w:hint="eastAsia" w:ascii="宋体" w:hAnsi="宋体" w:eastAsia="宋体" w:cs="宋体"/>
          <w:color w:val="auto"/>
          <w:sz w:val="24"/>
          <w:szCs w:val="24"/>
          <w:highlight w:val="none"/>
          <w:lang w:bidi="ar"/>
        </w:rPr>
        <w:t>〔2017〕141</w:t>
      </w:r>
      <w:r>
        <w:rPr>
          <w:rFonts w:hint="eastAsia" w:ascii="宋体" w:hAnsi="宋体" w:eastAsia="宋体" w:cs="宋体"/>
          <w:color w:val="auto"/>
          <w:spacing w:val="6"/>
          <w:sz w:val="24"/>
          <w:szCs w:val="24"/>
          <w:highlight w:val="none"/>
          <w:lang w:bidi="ar"/>
        </w:rPr>
        <w:t>号）的规定，本单位为</w:t>
      </w:r>
      <w:r>
        <w:rPr>
          <w:rFonts w:hint="eastAsia" w:ascii="宋体" w:hAnsi="宋体" w:eastAsia="宋体" w:cs="宋体"/>
          <w:bCs/>
          <w:color w:val="auto"/>
          <w:sz w:val="24"/>
          <w:szCs w:val="24"/>
          <w:highlight w:val="none"/>
          <w:lang w:bidi="ar"/>
        </w:rPr>
        <w:t>符合</w:t>
      </w:r>
      <w:r>
        <w:rPr>
          <w:rFonts w:hint="eastAsia" w:ascii="宋体" w:hAnsi="宋体" w:eastAsia="宋体" w:cs="宋体"/>
          <w:color w:val="auto"/>
          <w:spacing w:val="6"/>
          <w:sz w:val="24"/>
          <w:szCs w:val="24"/>
          <w:highlight w:val="none"/>
          <w:lang w:bidi="ar"/>
        </w:rPr>
        <w:t>条件的残疾人福利性单位，且本单位参加</w:t>
      </w:r>
      <w:r>
        <w:rPr>
          <w:rFonts w:hint="eastAsia" w:ascii="宋体" w:hAnsi="宋体" w:eastAsia="宋体"/>
          <w:color w:val="auto"/>
          <w:spacing w:val="6"/>
          <w:sz w:val="24"/>
          <w:szCs w:val="24"/>
          <w:highlight w:val="none"/>
          <w:u w:val="single"/>
          <w:lang w:bidi="ar"/>
        </w:rPr>
        <w:t xml:space="preserve">      </w:t>
      </w:r>
      <w:r>
        <w:rPr>
          <w:rFonts w:hint="eastAsia" w:ascii="宋体" w:hAnsi="宋体" w:eastAsia="宋体" w:cs="宋体"/>
          <w:color w:val="auto"/>
          <w:spacing w:val="6"/>
          <w:sz w:val="24"/>
          <w:szCs w:val="24"/>
          <w:highlight w:val="none"/>
          <w:lang w:bidi="ar"/>
        </w:rPr>
        <w:t>单位的</w:t>
      </w:r>
      <w:r>
        <w:rPr>
          <w:rFonts w:hint="eastAsia" w:ascii="宋体" w:hAnsi="宋体" w:eastAsia="宋体"/>
          <w:color w:val="auto"/>
          <w:spacing w:val="6"/>
          <w:sz w:val="24"/>
          <w:szCs w:val="24"/>
          <w:highlight w:val="none"/>
          <w:u w:val="single"/>
          <w:lang w:bidi="ar"/>
        </w:rPr>
        <w:t xml:space="preserve">      </w:t>
      </w:r>
      <w:r>
        <w:rPr>
          <w:rFonts w:hint="eastAsia" w:ascii="宋体" w:hAnsi="宋体" w:eastAsia="宋体" w:cs="宋体"/>
          <w:color w:val="auto"/>
          <w:spacing w:val="6"/>
          <w:sz w:val="24"/>
          <w:szCs w:val="24"/>
          <w:highlight w:val="none"/>
          <w:lang w:bidi="ar"/>
        </w:rPr>
        <w:t>项目采购活动提供本单位制造的货物（由本单位承担工程/提供服务），或者提供其他残疾人福利性单位制造的货物（不包括使用非残疾人福利性单位注册商标的货物）。</w:t>
      </w:r>
    </w:p>
    <w:p w14:paraId="04C76026">
      <w:pPr>
        <w:spacing w:line="360" w:lineRule="auto"/>
        <w:ind w:firstLine="435"/>
        <w:rPr>
          <w:rFonts w:hint="eastAsia" w:ascii="宋体" w:hAnsi="宋体" w:eastAsia="宋体"/>
          <w:color w:val="auto"/>
          <w:spacing w:val="6"/>
          <w:sz w:val="24"/>
          <w:szCs w:val="24"/>
          <w:highlight w:val="none"/>
        </w:rPr>
      </w:pPr>
      <w:r>
        <w:rPr>
          <w:rFonts w:hint="eastAsia" w:ascii="宋体" w:hAnsi="宋体" w:eastAsia="宋体" w:cs="宋体"/>
          <w:color w:val="auto"/>
          <w:spacing w:val="6"/>
          <w:sz w:val="24"/>
          <w:szCs w:val="24"/>
          <w:highlight w:val="none"/>
          <w:lang w:bidi="ar"/>
        </w:rPr>
        <w:t>本单位对上述声明的真实性负责。如有虚假，将依法承担相应责任。</w:t>
      </w:r>
    </w:p>
    <w:p w14:paraId="12E64EFD">
      <w:pPr>
        <w:spacing w:line="360" w:lineRule="auto"/>
        <w:ind w:firstLine="4228" w:firstLineChars="1762"/>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73EC827F">
      <w:pPr>
        <w:spacing w:line="360" w:lineRule="auto"/>
        <w:ind w:firstLine="4228" w:firstLineChars="1762"/>
        <w:rPr>
          <w:rFonts w:hint="eastAsia" w:ascii="宋体" w:hAnsi="宋体" w:eastAsia="宋体"/>
          <w:color w:val="auto"/>
          <w:sz w:val="24"/>
          <w:szCs w:val="24"/>
          <w:highlight w:val="none"/>
        </w:rPr>
      </w:pPr>
      <w:r>
        <w:rPr>
          <w:rFonts w:hint="eastAsia" w:ascii="宋体" w:hAnsi="宋体" w:eastAsia="宋体"/>
          <w:color w:val="auto"/>
          <w:sz w:val="24"/>
          <w:szCs w:val="24"/>
          <w:highlight w:val="none"/>
          <w:lang w:bidi="ar"/>
        </w:rPr>
        <w:t xml:space="preserve"> </w:t>
      </w:r>
    </w:p>
    <w:p w14:paraId="35D35BB6">
      <w:pPr>
        <w:spacing w:line="360" w:lineRule="auto"/>
        <w:ind w:firstLine="4228" w:firstLineChars="1762"/>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投标人电子签章：</w:t>
      </w:r>
      <w:r>
        <w:rPr>
          <w:rFonts w:hint="eastAsia" w:ascii="宋体" w:hAnsi="宋体" w:eastAsia="宋体"/>
          <w:color w:val="auto"/>
          <w:sz w:val="24"/>
          <w:szCs w:val="24"/>
          <w:highlight w:val="none"/>
          <w:u w:val="single"/>
          <w:lang w:bidi="ar"/>
        </w:rPr>
        <w:t xml:space="preserve">             </w:t>
      </w:r>
    </w:p>
    <w:p w14:paraId="58C46AC2">
      <w:pPr>
        <w:spacing w:line="360" w:lineRule="auto"/>
        <w:ind w:firstLine="4252" w:firstLineChars="1772"/>
        <w:rPr>
          <w:rFonts w:hint="eastAsia" w:ascii="宋体" w:hAnsi="宋体" w:eastAsia="宋体"/>
          <w:color w:val="auto"/>
          <w:sz w:val="24"/>
          <w:szCs w:val="24"/>
          <w:highlight w:val="none"/>
          <w:u w:val="single"/>
        </w:rPr>
      </w:pPr>
      <w:r>
        <w:rPr>
          <w:rFonts w:hint="eastAsia" w:ascii="宋体" w:hAnsi="宋体" w:eastAsia="宋体" w:cs="宋体"/>
          <w:color w:val="auto"/>
          <w:sz w:val="24"/>
          <w:szCs w:val="24"/>
          <w:highlight w:val="none"/>
          <w:lang w:bidi="ar"/>
        </w:rPr>
        <w:t>日</w:t>
      </w:r>
      <w:r>
        <w:rPr>
          <w:rFonts w:hint="eastAsia" w:ascii="宋体" w:hAnsi="宋体" w:eastAsia="宋体"/>
          <w:color w:val="auto"/>
          <w:sz w:val="24"/>
          <w:szCs w:val="24"/>
          <w:highlight w:val="none"/>
          <w:lang w:bidi="ar"/>
        </w:rPr>
        <w:t xml:space="preserve">          </w:t>
      </w:r>
      <w:r>
        <w:rPr>
          <w:rFonts w:hint="eastAsia" w:ascii="宋体" w:hAnsi="宋体" w:eastAsia="宋体" w:cs="宋体"/>
          <w:color w:val="auto"/>
          <w:sz w:val="24"/>
          <w:szCs w:val="24"/>
          <w:highlight w:val="none"/>
          <w:lang w:bidi="ar"/>
        </w:rPr>
        <w:t>期：</w:t>
      </w:r>
      <w:r>
        <w:rPr>
          <w:rFonts w:hint="eastAsia" w:ascii="宋体" w:hAnsi="宋体" w:eastAsia="宋体"/>
          <w:color w:val="auto"/>
          <w:sz w:val="24"/>
          <w:szCs w:val="24"/>
          <w:highlight w:val="none"/>
          <w:u w:val="single"/>
          <w:lang w:bidi="ar"/>
        </w:rPr>
        <w:t xml:space="preserve">             </w:t>
      </w:r>
    </w:p>
    <w:p w14:paraId="6F8FCFBA">
      <w:pPr>
        <w:spacing w:line="360" w:lineRule="auto"/>
        <w:jc w:val="center"/>
        <w:outlineLvl w:val="1"/>
        <w:rPr>
          <w:rFonts w:hint="eastAsia" w:asciiTheme="minorEastAsia" w:hAnsiTheme="minorEastAsia" w:eastAsiaTheme="minorEastAsia"/>
          <w:b/>
          <w:color w:val="auto"/>
          <w:sz w:val="24"/>
          <w:highlight w:val="none"/>
        </w:rPr>
      </w:pPr>
    </w:p>
    <w:p w14:paraId="2641FA77">
      <w:pPr>
        <w:spacing w:line="360" w:lineRule="auto"/>
        <w:jc w:val="center"/>
        <w:outlineLvl w:val="1"/>
        <w:rPr>
          <w:rFonts w:hint="eastAsia" w:asciiTheme="minorEastAsia" w:hAnsiTheme="minorEastAsia" w:eastAsiaTheme="minorEastAsia"/>
          <w:b/>
          <w:color w:val="auto"/>
          <w:sz w:val="24"/>
          <w:highlight w:val="none"/>
        </w:rPr>
      </w:pPr>
    </w:p>
    <w:p w14:paraId="63DF78EC">
      <w:pPr>
        <w:spacing w:line="360" w:lineRule="auto"/>
        <w:jc w:val="center"/>
        <w:outlineLvl w:val="1"/>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5</w:t>
      </w:r>
      <w:r>
        <w:rPr>
          <w:rFonts w:hint="eastAsia" w:asciiTheme="minorEastAsia" w:hAnsiTheme="minorEastAsia" w:eastAsiaTheme="minorEastAsia"/>
          <w:b/>
          <w:color w:val="auto"/>
          <w:sz w:val="24"/>
          <w:highlight w:val="none"/>
        </w:rPr>
        <w:t>）其他相关证明材料</w:t>
      </w:r>
    </w:p>
    <w:p w14:paraId="0EDCCDA3">
      <w:pPr>
        <w:spacing w:line="360" w:lineRule="auto"/>
        <w:ind w:firstLine="435"/>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如有</w:t>
      </w:r>
      <w:r>
        <w:rPr>
          <w:rFonts w:asciiTheme="minorEastAsia" w:hAnsiTheme="minorEastAsia" w:eastAsiaTheme="minorEastAsia"/>
          <w:color w:val="auto"/>
          <w:sz w:val="24"/>
          <w:highlight w:val="none"/>
        </w:rPr>
        <w:t>。</w:t>
      </w:r>
    </w:p>
    <w:p w14:paraId="02EAE04A">
      <w:pPr>
        <w:spacing w:line="360" w:lineRule="auto"/>
        <w:ind w:firstLine="435"/>
        <w:rPr>
          <w:rFonts w:hint="eastAsia" w:asciiTheme="minorEastAsia" w:hAnsiTheme="minorEastAsia" w:eastAsiaTheme="minorEastAsia"/>
          <w:color w:val="auto"/>
          <w:sz w:val="24"/>
          <w:highlight w:val="none"/>
        </w:rPr>
      </w:pPr>
    </w:p>
    <w:p w14:paraId="0EEC441B">
      <w:pPr>
        <w:widowControl/>
        <w:jc w:val="left"/>
        <w:rPr>
          <w:rFonts w:hint="eastAsia" w:ascii="宋体" w:hAnsi="宋体" w:eastAsia="宋体"/>
          <w:bCs/>
          <w:color w:val="auto"/>
          <w:sz w:val="24"/>
          <w:highlight w:val="none"/>
        </w:rPr>
      </w:pPr>
      <w:r>
        <w:rPr>
          <w:rFonts w:ascii="宋体" w:hAnsi="宋体" w:eastAsia="宋体"/>
          <w:bCs/>
          <w:color w:val="auto"/>
          <w:sz w:val="24"/>
          <w:highlight w:val="none"/>
        </w:rPr>
        <w:br w:type="page"/>
      </w:r>
    </w:p>
    <w:p w14:paraId="4277CEE8">
      <w:pPr>
        <w:spacing w:line="360" w:lineRule="auto"/>
        <w:jc w:val="center"/>
        <w:outlineLvl w:val="0"/>
        <w:rPr>
          <w:rFonts w:hint="eastAsia" w:ascii="宋体" w:hAnsi="宋体" w:eastAsia="宋体"/>
          <w:b/>
          <w:bCs/>
          <w:color w:val="auto"/>
          <w:sz w:val="28"/>
          <w:highlight w:val="none"/>
        </w:rPr>
      </w:pPr>
      <w:bookmarkStart w:id="228" w:name="_Toc20819"/>
      <w:bookmarkStart w:id="229" w:name="_Toc6435"/>
      <w:r>
        <w:rPr>
          <w:rFonts w:hint="eastAsia" w:asciiTheme="minorEastAsia" w:hAnsiTheme="minorEastAsia" w:eastAsiaTheme="minorEastAsia"/>
          <w:b/>
          <w:color w:val="auto"/>
          <w:sz w:val="28"/>
          <w:highlight w:val="none"/>
        </w:rPr>
        <w:t>第七章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228"/>
      <w:bookmarkEnd w:id="229"/>
    </w:p>
    <w:p w14:paraId="36C5A56F">
      <w:pPr>
        <w:spacing w:line="360" w:lineRule="auto"/>
        <w:jc w:val="center"/>
        <w:outlineLvl w:val="1"/>
        <w:rPr>
          <w:rFonts w:hint="eastAsia" w:ascii="仿宋" w:hAnsi="仿宋" w:eastAsia="仿宋" w:cs="仿宋"/>
          <w:b/>
          <w:bCs/>
          <w:color w:val="auto"/>
          <w:sz w:val="32"/>
          <w:szCs w:val="44"/>
          <w:highlight w:val="none"/>
        </w:rPr>
      </w:pPr>
      <w:bookmarkStart w:id="230" w:name="_Toc6955"/>
      <w:bookmarkStart w:id="231" w:name="_Toc27159"/>
      <w:r>
        <w:rPr>
          <w:rFonts w:hint="eastAsia" w:ascii="仿宋" w:hAnsi="仿宋" w:eastAsia="仿宋" w:cs="仿宋"/>
          <w:b/>
          <w:bCs/>
          <w:color w:val="auto"/>
          <w:sz w:val="32"/>
          <w:szCs w:val="44"/>
          <w:highlight w:val="none"/>
        </w:rPr>
        <w:t>询问函范本</w:t>
      </w:r>
      <w:bookmarkEnd w:id="230"/>
      <w:bookmarkEnd w:id="231"/>
    </w:p>
    <w:p w14:paraId="65EB4CD2">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700EB077">
      <w:pPr>
        <w:adjustRightInd w:val="0"/>
        <w:snapToGrid w:val="0"/>
        <w:spacing w:line="360" w:lineRule="auto"/>
        <w:rPr>
          <w:rFonts w:hint="eastAsia" w:cs="仿宋" w:asciiTheme="minorEastAsia" w:hAnsiTheme="minorEastAsia" w:eastAsiaTheme="minorEastAsia"/>
          <w:b/>
          <w:bCs/>
          <w:color w:val="auto"/>
          <w:sz w:val="24"/>
          <w:szCs w:val="24"/>
          <w:highlight w:val="none"/>
          <w:u w:val="single"/>
        </w:rPr>
      </w:pPr>
      <w:r>
        <w:rPr>
          <w:rFonts w:hint="eastAsia" w:cs="仿宋" w:asciiTheme="minorEastAsia" w:hAnsiTheme="minorEastAsia" w:eastAsiaTheme="minorEastAsia"/>
          <w:b/>
          <w:bCs/>
          <w:color w:val="auto"/>
          <w:sz w:val="24"/>
          <w:szCs w:val="24"/>
          <w:highlight w:val="none"/>
        </w:rPr>
        <w:t>致：采购人</w:t>
      </w:r>
    </w:p>
    <w:p w14:paraId="6EE2C7E1">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rPr>
        <w:t xml:space="preserve">           </w:t>
      </w:r>
      <w:r>
        <w:rPr>
          <w:rFonts w:hint="eastAsia" w:cs="仿宋" w:asciiTheme="minorEastAsia" w:hAnsiTheme="minorEastAsia" w:eastAsiaTheme="minorEastAsia"/>
          <w:color w:val="auto"/>
          <w:sz w:val="24"/>
          <w:szCs w:val="24"/>
          <w:highlight w:val="none"/>
        </w:rPr>
        <w:t>（</w:t>
      </w:r>
      <w:r>
        <w:rPr>
          <w:rFonts w:hint="eastAsia" w:cs="仿宋" w:asciiTheme="minorEastAsia" w:hAnsiTheme="minorEastAsia" w:eastAsiaTheme="minorEastAsia"/>
          <w:i/>
          <w:iCs/>
          <w:color w:val="auto"/>
          <w:sz w:val="24"/>
          <w:szCs w:val="24"/>
          <w:highlight w:val="none"/>
        </w:rPr>
        <w:t>项目名称、编号</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07C9DC86">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bookmarkStart w:id="232" w:name="_Toc13899"/>
      <w:r>
        <w:rPr>
          <w:rFonts w:hint="eastAsia" w:cs="仿宋" w:asciiTheme="minorEastAsia" w:hAnsiTheme="minorEastAsia" w:eastAsiaTheme="minorEastAsia"/>
          <w:color w:val="auto"/>
          <w:sz w:val="24"/>
          <w:szCs w:val="24"/>
          <w:highlight w:val="none"/>
        </w:rPr>
        <w:t>一、(事项一)</w:t>
      </w:r>
      <w:bookmarkEnd w:id="232"/>
    </w:p>
    <w:p w14:paraId="3D2ADD6C">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6A114437">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0253B2B8">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3EFD577B">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bookmarkStart w:id="233" w:name="_Toc3352"/>
      <w:r>
        <w:rPr>
          <w:rFonts w:hint="eastAsia" w:cs="仿宋" w:asciiTheme="minorEastAsia" w:hAnsiTheme="minorEastAsia" w:eastAsiaTheme="minorEastAsia"/>
          <w:color w:val="auto"/>
          <w:sz w:val="24"/>
          <w:szCs w:val="24"/>
          <w:highlight w:val="none"/>
        </w:rPr>
        <w:t>二、(事项二)</w:t>
      </w:r>
      <w:bookmarkEnd w:id="233"/>
    </w:p>
    <w:p w14:paraId="6F01CEDB">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5E6EC89D">
      <w:pPr>
        <w:adjustRightInd w:val="0"/>
        <w:snapToGrid w:val="0"/>
        <w:spacing w:line="360" w:lineRule="auto"/>
        <w:ind w:firstLine="480" w:firstLineChars="200"/>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2912E20E">
      <w:pPr>
        <w:spacing w:line="360" w:lineRule="auto"/>
        <w:ind w:firstLine="4228" w:firstLineChars="1762"/>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5704B9D9">
      <w:pPr>
        <w:spacing w:line="360" w:lineRule="auto"/>
        <w:ind w:firstLine="4228" w:firstLineChars="1762"/>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7CBB142E">
      <w:pPr>
        <w:tabs>
          <w:tab w:val="left" w:pos="630"/>
        </w:tabs>
        <w:spacing w:line="360" w:lineRule="auto"/>
        <w:ind w:firstLine="4228" w:firstLineChars="1762"/>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3A0B812C">
      <w:pP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159A200B">
      <w:pPr>
        <w:jc w:val="center"/>
        <w:outlineLvl w:val="1"/>
        <w:rPr>
          <w:rFonts w:hint="eastAsia" w:ascii="仿宋" w:hAnsi="仿宋" w:eastAsia="仿宋" w:cs="仿宋"/>
          <w:b/>
          <w:bCs/>
          <w:color w:val="auto"/>
          <w:sz w:val="32"/>
          <w:szCs w:val="44"/>
          <w:highlight w:val="none"/>
        </w:rPr>
      </w:pPr>
      <w:bookmarkStart w:id="234" w:name="_Toc857"/>
      <w:bookmarkStart w:id="235" w:name="_Toc1575"/>
      <w:r>
        <w:rPr>
          <w:rFonts w:hint="eastAsia" w:ascii="仿宋" w:hAnsi="仿宋" w:eastAsia="仿宋" w:cs="仿宋"/>
          <w:b/>
          <w:bCs/>
          <w:color w:val="auto"/>
          <w:sz w:val="32"/>
          <w:szCs w:val="44"/>
          <w:highlight w:val="none"/>
        </w:rPr>
        <w:t>质疑函范本</w:t>
      </w:r>
      <w:bookmarkEnd w:id="234"/>
      <w:bookmarkEnd w:id="235"/>
    </w:p>
    <w:p w14:paraId="26A18CBF">
      <w:pPr>
        <w:adjustRightInd w:val="0"/>
        <w:snapToGrid w:val="0"/>
        <w:spacing w:before="312" w:beforeLines="100" w:line="360" w:lineRule="auto"/>
        <w:rPr>
          <w:rFonts w:hint="eastAsia" w:cs="仿宋" w:asciiTheme="minorEastAsia" w:hAnsiTheme="minorEastAsia" w:eastAsiaTheme="minorEastAsia"/>
          <w:b/>
          <w:bCs/>
          <w:color w:val="auto"/>
          <w:sz w:val="24"/>
          <w:szCs w:val="24"/>
          <w:highlight w:val="none"/>
        </w:rPr>
      </w:pPr>
      <w:bookmarkStart w:id="236" w:name="_Toc21381"/>
      <w:r>
        <w:rPr>
          <w:rFonts w:hint="eastAsia" w:cs="仿宋" w:asciiTheme="minorEastAsia" w:hAnsiTheme="minorEastAsia" w:eastAsiaTheme="minorEastAsia"/>
          <w:b/>
          <w:bCs/>
          <w:color w:val="auto"/>
          <w:sz w:val="24"/>
          <w:szCs w:val="24"/>
          <w:highlight w:val="none"/>
        </w:rPr>
        <w:t>一、质疑供应商基本信息</w:t>
      </w:r>
      <w:bookmarkEnd w:id="236"/>
    </w:p>
    <w:p w14:paraId="33C83444">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16929313">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2D789189">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4A7D3295">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3B48D8FD">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4DC6A6F0">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53FCAC8B">
      <w:pPr>
        <w:adjustRightInd w:val="0"/>
        <w:snapToGrid w:val="0"/>
        <w:spacing w:line="360" w:lineRule="auto"/>
        <w:rPr>
          <w:rFonts w:hint="eastAsia" w:cs="仿宋" w:asciiTheme="minorEastAsia" w:hAnsiTheme="minorEastAsia" w:eastAsiaTheme="minorEastAsia"/>
          <w:b/>
          <w:bCs/>
          <w:color w:val="auto"/>
          <w:sz w:val="24"/>
          <w:szCs w:val="24"/>
          <w:highlight w:val="none"/>
        </w:rPr>
      </w:pPr>
      <w:bookmarkStart w:id="237" w:name="_Toc28415"/>
      <w:r>
        <w:rPr>
          <w:rFonts w:hint="eastAsia" w:cs="仿宋" w:asciiTheme="minorEastAsia" w:hAnsiTheme="minorEastAsia" w:eastAsiaTheme="minorEastAsia"/>
          <w:b/>
          <w:bCs/>
          <w:color w:val="auto"/>
          <w:sz w:val="24"/>
          <w:szCs w:val="24"/>
          <w:highlight w:val="none"/>
        </w:rPr>
        <w:t>二、质疑项目基本情况</w:t>
      </w:r>
      <w:bookmarkEnd w:id="237"/>
    </w:p>
    <w:p w14:paraId="72BDD24C">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345184E5">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1C2028DE">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1ABC1E29">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1C9E89D0">
      <w:pPr>
        <w:adjustRightInd w:val="0"/>
        <w:snapToGrid w:val="0"/>
        <w:spacing w:line="360" w:lineRule="auto"/>
        <w:rPr>
          <w:rFonts w:hint="eastAsia" w:cs="仿宋" w:asciiTheme="minorEastAsia" w:hAnsiTheme="minorEastAsia" w:eastAsiaTheme="minorEastAsia"/>
          <w:b/>
          <w:bCs/>
          <w:color w:val="auto"/>
          <w:sz w:val="24"/>
          <w:szCs w:val="24"/>
          <w:highlight w:val="none"/>
        </w:rPr>
      </w:pPr>
      <w:bookmarkStart w:id="238" w:name="_Toc19014"/>
      <w:r>
        <w:rPr>
          <w:rFonts w:hint="eastAsia" w:cs="仿宋" w:asciiTheme="minorEastAsia" w:hAnsiTheme="minorEastAsia" w:eastAsiaTheme="minorEastAsia"/>
          <w:b/>
          <w:bCs/>
          <w:color w:val="auto"/>
          <w:sz w:val="24"/>
          <w:szCs w:val="24"/>
          <w:highlight w:val="none"/>
        </w:rPr>
        <w:t>三、质疑事项具体内容</w:t>
      </w:r>
      <w:bookmarkEnd w:id="238"/>
    </w:p>
    <w:p w14:paraId="0C66C1DB">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7C9F5945">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71B91608">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6F52713C">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3041B392">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4E395975">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1008DA89">
      <w:pPr>
        <w:adjustRightInd w:val="0"/>
        <w:snapToGrid w:val="0"/>
        <w:spacing w:line="360" w:lineRule="auto"/>
        <w:rPr>
          <w:rFonts w:hint="eastAsia"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141095DA">
      <w:pPr>
        <w:adjustRightInd w:val="0"/>
        <w:snapToGrid w:val="0"/>
        <w:spacing w:line="360" w:lineRule="auto"/>
        <w:rPr>
          <w:rFonts w:hint="eastAsia" w:cs="仿宋" w:asciiTheme="minorEastAsia" w:hAnsiTheme="minorEastAsia" w:eastAsiaTheme="minorEastAsia"/>
          <w:b/>
          <w:bCs/>
          <w:color w:val="auto"/>
          <w:sz w:val="24"/>
          <w:szCs w:val="24"/>
          <w:highlight w:val="none"/>
        </w:rPr>
      </w:pPr>
      <w:bookmarkStart w:id="239" w:name="_Toc17919"/>
      <w:r>
        <w:rPr>
          <w:rFonts w:hint="eastAsia" w:cs="仿宋" w:asciiTheme="minorEastAsia" w:hAnsiTheme="minorEastAsia" w:eastAsiaTheme="minorEastAsia"/>
          <w:b/>
          <w:bCs/>
          <w:color w:val="auto"/>
          <w:sz w:val="24"/>
          <w:szCs w:val="24"/>
          <w:highlight w:val="none"/>
        </w:rPr>
        <w:t>四、与质疑事项相关的质疑请求</w:t>
      </w:r>
      <w:bookmarkEnd w:id="239"/>
    </w:p>
    <w:p w14:paraId="01CE4B48">
      <w:pPr>
        <w:adjustRightInd w:val="0"/>
        <w:snapToGrid w:val="0"/>
        <w:spacing w:line="360" w:lineRule="auto"/>
        <w:rPr>
          <w:rFonts w:hint="eastAsia"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0DB633C5">
      <w:pPr>
        <w:spacing w:line="360" w:lineRule="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16652EAB">
      <w:pPr>
        <w:spacing w:line="360" w:lineRule="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181B0E67">
      <w:pPr>
        <w:widowControl/>
        <w:jc w:val="left"/>
        <w:rPr>
          <w:rFonts w:hint="eastAsia"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26965675">
      <w:pPr>
        <w:outlineLvl w:val="0"/>
        <w:rPr>
          <w:rFonts w:hint="eastAsia" w:asciiTheme="minorEastAsia" w:hAnsiTheme="minorEastAsia" w:eastAsiaTheme="minorEastAsia"/>
          <w:b/>
          <w:color w:val="auto"/>
          <w:sz w:val="28"/>
          <w:szCs w:val="32"/>
          <w:highlight w:val="none"/>
        </w:rPr>
      </w:pPr>
      <w:bookmarkStart w:id="240" w:name="_Toc9754"/>
      <w:bookmarkStart w:id="241" w:name="_Toc22239"/>
      <w:r>
        <w:rPr>
          <w:rFonts w:hint="eastAsia" w:asciiTheme="minorEastAsia" w:hAnsiTheme="minorEastAsia" w:eastAsiaTheme="minorEastAsia"/>
          <w:b/>
          <w:color w:val="auto"/>
          <w:sz w:val="28"/>
          <w:szCs w:val="32"/>
          <w:highlight w:val="none"/>
        </w:rPr>
        <w:t>质疑函制作说明：</w:t>
      </w:r>
      <w:bookmarkEnd w:id="240"/>
      <w:bookmarkEnd w:id="241"/>
    </w:p>
    <w:p w14:paraId="703A0DC9">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2BF251E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0CE740">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41777E87">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09724DAE">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7BF5C5DF">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10824C38">
      <w:pPr>
        <w:rPr>
          <w:rFonts w:ascii="宋体" w:hAnsi="宋体" w:eastAsia="宋体" w:cs="宋体"/>
          <w:color w:val="auto"/>
          <w:sz w:val="28"/>
          <w:szCs w:val="28"/>
          <w:highlight w:val="none"/>
        </w:rPr>
      </w:pPr>
      <w:r>
        <w:rPr>
          <w:rFonts w:hint="eastAsia" w:asciiTheme="minorEastAsia" w:hAnsiTheme="minorEastAsia" w:eastAsiaTheme="minorEastAsia"/>
          <w:color w:val="auto"/>
          <w:sz w:val="24"/>
          <w:highlight w:val="none"/>
        </w:rPr>
        <w:br w:type="page"/>
      </w:r>
      <w:r>
        <w:rPr>
          <w:rFonts w:hint="eastAsia" w:ascii="宋体" w:hAnsi="宋体" w:eastAsia="宋体" w:cs="宋体"/>
          <w:b/>
          <w:color w:val="auto"/>
          <w:sz w:val="28"/>
          <w:szCs w:val="28"/>
          <w:highlight w:val="none"/>
          <w:lang w:bidi="ar"/>
        </w:rPr>
        <w:t>附件</w:t>
      </w:r>
      <w:r>
        <w:rPr>
          <w:rFonts w:ascii="Times New Roman" w:hAnsi="Times New Roman" w:eastAsia="宋体" w:cs="Times New Roman"/>
          <w:b/>
          <w:color w:val="auto"/>
          <w:sz w:val="28"/>
          <w:szCs w:val="28"/>
          <w:highlight w:val="none"/>
          <w:lang w:bidi="ar"/>
        </w:rPr>
        <w:t>1</w:t>
      </w:r>
    </w:p>
    <w:p w14:paraId="1A707315">
      <w:pPr>
        <w:jc w:val="center"/>
        <w:rPr>
          <w:rFonts w:hint="eastAsia" w:ascii="宋体" w:hAnsi="宋体" w:eastAsia="宋体" w:cs="宋体"/>
          <w:b/>
          <w:color w:val="auto"/>
          <w:sz w:val="28"/>
          <w:szCs w:val="28"/>
          <w:highlight w:val="none"/>
          <w:lang w:bidi="ar"/>
        </w:rPr>
      </w:pPr>
      <w:r>
        <w:rPr>
          <w:rFonts w:hint="eastAsia" w:ascii="宋体" w:hAnsi="宋体" w:eastAsia="宋体" w:cs="宋体"/>
          <w:b/>
          <w:color w:val="auto"/>
          <w:sz w:val="28"/>
          <w:szCs w:val="28"/>
          <w:highlight w:val="none"/>
          <w:lang w:bidi="ar"/>
        </w:rPr>
        <w:t>关于联合惩戒失信行为加强信用查询管理的通知</w:t>
      </w:r>
    </w:p>
    <w:p w14:paraId="2378C963">
      <w:pPr>
        <w:adjustRightInd w:val="0"/>
        <w:snapToGrid w:val="0"/>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一、失信行为联合惩戒的范围和查询渠道</w:t>
      </w:r>
    </w:p>
    <w:p w14:paraId="3A6F2C6F">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在我市公共资源交易活动中对存在下列失信行为的投标人、法定代表人及其项目经理（建造师）实施联合惩戒，禁止参与我市公共资源交易活动。</w:t>
      </w:r>
    </w:p>
    <w:p w14:paraId="74C4C673">
      <w:pPr>
        <w:adjustRightInd w:val="0"/>
        <w:snapToGrid w:val="0"/>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（一）工程建设项目</w:t>
      </w:r>
    </w:p>
    <w:p w14:paraId="2FB86914">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1、“信用中国”网站（www.creditchina.gov.cn）查询</w:t>
      </w:r>
      <w:bookmarkStart w:id="242" w:name="OLE_LINK91"/>
      <w:bookmarkStart w:id="243" w:name="OLE_LINK93"/>
      <w:bookmarkStart w:id="244" w:name="OLE_LINK92"/>
      <w:bookmarkStart w:id="245" w:name="OLE_LINK103"/>
      <w:r>
        <w:rPr>
          <w:rFonts w:hint="eastAsia" w:ascii="宋体" w:hAnsi="宋体" w:eastAsia="宋体" w:cs="宋体"/>
          <w:color w:val="auto"/>
          <w:sz w:val="24"/>
          <w:szCs w:val="24"/>
          <w:highlight w:val="none"/>
        </w:rPr>
        <w:t>投标人、法定代表人及其项目经理(建造师)</w:t>
      </w:r>
      <w:bookmarkEnd w:id="242"/>
      <w:bookmarkEnd w:id="243"/>
      <w:bookmarkEnd w:id="244"/>
      <w:bookmarkEnd w:id="245"/>
      <w:r>
        <w:rPr>
          <w:rFonts w:hint="eastAsia" w:ascii="宋体" w:hAnsi="宋体" w:eastAsia="宋体" w:cs="宋体"/>
          <w:color w:val="auto"/>
          <w:sz w:val="24"/>
          <w:szCs w:val="24"/>
          <w:highlight w:val="none"/>
        </w:rPr>
        <w:t>以下失信行为：</w:t>
      </w:r>
    </w:p>
    <w:p w14:paraId="2D7F9377">
      <w:pPr>
        <w:adjustRightInd w:val="0"/>
        <w:snapToGrid w:val="0"/>
        <w:spacing w:line="560" w:lineRule="exact"/>
        <w:ind w:firstLine="480" w:firstLineChars="200"/>
        <w:rPr>
          <w:rFonts w:hint="eastAsia" w:ascii="宋体" w:hAnsi="宋体" w:eastAsia="宋体" w:cs="宋体"/>
          <w:color w:val="auto"/>
          <w:sz w:val="24"/>
          <w:szCs w:val="24"/>
          <w:highlight w:val="none"/>
        </w:rPr>
      </w:pPr>
      <w:bookmarkStart w:id="246" w:name="OLE_LINK87"/>
      <w:bookmarkStart w:id="247" w:name="OLE_LINK3"/>
      <w:bookmarkStart w:id="248" w:name="OLE_LINK119"/>
      <w:bookmarkStart w:id="249" w:name="OLE_LINK86"/>
      <w:bookmarkStart w:id="250" w:name="OLE_LINK94"/>
      <w:r>
        <w:rPr>
          <w:rFonts w:hint="eastAsia" w:ascii="宋体" w:hAnsi="宋体" w:eastAsia="宋体" w:cs="宋体"/>
          <w:color w:val="auto"/>
          <w:sz w:val="24"/>
          <w:szCs w:val="24"/>
          <w:highlight w:val="none"/>
        </w:rPr>
        <w:t>①被列入“失信被执行人”的;</w:t>
      </w:r>
    </w:p>
    <w:p w14:paraId="6FB656FD">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②被列入</w:t>
      </w:r>
      <w:bookmarkStart w:id="251" w:name="OLE_LINK116"/>
      <w:bookmarkStart w:id="252" w:name="OLE_LINK117"/>
      <w:bookmarkStart w:id="253" w:name="OLE_LINK115"/>
      <w:bookmarkStart w:id="254" w:name="OLE_LINK118"/>
      <w:r>
        <w:rPr>
          <w:rFonts w:hint="eastAsia" w:ascii="宋体" w:hAnsi="宋体" w:eastAsia="宋体" w:cs="宋体"/>
          <w:color w:val="auto"/>
          <w:sz w:val="24"/>
          <w:szCs w:val="24"/>
          <w:highlight w:val="none"/>
        </w:rPr>
        <w:t>“重大税收违法失信主体”</w:t>
      </w:r>
      <w:bookmarkEnd w:id="251"/>
      <w:bookmarkEnd w:id="252"/>
      <w:bookmarkEnd w:id="253"/>
      <w:bookmarkEnd w:id="254"/>
      <w:r>
        <w:rPr>
          <w:rFonts w:hint="eastAsia" w:ascii="宋体" w:hAnsi="宋体" w:eastAsia="宋体" w:cs="宋体"/>
          <w:color w:val="auto"/>
          <w:sz w:val="24"/>
          <w:szCs w:val="24"/>
          <w:highlight w:val="none"/>
        </w:rPr>
        <w:t>的；</w:t>
      </w:r>
    </w:p>
    <w:p w14:paraId="2852C461">
      <w:pPr>
        <w:adjustRightInd w:val="0"/>
        <w:snapToGrid w:val="0"/>
        <w:spacing w:line="560" w:lineRule="exact"/>
        <w:ind w:firstLine="480" w:firstLineChars="200"/>
        <w:rPr>
          <w:rFonts w:hint="eastAsia" w:ascii="宋体" w:hAnsi="宋体" w:eastAsia="宋体" w:cs="宋体"/>
          <w:color w:val="auto"/>
          <w:sz w:val="24"/>
          <w:szCs w:val="24"/>
          <w:highlight w:val="none"/>
        </w:rPr>
      </w:pPr>
      <w:bookmarkStart w:id="255" w:name="OLE_LINK1"/>
      <w:bookmarkStart w:id="256" w:name="OLE_LINK2"/>
      <w:r>
        <w:rPr>
          <w:rFonts w:hint="eastAsia" w:ascii="宋体" w:hAnsi="宋体" w:eastAsia="宋体" w:cs="宋体"/>
          <w:color w:val="auto"/>
          <w:sz w:val="24"/>
          <w:szCs w:val="24"/>
          <w:highlight w:val="none"/>
        </w:rPr>
        <w:t>③被列入“拖欠</w:t>
      </w:r>
      <w:bookmarkStart w:id="257" w:name="OLE_LINK85"/>
      <w:bookmarkStart w:id="258" w:name="OLE_LINK84"/>
      <w:r>
        <w:rPr>
          <w:rFonts w:hint="eastAsia" w:ascii="宋体" w:hAnsi="宋体" w:eastAsia="宋体" w:cs="宋体"/>
          <w:color w:val="auto"/>
          <w:sz w:val="24"/>
          <w:szCs w:val="24"/>
          <w:highlight w:val="none"/>
        </w:rPr>
        <w:t>农民工工资失信联合惩戒对象</w:t>
      </w:r>
      <w:bookmarkEnd w:id="257"/>
      <w:bookmarkEnd w:id="258"/>
      <w:r>
        <w:rPr>
          <w:rFonts w:hint="eastAsia" w:ascii="宋体" w:hAnsi="宋体" w:eastAsia="宋体" w:cs="宋体"/>
          <w:color w:val="auto"/>
          <w:sz w:val="24"/>
          <w:szCs w:val="24"/>
          <w:highlight w:val="none"/>
        </w:rPr>
        <w:t>名单”的；</w:t>
      </w:r>
      <w:bookmarkEnd w:id="255"/>
      <w:bookmarkEnd w:id="256"/>
    </w:p>
    <w:p w14:paraId="503E1A9A">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④被列入 “严重失信主体名单”的；</w:t>
      </w:r>
    </w:p>
    <w:p w14:paraId="361BA169">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⑤在“信用中国”网站上披露的仍在公示期的严重失信行为(具体行为类别及判定依据见附件2)的。</w:t>
      </w:r>
    </w:p>
    <w:bookmarkEnd w:id="246"/>
    <w:bookmarkEnd w:id="247"/>
    <w:bookmarkEnd w:id="248"/>
    <w:bookmarkEnd w:id="249"/>
    <w:bookmarkEnd w:id="250"/>
    <w:p w14:paraId="42A2C8D2">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Start w:id="259" w:name="OLE_LINK130"/>
      <w:r>
        <w:rPr>
          <w:rFonts w:hint="eastAsia" w:ascii="宋体" w:hAnsi="宋体" w:eastAsia="宋体" w:cs="宋体"/>
          <w:color w:val="auto"/>
          <w:sz w:val="24"/>
          <w:szCs w:val="24"/>
          <w:highlight w:val="none"/>
        </w:rPr>
        <w:t>国家企业信用信息公示系统网站</w:t>
      </w:r>
      <w:bookmarkEnd w:id="259"/>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"http://www.gsxt.gov.cn）查询" </w:instrText>
      </w:r>
      <w:r>
        <w:rPr>
          <w:rFonts w:hint="eastAsia" w:ascii="宋体" w:hAnsi="宋体" w:eastAsia="宋体" w:cs="宋体"/>
          <w:color w:val="auto"/>
          <w:sz w:val="24"/>
          <w:szCs w:val="24"/>
          <w:highlight w:val="none"/>
        </w:rPr>
        <w:fldChar w:fldCharType="separate"/>
      </w:r>
      <w:bookmarkStart w:id="260" w:name="OLE_LINK90"/>
      <w:bookmarkStart w:id="261" w:name="OLE_LINK89"/>
      <w:r>
        <w:rPr>
          <w:rStyle w:val="42"/>
          <w:rFonts w:hint="eastAsia" w:ascii="宋体" w:hAnsi="宋体" w:eastAsia="宋体" w:cs="宋体"/>
          <w:color w:val="auto"/>
          <w:sz w:val="24"/>
          <w:szCs w:val="24"/>
          <w:highlight w:val="none"/>
        </w:rPr>
        <w:t>www.gsxt.gov.cn</w:t>
      </w:r>
      <w:bookmarkEnd w:id="260"/>
      <w:bookmarkEnd w:id="261"/>
      <w:r>
        <w:rPr>
          <w:rStyle w:val="42"/>
          <w:rFonts w:hint="eastAsia" w:ascii="宋体" w:hAnsi="宋体" w:eastAsia="宋体" w:cs="宋体"/>
          <w:color w:val="auto"/>
          <w:sz w:val="24"/>
          <w:szCs w:val="24"/>
          <w:highlight w:val="none"/>
        </w:rPr>
        <w:t>）</w:t>
      </w:r>
      <w:r>
        <w:rPr>
          <w:rStyle w:val="42"/>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查询投标人以下失信行为：</w:t>
      </w:r>
    </w:p>
    <w:p w14:paraId="7A31A708">
      <w:pPr>
        <w:adjustRightInd w:val="0"/>
        <w:snapToGrid w:val="0"/>
        <w:spacing w:line="560" w:lineRule="exact"/>
        <w:ind w:firstLine="480" w:firstLineChars="200"/>
        <w:rPr>
          <w:rFonts w:hint="eastAsia" w:ascii="宋体" w:hAnsi="宋体" w:eastAsia="宋体" w:cs="宋体"/>
          <w:color w:val="auto"/>
          <w:sz w:val="24"/>
          <w:szCs w:val="24"/>
          <w:highlight w:val="none"/>
        </w:rPr>
      </w:pPr>
      <w:bookmarkStart w:id="262" w:name="OLE_LINK120"/>
      <w:bookmarkStart w:id="263" w:name="OLE_LINK121"/>
      <w:bookmarkStart w:id="264" w:name="OLE_LINK122"/>
      <w:r>
        <w:rPr>
          <w:rFonts w:hint="eastAsia" w:ascii="宋体" w:hAnsi="宋体" w:eastAsia="宋体" w:cs="宋体"/>
          <w:color w:val="auto"/>
          <w:sz w:val="24"/>
          <w:szCs w:val="24"/>
          <w:highlight w:val="none"/>
        </w:rPr>
        <w:t>①被列入“经营异常名录”或者“严重违法失信名单”的。</w:t>
      </w:r>
      <w:bookmarkEnd w:id="262"/>
      <w:bookmarkEnd w:id="263"/>
      <w:bookmarkEnd w:id="264"/>
    </w:p>
    <w:p w14:paraId="7376FE28">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w:t>
      </w:r>
      <w:r>
        <w:rPr>
          <w:rFonts w:hint="eastAsia" w:ascii="宋体" w:hAnsi="宋体" w:eastAsia="宋体" w:cs="宋体"/>
          <w:color w:val="auto"/>
          <w:kern w:val="0"/>
          <w:sz w:val="24"/>
          <w:szCs w:val="24"/>
          <w:highlight w:val="none"/>
        </w:rPr>
        <w:t>投标人、法定代表人及其项目经理(建造师)</w:t>
      </w:r>
      <w:r>
        <w:rPr>
          <w:rFonts w:hint="eastAsia" w:ascii="宋体" w:hAnsi="宋体" w:eastAsia="宋体" w:cs="宋体"/>
          <w:color w:val="auto"/>
          <w:sz w:val="24"/>
          <w:szCs w:val="24"/>
          <w:highlight w:val="none"/>
        </w:rPr>
        <w:t>进行承诺，不进行现场网上信用查询的失信行为：</w:t>
      </w:r>
    </w:p>
    <w:p w14:paraId="0E758DDA">
      <w:pPr>
        <w:adjustRightInd w:val="0"/>
        <w:snapToGrid w:val="0"/>
        <w:spacing w:line="560" w:lineRule="exact"/>
        <w:ind w:firstLine="480" w:firstLineChars="200"/>
        <w:rPr>
          <w:rFonts w:hint="eastAsia" w:ascii="宋体" w:hAnsi="宋体" w:eastAsia="宋体" w:cs="宋体"/>
          <w:color w:val="auto"/>
          <w:sz w:val="24"/>
          <w:szCs w:val="24"/>
          <w:highlight w:val="none"/>
        </w:rPr>
      </w:pPr>
      <w:bookmarkStart w:id="265" w:name="OLE_LINK124"/>
      <w:bookmarkStart w:id="266" w:name="OLE_LINK123"/>
      <w:r>
        <w:rPr>
          <w:rFonts w:hint="eastAsia" w:ascii="宋体" w:hAnsi="宋体" w:eastAsia="宋体" w:cs="宋体"/>
          <w:color w:val="auto"/>
          <w:sz w:val="24"/>
          <w:szCs w:val="24"/>
          <w:highlight w:val="none"/>
        </w:rPr>
        <w:t>①前三年有行贿犯罪行为的单位和个人；</w:t>
      </w:r>
    </w:p>
    <w:p w14:paraId="6CE40055">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②被滁州市县两级公管部门取消在一定期限内的投标资格且在取消期限内的；</w:t>
      </w:r>
    </w:p>
    <w:p w14:paraId="1C157461">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③被滁州市县两级各行业主管部门取消在一定期限内的投标资格且在取消期限内的；</w:t>
      </w:r>
    </w:p>
    <w:p w14:paraId="5D29E2F8">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④因拖欠农民工工资被</w:t>
      </w:r>
      <w:bookmarkStart w:id="267" w:name="OLE_LINK108"/>
      <w:bookmarkStart w:id="268" w:name="OLE_LINK107"/>
      <w:r>
        <w:rPr>
          <w:rFonts w:hint="eastAsia" w:ascii="宋体" w:hAnsi="宋体" w:eastAsia="宋体" w:cs="宋体"/>
          <w:color w:val="auto"/>
          <w:sz w:val="24"/>
          <w:szCs w:val="24"/>
          <w:highlight w:val="none"/>
        </w:rPr>
        <w:t>县级及以上有关行政主管部门限制投标资格且在限制期限内的</w:t>
      </w:r>
      <w:bookmarkEnd w:id="267"/>
      <w:bookmarkEnd w:id="268"/>
      <w:r>
        <w:rPr>
          <w:rFonts w:hint="eastAsia" w:ascii="宋体" w:hAnsi="宋体" w:eastAsia="宋体" w:cs="宋体"/>
          <w:color w:val="auto"/>
          <w:sz w:val="24"/>
          <w:szCs w:val="24"/>
          <w:highlight w:val="none"/>
        </w:rPr>
        <w:t>；</w:t>
      </w:r>
    </w:p>
    <w:p w14:paraId="70DF7291">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265"/>
    <w:bookmarkEnd w:id="266"/>
    <w:p w14:paraId="46197D4B">
      <w:pPr>
        <w:adjustRightInd w:val="0"/>
        <w:snapToGrid w:val="0"/>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（二）政府采购项目</w:t>
      </w:r>
    </w:p>
    <w:p w14:paraId="125E0F79">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1、“信用中国”网站（</w:t>
      </w:r>
      <w:r>
        <w:rPr>
          <w:rStyle w:val="42"/>
          <w:rFonts w:hint="eastAsia" w:ascii="宋体" w:hAnsi="宋体" w:eastAsia="宋体" w:cs="宋体"/>
          <w:color w:val="auto"/>
          <w:sz w:val="24"/>
          <w:szCs w:val="24"/>
          <w:highlight w:val="none"/>
        </w:rPr>
        <w:t>www.creditchina.gov.cn</w:t>
      </w:r>
      <w:r>
        <w:rPr>
          <w:rFonts w:hint="eastAsia" w:ascii="宋体" w:hAnsi="宋体" w:eastAsia="宋体" w:cs="宋体"/>
          <w:color w:val="auto"/>
          <w:sz w:val="24"/>
          <w:szCs w:val="24"/>
          <w:highlight w:val="none"/>
        </w:rPr>
        <w:t>）查询供应商、法定代表人及其项目负责人以下失信行为：</w:t>
      </w:r>
    </w:p>
    <w:p w14:paraId="587B565A">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①被列入“失信被执行人”的;</w:t>
      </w:r>
    </w:p>
    <w:p w14:paraId="6449C0B7">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②被列入“重大税收违法失信主体”的；</w:t>
      </w:r>
    </w:p>
    <w:p w14:paraId="0DEF0249">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③被列入 “严重失信主体名单”的；</w:t>
      </w:r>
    </w:p>
    <w:p w14:paraId="5F20AF7F">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④在“信用中国”网站上披露的仍在公示期的严重失信行为(具体行为类别及判定依据见附件2)的。</w:t>
      </w:r>
    </w:p>
    <w:p w14:paraId="4879C9FA">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2、国家企业信用信息公示系统网站（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"http://www.gsxt.gov.cn）查询"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www.gsxt.gov.cn）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查询供应商以下失信行为：</w:t>
      </w:r>
    </w:p>
    <w:p w14:paraId="62651BEC">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w:t>
      </w:r>
      <w:bookmarkStart w:id="269" w:name="OLE_LINK102"/>
      <w:bookmarkStart w:id="270" w:name="OLE_LINK101"/>
      <w:bookmarkStart w:id="271" w:name="OLE_LINK100"/>
      <w:r>
        <w:rPr>
          <w:rFonts w:hint="eastAsia" w:ascii="宋体" w:hAnsi="宋体" w:eastAsia="宋体" w:cs="宋体"/>
          <w:color w:val="auto"/>
          <w:sz w:val="24"/>
          <w:szCs w:val="24"/>
          <w:highlight w:val="none"/>
        </w:rPr>
        <w:t>被列入“经营异常名录”或者“严重违法失信名单”的</w:t>
      </w:r>
      <w:bookmarkEnd w:id="269"/>
      <w:bookmarkEnd w:id="270"/>
      <w:bookmarkEnd w:id="271"/>
      <w:r>
        <w:rPr>
          <w:rFonts w:hint="eastAsia" w:ascii="宋体" w:hAnsi="宋体" w:eastAsia="宋体" w:cs="宋体"/>
          <w:color w:val="auto"/>
          <w:sz w:val="24"/>
          <w:szCs w:val="24"/>
          <w:highlight w:val="none"/>
        </w:rPr>
        <w:t>。</w:t>
      </w:r>
    </w:p>
    <w:p w14:paraId="3A923958">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3、中国政府采购网站（</w:t>
      </w:r>
      <w:bookmarkStart w:id="272" w:name="OLE_LINK95"/>
      <w:bookmarkStart w:id="273" w:name="OLE_LINK96"/>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www.ccgp.gov.cn</w:t>
      </w:r>
      <w:r>
        <w:rPr>
          <w:rFonts w:hint="eastAsia" w:ascii="宋体" w:hAnsi="宋体" w:eastAsia="宋体" w:cs="宋体"/>
          <w:color w:val="auto"/>
          <w:sz w:val="24"/>
          <w:szCs w:val="24"/>
          <w:highlight w:val="none"/>
        </w:rPr>
        <w:fldChar w:fldCharType="end"/>
      </w:r>
      <w:bookmarkEnd w:id="272"/>
      <w:bookmarkEnd w:id="273"/>
      <w:r>
        <w:rPr>
          <w:rFonts w:hint="eastAsia" w:ascii="宋体" w:hAnsi="宋体" w:eastAsia="宋体" w:cs="宋体"/>
          <w:color w:val="auto"/>
          <w:sz w:val="24"/>
          <w:szCs w:val="24"/>
          <w:highlight w:val="none"/>
        </w:rPr>
        <w:t>）查询以下失信行为：</w:t>
      </w:r>
    </w:p>
    <w:p w14:paraId="35C04349">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w:t>
      </w:r>
      <w:bookmarkStart w:id="274" w:name="OLE_LINK105"/>
      <w:bookmarkStart w:id="275" w:name="OLE_LINK104"/>
      <w:bookmarkStart w:id="276" w:name="OLE_LINK106"/>
      <w:r>
        <w:rPr>
          <w:rFonts w:hint="eastAsia" w:ascii="宋体" w:hAnsi="宋体" w:eastAsia="宋体" w:cs="宋体"/>
          <w:color w:val="auto"/>
          <w:sz w:val="24"/>
          <w:szCs w:val="24"/>
          <w:highlight w:val="none"/>
        </w:rPr>
        <w:t>被列入“政府采购严重违法失信行为信息记录”的</w:t>
      </w:r>
      <w:bookmarkEnd w:id="274"/>
      <w:bookmarkEnd w:id="275"/>
      <w:bookmarkEnd w:id="276"/>
      <w:r>
        <w:rPr>
          <w:rFonts w:hint="eastAsia" w:ascii="宋体" w:hAnsi="宋体" w:eastAsia="宋体" w:cs="宋体"/>
          <w:color w:val="auto"/>
          <w:sz w:val="24"/>
          <w:szCs w:val="24"/>
          <w:highlight w:val="none"/>
        </w:rPr>
        <w:t>。</w:t>
      </w:r>
    </w:p>
    <w:p w14:paraId="6F37C1DB">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4、由竞争主体进行承诺，不进行现场网上信用查询的失信行为：</w:t>
      </w:r>
    </w:p>
    <w:p w14:paraId="3A29A3C0">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①前三年有行贿犯罪行为的单位和个人。</w:t>
      </w:r>
    </w:p>
    <w:p w14:paraId="0AE1AAB9">
      <w:pPr>
        <w:adjustRightInd w:val="0"/>
        <w:snapToGrid w:val="0"/>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二、在开评标活动中的查询程序</w:t>
      </w:r>
    </w:p>
    <w:p w14:paraId="44F45E2B">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7AC8289E">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6A5C10AE">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3、项目单位及其委托的代理机构应当做好信用查询结果截图和记录留存。</w:t>
      </w:r>
    </w:p>
    <w:p w14:paraId="0C31672D">
      <w:pPr>
        <w:adjustRightInd w:val="0"/>
        <w:snapToGrid w:val="0"/>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三、相关要求</w:t>
      </w:r>
    </w:p>
    <w:p w14:paraId="24DE195B">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12B66206">
      <w:pPr>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6CD16811">
      <w:pPr>
        <w:wordWrap w:val="0"/>
        <w:adjustRightInd w:val="0"/>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"https://credit.ah.gov.cn/xinyong-fuwu/xvbahv/index.html"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https://credit.ah.gov.cn/xinyong-fuwu/xvbahv/index.html</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35F8E462">
      <w:pPr>
        <w:adjustRightInd w:val="0"/>
        <w:snapToGrid w:val="0"/>
        <w:spacing w:line="56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2、“信用中国”查询的严重失信行为判定依据为各行业主管部门下发的联合惩戒文件中规定的行为（按附件2执行）。</w:t>
      </w:r>
    </w:p>
    <w:p w14:paraId="36F92A93">
      <w:pPr>
        <w:spacing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3、资格预审的项目以递交资格预审申请文件截止时间查询为准；资格后审的项目以递交投标文件截止时间查询为准。</w:t>
      </w:r>
      <w:r>
        <w:rPr>
          <w:rFonts w:hint="eastAsia" w:ascii="宋体" w:hAnsi="宋体" w:eastAsia="宋体" w:cs="宋体"/>
          <w:b/>
          <w:color w:val="auto"/>
          <w:sz w:val="24"/>
          <w:szCs w:val="24"/>
          <w:highlight w:val="none"/>
          <w:lang w:bidi="ar"/>
        </w:rPr>
        <w:t xml:space="preserve"> </w:t>
      </w:r>
    </w:p>
    <w:p w14:paraId="4D84AFFE">
      <w:pPr>
        <w:pStyle w:val="2"/>
        <w:ind w:firstLine="420"/>
        <w:rPr>
          <w:color w:val="auto"/>
          <w:highlight w:val="none"/>
        </w:rPr>
      </w:pPr>
      <w:r>
        <w:rPr>
          <w:rFonts w:hint="eastAsia"/>
          <w:color w:val="auto"/>
          <w:highlight w:val="none"/>
        </w:rPr>
        <w:t xml:space="preserve"> </w:t>
      </w:r>
    </w:p>
    <w:p w14:paraId="27ECF83D">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r>
        <w:rPr>
          <w:rFonts w:hint="eastAsia" w:ascii="宋体" w:hAnsi="宋体" w:eastAsia="宋体" w:cs="宋体"/>
          <w:b/>
          <w:color w:val="auto"/>
          <w:sz w:val="24"/>
          <w:szCs w:val="24"/>
          <w:highlight w:val="none"/>
          <w:lang w:bidi="ar"/>
        </w:rPr>
        <w:t>附件</w:t>
      </w:r>
      <w:r>
        <w:rPr>
          <w:rFonts w:ascii="Times New Roman" w:hAnsi="Times New Roman" w:eastAsia="宋体" w:cs="Times New Roman"/>
          <w:b/>
          <w:color w:val="auto"/>
          <w:sz w:val="24"/>
          <w:szCs w:val="24"/>
          <w:highlight w:val="none"/>
          <w:lang w:bidi="ar"/>
        </w:rPr>
        <w:t>2</w:t>
      </w:r>
    </w:p>
    <w:p w14:paraId="445565DE">
      <w:pPr>
        <w:adjustRightInd w:val="0"/>
        <w:snapToGrid w:val="0"/>
        <w:spacing w:line="560" w:lineRule="exact"/>
        <w:ind w:firstLine="645"/>
        <w:jc w:val="center"/>
        <w:rPr>
          <w:rFonts w:hint="eastAsia" w:ascii="宋体" w:hAnsi="宋体" w:eastAsia="宋体" w:cs="宋体"/>
          <w:b/>
          <w:color w:val="auto"/>
          <w:sz w:val="24"/>
          <w:szCs w:val="24"/>
          <w:highlight w:val="none"/>
          <w:lang w:eastAsia="zh-CN" w:bidi="ar"/>
        </w:rPr>
      </w:pPr>
      <w:r>
        <w:rPr>
          <w:rFonts w:hint="eastAsia" w:ascii="宋体" w:hAnsi="宋体" w:eastAsia="宋体" w:cs="宋体"/>
          <w:b/>
          <w:color w:val="auto"/>
          <w:sz w:val="24"/>
          <w:szCs w:val="24"/>
          <w:highlight w:val="none"/>
          <w:lang w:eastAsia="zh-CN" w:bidi="ar"/>
        </w:rPr>
        <w:t>“信用中国”查询的严重失信行为类别及判定依据</w:t>
      </w:r>
    </w:p>
    <w:p w14:paraId="2EC3C4E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“信用中国”查询的严重失信行为判定依据为各行业主管部门下发的联合惩戒文件中规定的行为。下面将部分类别的严重失信行为列举如下：</w:t>
      </w:r>
    </w:p>
    <w:p w14:paraId="17DD0DC0">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一、安全生产领域严重失信行为：</w:t>
      </w:r>
    </w:p>
    <w:p w14:paraId="06B8DD9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（一）下列发生生产安全事故的生产经营单位及其有关人员应当列入严重失信主体名单：</w:t>
      </w:r>
    </w:p>
    <w:p w14:paraId="37ED0E9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1、发生特别重大、重大生产安全事故的生产经营单位及其主要负责人，以及经调查认定对该事故发生负有责任，应当列入名单的其他单位和人员；</w:t>
      </w:r>
    </w:p>
    <w:p w14:paraId="2A18EB6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2、12个月内累计发生2起以上较大生产安全事故的生产经营单位及其主要负责人；</w:t>
      </w:r>
    </w:p>
    <w:p w14:paraId="566F343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3、发生生产安全事故，情节特别严重、影响特别恶劣，依照《中华人民共和国安全生产法》第一百一十四条的规定被处以罚款数额2倍以上5倍以下罚款的生产经营单位及其主要负责人；</w:t>
      </w:r>
    </w:p>
    <w:p w14:paraId="1E1DA33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4、瞒报、谎报生产安全事故的生产经营单位及其有关责任人员；</w:t>
      </w:r>
    </w:p>
    <w:p w14:paraId="49F568F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5、发生生产安全事故后，不立即组织抢救或者在事故调查处理期间擅离职守或者逃匿的生产经营单位主要负责人。</w:t>
      </w:r>
    </w:p>
    <w:p w14:paraId="72B7868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（二）下列未发生生产安全事故，但因安全生产违法行为，受到行政处罚的生产经营单位或者机构及其有关人员，应当列入严重失信主体名单：</w:t>
      </w:r>
    </w:p>
    <w:p w14:paraId="3C78E1A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1、未依法取得安全生产相关许可或者许可被暂扣、吊销期间从事相关生产经营活动的生产经营单位及其主要负责人；</w:t>
      </w:r>
    </w:p>
    <w:p w14:paraId="77EC91B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2、承担安全评价、认证、检测、检验职责的机构及其直接责任人员租借资质、挂靠、出具虚假报告或者证书的；</w:t>
      </w:r>
    </w:p>
    <w:p w14:paraId="2636D90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3、在应急管理部门作出行政处罚后，有执行能力拒不执行或者逃避执行的生产经营单位及其主要负责人；</w:t>
      </w:r>
    </w:p>
    <w:p w14:paraId="746FD1A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4、其他违反安全生产法律法规受到行政处罚，且性质恶劣、情节严重的。</w:t>
      </w:r>
    </w:p>
    <w:p w14:paraId="47C8C4D7">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依据：《安全生产严重失信主体名单管理办法》（2023年8月8日应急管理部令第11号）</w:t>
      </w:r>
    </w:p>
    <w:p w14:paraId="5B27FE07">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二、环境保护领域严重失信行为：</w:t>
      </w:r>
    </w:p>
    <w:p w14:paraId="2D9A91D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（一）因为环境违法构成</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"https://baike.sogou.com/m/fullLemma?lid=10403954&amp;g_ut=3"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环境犯罪</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的；</w:t>
      </w:r>
    </w:p>
    <w:p w14:paraId="7033D6B4">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"https://baike.sogou.com/m/fullLemma?lid=76033123&amp;g_ut=3"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建设项目环境影响评价</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文件未按规定通过审批，擅自开工建设的；</w:t>
      </w:r>
    </w:p>
    <w:p w14:paraId="48BD0B3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（三）建设项目环保设施未建成、环保措施未落实、未通过</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"https://baike.sogou.com/m/fullLemma?lid=6470550&amp;g_ut=3"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竣工环保验收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或者验收不合格，主体工程正式投入生产或者使用的；</w:t>
      </w:r>
    </w:p>
    <w:p w14:paraId="018573A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（四）建设项目性质、规模、地点、采用的生产工艺或者防治污染、防止生态破坏的措施发生重大变动，未重新报批环境影响评价文件，擅自投入生产或者使用的；</w:t>
      </w:r>
    </w:p>
    <w:p w14:paraId="02FE1F4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（五）主要污染物排放总量超过控制指标的；</w:t>
      </w:r>
    </w:p>
    <w:p w14:paraId="2CE71B00">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（六）私设暗管或者利用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"https://baike.sogou.com/m/fullLemma?lid=41657319&amp;g_ut=3"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渗井</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、渗坑、裂隙、溶洞等排放、倾倒、处置水污染物，或者通过私设旁路排放</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"https://baike.sogou.com/m/fullLemma?lid=7758328&amp;g_ut=3"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大气污染物</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的；</w:t>
      </w:r>
    </w:p>
    <w:p w14:paraId="50A8CA9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（七）非法排放、倾倒、处置危险废物，或者向无</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"https://baike.sogou.com/m/fullLemma?lid=5923292&amp;g_ut=3"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经营许可证</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或者超出经营许可范围的单位或个人提供或者委托其收集、贮存、利用、处置危险废物的；</w:t>
      </w:r>
    </w:p>
    <w:p w14:paraId="13B8C89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"https://baike.sogou.com/m/fullLemma?lid=167759803&amp;g_ut=3"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环境违法行为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造成集中式生活饮用水水源取水中断的；</w:t>
      </w:r>
    </w:p>
    <w:p w14:paraId="4C29D21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（九）环境违法行为对生活饮用水水源保护区、自然保护区、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"https://baike.sogou.com/m/fullLemma?lid=155199213&amp;g_ut=3"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国家重点生态功能区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、风景名胜区、居住功能区、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"https://baike.sogou.com/m/fullLemma?lid=7757164&amp;g_ut=3" \t "https://baike.sogou.com/m/_blank"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基本农田保护区</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等环境敏感区造成重大不利影响的；</w:t>
      </w:r>
    </w:p>
    <w:p w14:paraId="16DA445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（十）违法从事自然资源开发、交通基础设施建设，以及其他开发建设活动，造成严重生态破坏的；</w:t>
      </w:r>
    </w:p>
    <w:p w14:paraId="55730F7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（十一）发生较大及以上突发环境事件的；</w:t>
      </w:r>
    </w:p>
    <w:p w14:paraId="3EB1517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（十二）被环保部门挂牌督办，整改逾期未完成的；</w:t>
      </w:r>
    </w:p>
    <w:p w14:paraId="37E08BE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（十三）以暴力、威胁等方式拒绝、阻挠环保部门工作人员现场检查的；</w:t>
      </w:r>
    </w:p>
    <w:p w14:paraId="64B5490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（十四）违反重污染天气应急预案有关规定，对重污染天气响应不力的。</w:t>
      </w:r>
    </w:p>
    <w:p w14:paraId="0A474106">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w:t>
      </w:r>
      <w:bookmarkStart w:id="277" w:name="OLE_LINK10"/>
      <w:bookmarkStart w:id="278" w:name="OLE_LINK9"/>
      <w:r>
        <w:rPr>
          <w:rFonts w:hint="eastAsia" w:ascii="宋体" w:hAnsi="宋体" w:eastAsia="宋体" w:cs="宋体"/>
          <w:b/>
          <w:color w:val="auto"/>
          <w:sz w:val="24"/>
          <w:szCs w:val="24"/>
          <w:highlight w:val="none"/>
        </w:rPr>
        <w:t>关于对环境保护领域失信生产经营单位及其有关人员开展联合惩戒的合作备忘录</w:t>
      </w:r>
      <w:bookmarkEnd w:id="277"/>
      <w:bookmarkEnd w:id="278"/>
      <w:r>
        <w:rPr>
          <w:rFonts w:hint="eastAsia" w:ascii="宋体" w:hAnsi="宋体" w:eastAsia="宋体" w:cs="宋体"/>
          <w:b/>
          <w:color w:val="auto"/>
          <w:sz w:val="24"/>
          <w:szCs w:val="24"/>
          <w:highlight w:val="none"/>
        </w:rPr>
        <w:t>》、《</w:t>
      </w:r>
      <w:bookmarkStart w:id="279" w:name="OLE_LINK11"/>
      <w:bookmarkStart w:id="280" w:name="OLE_LINK12"/>
      <w:r>
        <w:rPr>
          <w:rFonts w:hint="eastAsia" w:ascii="宋体" w:hAnsi="宋体" w:eastAsia="宋体" w:cs="宋体"/>
          <w:b/>
          <w:color w:val="auto"/>
          <w:sz w:val="24"/>
          <w:szCs w:val="24"/>
          <w:highlight w:val="none"/>
        </w:rPr>
        <w:t>企业环境信用评价办法（试行）</w:t>
      </w:r>
      <w:bookmarkEnd w:id="279"/>
      <w:bookmarkEnd w:id="280"/>
      <w:r>
        <w:rPr>
          <w:rFonts w:hint="eastAsia" w:ascii="宋体" w:hAnsi="宋体" w:eastAsia="宋体" w:cs="宋体"/>
          <w:b/>
          <w:color w:val="auto"/>
          <w:sz w:val="24"/>
          <w:szCs w:val="24"/>
          <w:highlight w:val="none"/>
        </w:rPr>
        <w:t>》（环发〔2013〕150号）</w:t>
      </w:r>
    </w:p>
    <w:p w14:paraId="7EA63CD3">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bCs/>
          <w:color w:val="auto"/>
          <w:sz w:val="24"/>
          <w:szCs w:val="24"/>
          <w:highlight w:val="none"/>
        </w:rPr>
        <w:t>公共资源交易领域严重失信行为</w:t>
      </w:r>
    </w:p>
    <w:p w14:paraId="0FE8FF6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（一）违反法律规定，必须进行招标的项目而不招标的，将必须进行招标的项目化整为零或者以其他任何方式规避招标的； </w:t>
      </w:r>
    </w:p>
    <w:p w14:paraId="25D9907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（二）招标代理机构违反法律规定，泄露应当保密的与招标投标活动有关的情况和资料的，或者与招标人、投标人串通损害 国家利益、社会公共利益或者他人合法权益的；</w:t>
      </w:r>
    </w:p>
    <w:p w14:paraId="0FAA6A3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（三）招标人以不合理的条件限制或者排斥潜在投标人的，对潜在投标人实行歧视待遇的，强制要求投标人组成联合体共同 投标的，或者限制投标人之间竞争的；</w:t>
      </w:r>
    </w:p>
    <w:p w14:paraId="23C2915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（四）依法必须进行招标的项目的招标人向他人透露已获取招标文件的潜在投标人的名称、数量或者可能影响公平竞争的有 关招标投标的其他情况的，或者泄露标底的；</w:t>
      </w:r>
    </w:p>
    <w:p w14:paraId="1BEC9034">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（五）投标人相互串通投标或者与招标人串通投标的，投标人以向招标人或者评标委员会成员行贿的手段谋取中标的； </w:t>
      </w:r>
    </w:p>
    <w:p w14:paraId="7D8E21E5">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（六）投标人以他人名义投标或者以其他方式弄虚作假，骗取中标的；</w:t>
      </w:r>
    </w:p>
    <w:p w14:paraId="3DC700B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（七）依法必须进行招标的项目，招标人违反法律规定，与投标人就投标价格、投标方案等实质性内容进行谈判的；</w:t>
      </w:r>
    </w:p>
    <w:p w14:paraId="50C7840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5F933AA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（九）招标人在评标委员会依法推荐的中标候选人以外确定中标人的，依法必须进行招标的项目在所有投标被评标委员会否 决后自行确定中标人的； </w:t>
      </w:r>
    </w:p>
    <w:p w14:paraId="4DCD46C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（十）中标人将中标项目转让给他人的，将中标项目肢解后分别转让给他人的，违反法律规定将中标项目的部分主体、关键 性工作分包给他人的，或者分包人再次分包的； </w:t>
      </w:r>
    </w:p>
    <w:p w14:paraId="5B32362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（十一）招标人与中标人不按照招标文件和中标人的投标文件订立合同的，或者招标人、中标人订立背离合同实质性内容的 协议的； </w:t>
      </w:r>
    </w:p>
    <w:p w14:paraId="7904753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（十二）中标人不按照与招标人订立的合同履行义务，情节严重的； </w:t>
      </w:r>
    </w:p>
    <w:p w14:paraId="7316020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5E02950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33B2C44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（十五）采购人对应当实行集中采购的政府采购项目，不委托集中采购机构实行集中采购的； </w:t>
      </w:r>
    </w:p>
    <w:p w14:paraId="4822127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（十六）采购人、采购代理机构违反法律规定隐匿、销毁应当保存的采购文件或者伪造、变造采购文件的； </w:t>
      </w:r>
    </w:p>
    <w:p w14:paraId="13B75D72">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76CDAACA">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（十八）疫苗生产企业向县级疾病预防控制机构以外的单位或者个人销售第二类疫苗的； </w:t>
      </w:r>
    </w:p>
    <w:p w14:paraId="676C99A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（十九）存在其他违反公共资源交易法律法规行为的。</w:t>
      </w:r>
    </w:p>
    <w:p w14:paraId="54FB3063">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依据：《</w:t>
      </w:r>
      <w:bookmarkStart w:id="281" w:name="OLE_LINK14"/>
      <w:bookmarkStart w:id="282" w:name="OLE_LINK13"/>
      <w:r>
        <w:rPr>
          <w:rFonts w:hint="eastAsia" w:ascii="宋体" w:hAnsi="宋体" w:eastAsia="宋体" w:cs="宋体"/>
          <w:b/>
          <w:color w:val="auto"/>
          <w:sz w:val="24"/>
          <w:szCs w:val="24"/>
          <w:highlight w:val="none"/>
        </w:rPr>
        <w:t>关于对公共资源交易领域严重失信主体开展联合惩戒的备忘录</w:t>
      </w:r>
      <w:bookmarkEnd w:id="281"/>
      <w:bookmarkEnd w:id="282"/>
      <w:r>
        <w:rPr>
          <w:rFonts w:hint="eastAsia" w:ascii="宋体" w:hAnsi="宋体" w:eastAsia="宋体" w:cs="宋体"/>
          <w:b/>
          <w:color w:val="auto"/>
          <w:sz w:val="24"/>
          <w:szCs w:val="24"/>
          <w:highlight w:val="none"/>
        </w:rPr>
        <w:t>》（发改法规〔2018〕457号）</w:t>
      </w:r>
    </w:p>
    <w:p w14:paraId="0CEE45A4">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w:t>
      </w:r>
      <w:r>
        <w:rPr>
          <w:rFonts w:hint="eastAsia" w:ascii="宋体" w:hAnsi="宋体" w:eastAsia="宋体" w:cs="宋体"/>
          <w:b/>
          <w:bCs/>
          <w:color w:val="auto"/>
          <w:sz w:val="24"/>
          <w:szCs w:val="24"/>
          <w:highlight w:val="none"/>
        </w:rPr>
        <w:t>社会保险领域严重失信行为</w:t>
      </w:r>
    </w:p>
    <w:p w14:paraId="488DE6A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（一）用人单位未按相关规定参加社会保险且拒不整改的； </w:t>
      </w:r>
    </w:p>
    <w:p w14:paraId="0D4A8926">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（二）用人单位未如实申报社会保险缴费基数且拒不整改的； </w:t>
      </w:r>
    </w:p>
    <w:p w14:paraId="7D43694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（三）应缴纳社会保险费却拒不缴纳的； </w:t>
      </w:r>
    </w:p>
    <w:p w14:paraId="0BAF919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（四）隐匿、转移、侵占、挪用社会保险费款、基金或者违规投资运营的；</w:t>
      </w:r>
    </w:p>
    <w:p w14:paraId="02513638">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（五）以欺诈、伪造证明材料或者其他手段参加、申报社会保险和骗取社会保险基金支出或社会保险待遇的； </w:t>
      </w:r>
    </w:p>
    <w:p w14:paraId="3CAB673B">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（六）非法获取、出售或变相交易社会保险个人权益数据的； </w:t>
      </w:r>
    </w:p>
    <w:p w14:paraId="20D9FCE7">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（七）社会保险服务机构违反服务协议或相关规定的； </w:t>
      </w:r>
    </w:p>
    <w:p w14:paraId="69C9CBD9">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（八）拒绝协助社会保险行政部门、经办机构对事故和问题进 行调查核实的；拒绝接受或协助税务部门对社会保险实施监督检查， 不如实提供与社会保险相关各项资料的； </w:t>
      </w:r>
    </w:p>
    <w:p w14:paraId="6A19F9BD">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（九）其他违反法律法规规定的。</w:t>
      </w:r>
    </w:p>
    <w:p w14:paraId="6CF9D8C2">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依据：《</w:t>
      </w:r>
      <w:bookmarkStart w:id="283" w:name="OLE_LINK16"/>
      <w:bookmarkStart w:id="284" w:name="OLE_LINK15"/>
      <w:r>
        <w:rPr>
          <w:rFonts w:hint="eastAsia" w:ascii="宋体" w:hAnsi="宋体" w:eastAsia="宋体" w:cs="宋体"/>
          <w:b/>
          <w:color w:val="auto"/>
          <w:sz w:val="24"/>
          <w:szCs w:val="24"/>
          <w:highlight w:val="none"/>
        </w:rPr>
        <w:t>关于对社会保险领域严重失信企业及其有关人员实施联合惩戒的合作备忘录</w:t>
      </w:r>
      <w:bookmarkEnd w:id="283"/>
      <w:bookmarkEnd w:id="284"/>
      <w:r>
        <w:rPr>
          <w:rFonts w:hint="eastAsia" w:ascii="宋体" w:hAnsi="宋体" w:eastAsia="宋体" w:cs="宋体"/>
          <w:b/>
          <w:color w:val="auto"/>
          <w:sz w:val="24"/>
          <w:szCs w:val="24"/>
          <w:highlight w:val="none"/>
        </w:rPr>
        <w:t>》（发改财金〔2018〕1704号）</w:t>
      </w:r>
    </w:p>
    <w:p w14:paraId="2C5DEA71">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五、建筑市场领域</w:t>
      </w:r>
      <w:r>
        <w:rPr>
          <w:rFonts w:hint="eastAsia" w:ascii="宋体" w:hAnsi="宋体" w:eastAsia="宋体" w:cs="宋体"/>
          <w:b/>
          <w:bCs/>
          <w:color w:val="auto"/>
          <w:sz w:val="24"/>
          <w:szCs w:val="24"/>
          <w:highlight w:val="none"/>
        </w:rPr>
        <w:t>严重失信行为</w:t>
      </w:r>
    </w:p>
    <w:p w14:paraId="49F00CFE">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（一）利用虚假材料、以欺骗手段取得企业资质的；</w:t>
      </w:r>
    </w:p>
    <w:p w14:paraId="12509533">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（二）发生转包、出借资质，受到行政处罚的；</w:t>
      </w:r>
    </w:p>
    <w:p w14:paraId="53DF6BBC">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（三）发生重大及以上工程质量安全事故，或1年内累计发生2次及以上较大工程质量安全事故，或发生性质恶劣、危害性严重、社会影响大的较大工程质量安全事故，受到行政处罚的；</w:t>
      </w:r>
    </w:p>
    <w:p w14:paraId="2CAD7ED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（四）经法院判决或仲裁机构裁决，认定为拖欠工程款,且拒不履行生效法律文书确定的义务的。</w:t>
      </w:r>
    </w:p>
    <w:p w14:paraId="34C47B0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各级住房城乡建设主管部门应当参照建筑市场主体“黑名单”，对被人力资源社会保障行政部门列入拖欠农民工工资“黑名单”的建筑市场各方主体加强监管。</w:t>
      </w:r>
    </w:p>
    <w:p w14:paraId="78ECD242">
      <w:pPr>
        <w:keepNext w:val="0"/>
        <w:keepLines w:val="0"/>
        <w:pageBreakBefore w:val="0"/>
        <w:widowControl w:val="0"/>
        <w:kinsoku/>
        <w:wordWrap/>
        <w:overflowPunct/>
        <w:topLinePunct w:val="0"/>
        <w:autoSpaceDE/>
        <w:autoSpaceDN/>
        <w:bidi w:val="0"/>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w:t>
      </w:r>
      <w:bookmarkStart w:id="285" w:name="OLE_LINK17"/>
      <w:bookmarkStart w:id="286" w:name="OLE_LINK18"/>
      <w:r>
        <w:rPr>
          <w:rFonts w:hint="eastAsia" w:ascii="宋体" w:hAnsi="宋体" w:eastAsia="宋体" w:cs="宋体"/>
          <w:b/>
          <w:color w:val="auto"/>
          <w:sz w:val="24"/>
          <w:szCs w:val="24"/>
          <w:highlight w:val="none"/>
        </w:rPr>
        <w:t>建筑市场信用管理暂行办法</w:t>
      </w:r>
      <w:bookmarkEnd w:id="285"/>
      <w:bookmarkEnd w:id="286"/>
      <w:r>
        <w:rPr>
          <w:rFonts w:hint="eastAsia" w:ascii="宋体" w:hAnsi="宋体" w:eastAsia="宋体" w:cs="宋体"/>
          <w:b/>
          <w:color w:val="auto"/>
          <w:sz w:val="24"/>
          <w:szCs w:val="24"/>
          <w:highlight w:val="none"/>
        </w:rPr>
        <w:t>》（建市〔2017〕241号）</w:t>
      </w:r>
    </w:p>
    <w:p w14:paraId="63572175">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w:t>
      </w:r>
      <w:bookmarkStart w:id="287" w:name="OLE_LINK20"/>
      <w:bookmarkStart w:id="288" w:name="OLE_LINK19"/>
      <w:r>
        <w:rPr>
          <w:rFonts w:hint="eastAsia" w:ascii="宋体" w:hAnsi="宋体" w:eastAsia="宋体" w:cs="宋体"/>
          <w:b/>
          <w:color w:val="auto"/>
          <w:sz w:val="24"/>
          <w:szCs w:val="24"/>
          <w:highlight w:val="none"/>
        </w:rPr>
        <w:t>政府采购严重失信行为</w:t>
      </w:r>
      <w:bookmarkEnd w:id="287"/>
      <w:bookmarkEnd w:id="288"/>
    </w:p>
    <w:p w14:paraId="2CEC36C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供应商、采购代理机构在三年内受到财政部门作出下列情形之一的行政处罚，列入政府采购严重违法失信行为记录名单。</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（一）三万元以上罚款；</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（二）在一至三年内禁止参加政府采购活动（处罚期限届满的除外）；</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（三）在一至三年内禁止代理政府采购业务（处罚期限届满的除外）；</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（四）撤销政府采购代理机构资格（仅针对《政府采购法》第78条修改前作出的处罚决定）。</w:t>
      </w:r>
    </w:p>
    <w:p w14:paraId="4806C2B7">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依据：《关于报送政府采购严重违法失信行为信息记录的通知》（财办库〔2014〕526号）</w:t>
      </w:r>
    </w:p>
    <w:p w14:paraId="08E7ED82">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未列出的其他类别严重失信行为，由招标人（代理机构）根据各类别行业主管部门下发的联合惩戒文件进行判断。</w:t>
      </w:r>
    </w:p>
    <w:p w14:paraId="5B3F71E4">
      <w:pPr>
        <w:rPr>
          <w:rFonts w:hint="eastAsia" w:ascii="仿宋_GB2312" w:hAnsi="宋体" w:eastAsia="仿宋_GB2312"/>
          <w:b/>
          <w:color w:val="auto"/>
          <w:sz w:val="32"/>
          <w:szCs w:val="32"/>
          <w:highlight w:val="none"/>
        </w:rPr>
      </w:pPr>
    </w:p>
    <w:p w14:paraId="026D9CD4">
      <w:pPr>
        <w:rPr>
          <w:rFonts w:hint="eastAsia"/>
          <w:color w:val="auto"/>
          <w:highlight w:val="none"/>
        </w:rPr>
      </w:pPr>
    </w:p>
    <w:bookmarkEnd w:id="289"/>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25729">
    <w:pPr>
      <w:pStyle w:val="23"/>
      <w:tabs>
        <w:tab w:val="left" w:pos="7350"/>
      </w:tabs>
      <w:jc w:val="center"/>
      <w:rPr>
        <w:rFonts w:hint="eastAsia" w:asciiTheme="minorEastAsia" w:hAnsiTheme="minorEastAsia" w:eastAsiaTheme="minorEastAsia"/>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AC38B">
    <w:pPr>
      <w:pStyle w:val="23"/>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2CA5E">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B72CA5E">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9B54F">
    <w:pPr>
      <w:pStyle w:val="24"/>
      <w:pBdr>
        <w:bottom w:val="none" w:color="auto" w:sz="0" w:space="1"/>
      </w:pBdr>
      <w:jc w:val="left"/>
      <w:rPr>
        <w:rFonts w:hint="eastAsia" w:asciiTheme="minorEastAsia" w:hAnsiTheme="minorEastAsia" w:eastAsiaTheme="minor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ADE8">
    <w:pPr>
      <w:pStyle w:val="24"/>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E9817F"/>
    <w:multiLevelType w:val="singleLevel"/>
    <w:tmpl w:val="1CE9817F"/>
    <w:lvl w:ilvl="0" w:tentative="0">
      <w:start w:val="6"/>
      <w:numFmt w:val="chineseCounting"/>
      <w:suff w:val="space"/>
      <w:lvlText w:val="第%1章"/>
      <w:lvlJc w:val="left"/>
      <w:rPr>
        <w:rFonts w:hint="eastAsia"/>
      </w:rPr>
    </w:lvl>
  </w:abstractNum>
  <w:abstractNum w:abstractNumId="1">
    <w:nsid w:val="3256FCC9"/>
    <w:multiLevelType w:val="singleLevel"/>
    <w:tmpl w:val="3256FCC9"/>
    <w:lvl w:ilvl="0" w:tentative="0">
      <w:start w:val="8"/>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yMGE2MjZlMTAwNzUzNTEzOTlmMTYxZWNlN2ViMzcifQ=="/>
  </w:docVars>
  <w:rsids>
    <w:rsidRoot w:val="00276BA1"/>
    <w:rsid w:val="0000043F"/>
    <w:rsid w:val="00003F56"/>
    <w:rsid w:val="000049DA"/>
    <w:rsid w:val="00004F40"/>
    <w:rsid w:val="000056B7"/>
    <w:rsid w:val="00012A13"/>
    <w:rsid w:val="000131F7"/>
    <w:rsid w:val="00013B38"/>
    <w:rsid w:val="00016B6C"/>
    <w:rsid w:val="00017D40"/>
    <w:rsid w:val="00017EC7"/>
    <w:rsid w:val="00020B57"/>
    <w:rsid w:val="00026768"/>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4943"/>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0F7B24"/>
    <w:rsid w:val="00100B0F"/>
    <w:rsid w:val="0010187C"/>
    <w:rsid w:val="001037E3"/>
    <w:rsid w:val="00106AE1"/>
    <w:rsid w:val="00110911"/>
    <w:rsid w:val="00113042"/>
    <w:rsid w:val="00116A70"/>
    <w:rsid w:val="0012143A"/>
    <w:rsid w:val="001222C6"/>
    <w:rsid w:val="00126A7B"/>
    <w:rsid w:val="001303BB"/>
    <w:rsid w:val="00136D80"/>
    <w:rsid w:val="00137C7C"/>
    <w:rsid w:val="00140687"/>
    <w:rsid w:val="00141707"/>
    <w:rsid w:val="00142AAF"/>
    <w:rsid w:val="00143940"/>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601E"/>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A7F45"/>
    <w:rsid w:val="001B21DF"/>
    <w:rsid w:val="001B2A54"/>
    <w:rsid w:val="001B5014"/>
    <w:rsid w:val="001B501E"/>
    <w:rsid w:val="001B7327"/>
    <w:rsid w:val="001C1409"/>
    <w:rsid w:val="001C67F2"/>
    <w:rsid w:val="001D4358"/>
    <w:rsid w:val="001D457B"/>
    <w:rsid w:val="001D53B4"/>
    <w:rsid w:val="001D7FD1"/>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6810"/>
    <w:rsid w:val="00260860"/>
    <w:rsid w:val="00260B94"/>
    <w:rsid w:val="00264F2E"/>
    <w:rsid w:val="00267521"/>
    <w:rsid w:val="00271245"/>
    <w:rsid w:val="00272CB9"/>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93C"/>
    <w:rsid w:val="002B6D27"/>
    <w:rsid w:val="002C3776"/>
    <w:rsid w:val="002C4BA9"/>
    <w:rsid w:val="002D1258"/>
    <w:rsid w:val="002D128A"/>
    <w:rsid w:val="002D2965"/>
    <w:rsid w:val="002D3D02"/>
    <w:rsid w:val="002D4CB5"/>
    <w:rsid w:val="002D684B"/>
    <w:rsid w:val="002E3B26"/>
    <w:rsid w:val="002E4AB8"/>
    <w:rsid w:val="002F092B"/>
    <w:rsid w:val="002F298D"/>
    <w:rsid w:val="002F5981"/>
    <w:rsid w:val="002F72EE"/>
    <w:rsid w:val="00310070"/>
    <w:rsid w:val="003110EC"/>
    <w:rsid w:val="00313029"/>
    <w:rsid w:val="00324D38"/>
    <w:rsid w:val="00327C92"/>
    <w:rsid w:val="0033245B"/>
    <w:rsid w:val="00333292"/>
    <w:rsid w:val="003344E7"/>
    <w:rsid w:val="0033580B"/>
    <w:rsid w:val="0033628B"/>
    <w:rsid w:val="003365E7"/>
    <w:rsid w:val="003374F8"/>
    <w:rsid w:val="003378D5"/>
    <w:rsid w:val="003419E9"/>
    <w:rsid w:val="003447AE"/>
    <w:rsid w:val="003473D7"/>
    <w:rsid w:val="00351AC8"/>
    <w:rsid w:val="00353075"/>
    <w:rsid w:val="00363E02"/>
    <w:rsid w:val="00367834"/>
    <w:rsid w:val="00373A96"/>
    <w:rsid w:val="003826C2"/>
    <w:rsid w:val="00383728"/>
    <w:rsid w:val="00383B8D"/>
    <w:rsid w:val="00391586"/>
    <w:rsid w:val="00394128"/>
    <w:rsid w:val="003947A4"/>
    <w:rsid w:val="00395235"/>
    <w:rsid w:val="0039561A"/>
    <w:rsid w:val="00397C7D"/>
    <w:rsid w:val="003A004F"/>
    <w:rsid w:val="003A20B5"/>
    <w:rsid w:val="003B4130"/>
    <w:rsid w:val="003B65AB"/>
    <w:rsid w:val="003B67D3"/>
    <w:rsid w:val="003B6C76"/>
    <w:rsid w:val="003B715B"/>
    <w:rsid w:val="003C4630"/>
    <w:rsid w:val="003D1D14"/>
    <w:rsid w:val="003D6C7C"/>
    <w:rsid w:val="003D6EFB"/>
    <w:rsid w:val="003D7E52"/>
    <w:rsid w:val="003E1F34"/>
    <w:rsid w:val="003E25C6"/>
    <w:rsid w:val="003E6BEB"/>
    <w:rsid w:val="003F145B"/>
    <w:rsid w:val="003F2122"/>
    <w:rsid w:val="003F326A"/>
    <w:rsid w:val="004011AA"/>
    <w:rsid w:val="0040202C"/>
    <w:rsid w:val="00406508"/>
    <w:rsid w:val="0041456E"/>
    <w:rsid w:val="00414F7E"/>
    <w:rsid w:val="004164F8"/>
    <w:rsid w:val="00416830"/>
    <w:rsid w:val="00417FD0"/>
    <w:rsid w:val="00420B7F"/>
    <w:rsid w:val="004234BA"/>
    <w:rsid w:val="0042488B"/>
    <w:rsid w:val="00427732"/>
    <w:rsid w:val="004427B7"/>
    <w:rsid w:val="0044349F"/>
    <w:rsid w:val="00445F1F"/>
    <w:rsid w:val="00451F60"/>
    <w:rsid w:val="00452BB2"/>
    <w:rsid w:val="00453527"/>
    <w:rsid w:val="00455467"/>
    <w:rsid w:val="0045656D"/>
    <w:rsid w:val="004578E0"/>
    <w:rsid w:val="00462D98"/>
    <w:rsid w:val="004700D9"/>
    <w:rsid w:val="00472A44"/>
    <w:rsid w:val="00473A89"/>
    <w:rsid w:val="004745C6"/>
    <w:rsid w:val="00474D3B"/>
    <w:rsid w:val="00475899"/>
    <w:rsid w:val="004802A8"/>
    <w:rsid w:val="00482C78"/>
    <w:rsid w:val="004874AE"/>
    <w:rsid w:val="00492E2B"/>
    <w:rsid w:val="00494D24"/>
    <w:rsid w:val="004951D1"/>
    <w:rsid w:val="004A27D0"/>
    <w:rsid w:val="004A4D67"/>
    <w:rsid w:val="004A6A90"/>
    <w:rsid w:val="004A6FD2"/>
    <w:rsid w:val="004B2D4C"/>
    <w:rsid w:val="004C7378"/>
    <w:rsid w:val="004D1030"/>
    <w:rsid w:val="004D3D4B"/>
    <w:rsid w:val="004D5498"/>
    <w:rsid w:val="004D66A5"/>
    <w:rsid w:val="004D6B00"/>
    <w:rsid w:val="004D7951"/>
    <w:rsid w:val="004E0AE0"/>
    <w:rsid w:val="004E1D50"/>
    <w:rsid w:val="004E502F"/>
    <w:rsid w:val="004E6C6A"/>
    <w:rsid w:val="004F0396"/>
    <w:rsid w:val="00501382"/>
    <w:rsid w:val="00501E26"/>
    <w:rsid w:val="00503E2F"/>
    <w:rsid w:val="005054B9"/>
    <w:rsid w:val="00506E4F"/>
    <w:rsid w:val="00510798"/>
    <w:rsid w:val="005146A9"/>
    <w:rsid w:val="00514ED8"/>
    <w:rsid w:val="00515F12"/>
    <w:rsid w:val="00522B2E"/>
    <w:rsid w:val="00524A11"/>
    <w:rsid w:val="00525BEE"/>
    <w:rsid w:val="00527768"/>
    <w:rsid w:val="005327FB"/>
    <w:rsid w:val="00533FCA"/>
    <w:rsid w:val="0053524C"/>
    <w:rsid w:val="00541C0B"/>
    <w:rsid w:val="0054317E"/>
    <w:rsid w:val="00544C2A"/>
    <w:rsid w:val="00546D49"/>
    <w:rsid w:val="005512EB"/>
    <w:rsid w:val="00556D4C"/>
    <w:rsid w:val="005614B4"/>
    <w:rsid w:val="005616B5"/>
    <w:rsid w:val="00571315"/>
    <w:rsid w:val="0057573B"/>
    <w:rsid w:val="00582075"/>
    <w:rsid w:val="00584A63"/>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038CC"/>
    <w:rsid w:val="00610A66"/>
    <w:rsid w:val="00613177"/>
    <w:rsid w:val="00613F7C"/>
    <w:rsid w:val="00614BF2"/>
    <w:rsid w:val="0061618E"/>
    <w:rsid w:val="00620560"/>
    <w:rsid w:val="006208CB"/>
    <w:rsid w:val="006224B8"/>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1F12"/>
    <w:rsid w:val="00662EE8"/>
    <w:rsid w:val="00663813"/>
    <w:rsid w:val="00663C3B"/>
    <w:rsid w:val="00664AFD"/>
    <w:rsid w:val="00667567"/>
    <w:rsid w:val="0067391A"/>
    <w:rsid w:val="00674173"/>
    <w:rsid w:val="00674602"/>
    <w:rsid w:val="0067535A"/>
    <w:rsid w:val="00683CA0"/>
    <w:rsid w:val="00690CD9"/>
    <w:rsid w:val="00690DB1"/>
    <w:rsid w:val="00693404"/>
    <w:rsid w:val="006953D9"/>
    <w:rsid w:val="00697FE9"/>
    <w:rsid w:val="006A5FEE"/>
    <w:rsid w:val="006B1242"/>
    <w:rsid w:val="006B1DBC"/>
    <w:rsid w:val="006B61B3"/>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4AD"/>
    <w:rsid w:val="00702CF1"/>
    <w:rsid w:val="00703635"/>
    <w:rsid w:val="007054AA"/>
    <w:rsid w:val="00706D4B"/>
    <w:rsid w:val="00707B8C"/>
    <w:rsid w:val="00710804"/>
    <w:rsid w:val="0071110A"/>
    <w:rsid w:val="00711FC6"/>
    <w:rsid w:val="007130B1"/>
    <w:rsid w:val="00715071"/>
    <w:rsid w:val="0072140F"/>
    <w:rsid w:val="007231E9"/>
    <w:rsid w:val="00727C59"/>
    <w:rsid w:val="00734E5D"/>
    <w:rsid w:val="00735AF1"/>
    <w:rsid w:val="00736013"/>
    <w:rsid w:val="00737661"/>
    <w:rsid w:val="00753D83"/>
    <w:rsid w:val="00755D75"/>
    <w:rsid w:val="00756245"/>
    <w:rsid w:val="0076130F"/>
    <w:rsid w:val="00761662"/>
    <w:rsid w:val="00764043"/>
    <w:rsid w:val="007757CF"/>
    <w:rsid w:val="00776FFC"/>
    <w:rsid w:val="0078128F"/>
    <w:rsid w:val="0078683C"/>
    <w:rsid w:val="00790EDB"/>
    <w:rsid w:val="00791538"/>
    <w:rsid w:val="007918F0"/>
    <w:rsid w:val="00791CD5"/>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7E5E4A"/>
    <w:rsid w:val="007F5C72"/>
    <w:rsid w:val="007F6C6F"/>
    <w:rsid w:val="00801028"/>
    <w:rsid w:val="00802CE2"/>
    <w:rsid w:val="00803793"/>
    <w:rsid w:val="008043CA"/>
    <w:rsid w:val="0080643F"/>
    <w:rsid w:val="00814052"/>
    <w:rsid w:val="008149FD"/>
    <w:rsid w:val="00817A01"/>
    <w:rsid w:val="0082083B"/>
    <w:rsid w:val="00824F21"/>
    <w:rsid w:val="0082500C"/>
    <w:rsid w:val="00825E35"/>
    <w:rsid w:val="0083320B"/>
    <w:rsid w:val="008334F8"/>
    <w:rsid w:val="008341AA"/>
    <w:rsid w:val="00835D8E"/>
    <w:rsid w:val="008372F6"/>
    <w:rsid w:val="008377CA"/>
    <w:rsid w:val="00844D03"/>
    <w:rsid w:val="00847B0F"/>
    <w:rsid w:val="00847DBC"/>
    <w:rsid w:val="00852994"/>
    <w:rsid w:val="00873D89"/>
    <w:rsid w:val="00876659"/>
    <w:rsid w:val="00876677"/>
    <w:rsid w:val="0087734C"/>
    <w:rsid w:val="008812EE"/>
    <w:rsid w:val="00882141"/>
    <w:rsid w:val="00887E3B"/>
    <w:rsid w:val="0089189B"/>
    <w:rsid w:val="008922A8"/>
    <w:rsid w:val="00895728"/>
    <w:rsid w:val="00895BD5"/>
    <w:rsid w:val="0089742B"/>
    <w:rsid w:val="008A16C4"/>
    <w:rsid w:val="008A6FED"/>
    <w:rsid w:val="008B39C5"/>
    <w:rsid w:val="008B51AA"/>
    <w:rsid w:val="008B5AE0"/>
    <w:rsid w:val="008B7932"/>
    <w:rsid w:val="008C4704"/>
    <w:rsid w:val="008C67F2"/>
    <w:rsid w:val="008D064A"/>
    <w:rsid w:val="008D0FDB"/>
    <w:rsid w:val="008D2B0F"/>
    <w:rsid w:val="008D30BC"/>
    <w:rsid w:val="008D4BC4"/>
    <w:rsid w:val="008E449E"/>
    <w:rsid w:val="008E7062"/>
    <w:rsid w:val="008F187F"/>
    <w:rsid w:val="008F402F"/>
    <w:rsid w:val="008F55FA"/>
    <w:rsid w:val="008F5CEE"/>
    <w:rsid w:val="008F613F"/>
    <w:rsid w:val="008F76E8"/>
    <w:rsid w:val="008F7CD0"/>
    <w:rsid w:val="00902902"/>
    <w:rsid w:val="00902A4B"/>
    <w:rsid w:val="009078A1"/>
    <w:rsid w:val="00911E9C"/>
    <w:rsid w:val="00915083"/>
    <w:rsid w:val="00917405"/>
    <w:rsid w:val="00920035"/>
    <w:rsid w:val="00920F7C"/>
    <w:rsid w:val="00922958"/>
    <w:rsid w:val="00934CAE"/>
    <w:rsid w:val="0094257D"/>
    <w:rsid w:val="00942F60"/>
    <w:rsid w:val="0095211B"/>
    <w:rsid w:val="0095467C"/>
    <w:rsid w:val="00954A61"/>
    <w:rsid w:val="00955C6F"/>
    <w:rsid w:val="00966C7B"/>
    <w:rsid w:val="009701DC"/>
    <w:rsid w:val="009715D8"/>
    <w:rsid w:val="00976F32"/>
    <w:rsid w:val="00980D0D"/>
    <w:rsid w:val="00985C4B"/>
    <w:rsid w:val="00994568"/>
    <w:rsid w:val="00995BF9"/>
    <w:rsid w:val="00997C3C"/>
    <w:rsid w:val="009A0CAF"/>
    <w:rsid w:val="009A1474"/>
    <w:rsid w:val="009A2207"/>
    <w:rsid w:val="009A5147"/>
    <w:rsid w:val="009A74C4"/>
    <w:rsid w:val="009A7605"/>
    <w:rsid w:val="009B02D2"/>
    <w:rsid w:val="009B6C42"/>
    <w:rsid w:val="009B6CC2"/>
    <w:rsid w:val="009D31F7"/>
    <w:rsid w:val="009D32C2"/>
    <w:rsid w:val="009D50DB"/>
    <w:rsid w:val="009D72A0"/>
    <w:rsid w:val="009D7989"/>
    <w:rsid w:val="009E3A0A"/>
    <w:rsid w:val="009F26D4"/>
    <w:rsid w:val="009F3E91"/>
    <w:rsid w:val="009F6CE7"/>
    <w:rsid w:val="009F7D7D"/>
    <w:rsid w:val="00A01670"/>
    <w:rsid w:val="00A1499B"/>
    <w:rsid w:val="00A20879"/>
    <w:rsid w:val="00A20AFC"/>
    <w:rsid w:val="00A23E47"/>
    <w:rsid w:val="00A314C2"/>
    <w:rsid w:val="00A43B9C"/>
    <w:rsid w:val="00A53155"/>
    <w:rsid w:val="00A546B5"/>
    <w:rsid w:val="00A566C5"/>
    <w:rsid w:val="00A56FFA"/>
    <w:rsid w:val="00A577AE"/>
    <w:rsid w:val="00A63E86"/>
    <w:rsid w:val="00A65A1C"/>
    <w:rsid w:val="00A757C3"/>
    <w:rsid w:val="00A75E5B"/>
    <w:rsid w:val="00A7684A"/>
    <w:rsid w:val="00A80B42"/>
    <w:rsid w:val="00A82AED"/>
    <w:rsid w:val="00A83B69"/>
    <w:rsid w:val="00A86533"/>
    <w:rsid w:val="00A9176A"/>
    <w:rsid w:val="00A91CA2"/>
    <w:rsid w:val="00A92FB8"/>
    <w:rsid w:val="00A93B2F"/>
    <w:rsid w:val="00A948F1"/>
    <w:rsid w:val="00AA1D7D"/>
    <w:rsid w:val="00AA7525"/>
    <w:rsid w:val="00AB0EA9"/>
    <w:rsid w:val="00AB139D"/>
    <w:rsid w:val="00AB2C46"/>
    <w:rsid w:val="00AB3EFB"/>
    <w:rsid w:val="00AB5EF7"/>
    <w:rsid w:val="00AB6862"/>
    <w:rsid w:val="00AC0B05"/>
    <w:rsid w:val="00AC763F"/>
    <w:rsid w:val="00AD079A"/>
    <w:rsid w:val="00AD1890"/>
    <w:rsid w:val="00AE2149"/>
    <w:rsid w:val="00AE33AE"/>
    <w:rsid w:val="00AE3785"/>
    <w:rsid w:val="00AE3F91"/>
    <w:rsid w:val="00AE452F"/>
    <w:rsid w:val="00AE76E6"/>
    <w:rsid w:val="00B00ACC"/>
    <w:rsid w:val="00B02A45"/>
    <w:rsid w:val="00B039E3"/>
    <w:rsid w:val="00B043C1"/>
    <w:rsid w:val="00B06E28"/>
    <w:rsid w:val="00B122AC"/>
    <w:rsid w:val="00B22838"/>
    <w:rsid w:val="00B27D52"/>
    <w:rsid w:val="00B32BC1"/>
    <w:rsid w:val="00B33E95"/>
    <w:rsid w:val="00B34EE1"/>
    <w:rsid w:val="00B35B5E"/>
    <w:rsid w:val="00B36871"/>
    <w:rsid w:val="00B3720B"/>
    <w:rsid w:val="00B40EE3"/>
    <w:rsid w:val="00B4535A"/>
    <w:rsid w:val="00B55271"/>
    <w:rsid w:val="00B5558A"/>
    <w:rsid w:val="00B56513"/>
    <w:rsid w:val="00B56B2E"/>
    <w:rsid w:val="00B56D57"/>
    <w:rsid w:val="00B63031"/>
    <w:rsid w:val="00B64376"/>
    <w:rsid w:val="00B71533"/>
    <w:rsid w:val="00B7157A"/>
    <w:rsid w:val="00B73B2A"/>
    <w:rsid w:val="00B7401F"/>
    <w:rsid w:val="00B806A7"/>
    <w:rsid w:val="00B806C3"/>
    <w:rsid w:val="00B838F5"/>
    <w:rsid w:val="00B84FCA"/>
    <w:rsid w:val="00B877BA"/>
    <w:rsid w:val="00B9089F"/>
    <w:rsid w:val="00B91AEE"/>
    <w:rsid w:val="00B931D5"/>
    <w:rsid w:val="00B94F71"/>
    <w:rsid w:val="00B95F5A"/>
    <w:rsid w:val="00B96EAD"/>
    <w:rsid w:val="00BA22AF"/>
    <w:rsid w:val="00BA4121"/>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D6D98"/>
    <w:rsid w:val="00BE3B54"/>
    <w:rsid w:val="00BF376F"/>
    <w:rsid w:val="00BF46A6"/>
    <w:rsid w:val="00BF5AE0"/>
    <w:rsid w:val="00BF62CF"/>
    <w:rsid w:val="00BF6B98"/>
    <w:rsid w:val="00BF73D6"/>
    <w:rsid w:val="00C01467"/>
    <w:rsid w:val="00C06545"/>
    <w:rsid w:val="00C1161C"/>
    <w:rsid w:val="00C17F66"/>
    <w:rsid w:val="00C220FC"/>
    <w:rsid w:val="00C23C86"/>
    <w:rsid w:val="00C24DFA"/>
    <w:rsid w:val="00C314B9"/>
    <w:rsid w:val="00C35561"/>
    <w:rsid w:val="00C4202A"/>
    <w:rsid w:val="00C4211F"/>
    <w:rsid w:val="00C445D3"/>
    <w:rsid w:val="00C46A36"/>
    <w:rsid w:val="00C47037"/>
    <w:rsid w:val="00C53625"/>
    <w:rsid w:val="00C602C1"/>
    <w:rsid w:val="00C60C6D"/>
    <w:rsid w:val="00C61C98"/>
    <w:rsid w:val="00C63FC0"/>
    <w:rsid w:val="00C66392"/>
    <w:rsid w:val="00C74C5E"/>
    <w:rsid w:val="00C77487"/>
    <w:rsid w:val="00C77C9A"/>
    <w:rsid w:val="00C827A2"/>
    <w:rsid w:val="00C82B69"/>
    <w:rsid w:val="00C85394"/>
    <w:rsid w:val="00C8657D"/>
    <w:rsid w:val="00C91B28"/>
    <w:rsid w:val="00C91F3A"/>
    <w:rsid w:val="00C94A6F"/>
    <w:rsid w:val="00CA06E3"/>
    <w:rsid w:val="00CB328B"/>
    <w:rsid w:val="00CB5797"/>
    <w:rsid w:val="00CB6050"/>
    <w:rsid w:val="00CC1202"/>
    <w:rsid w:val="00CC4099"/>
    <w:rsid w:val="00CC45C1"/>
    <w:rsid w:val="00CD09E1"/>
    <w:rsid w:val="00CD5078"/>
    <w:rsid w:val="00CD6202"/>
    <w:rsid w:val="00CE0EF6"/>
    <w:rsid w:val="00CE2486"/>
    <w:rsid w:val="00CE4913"/>
    <w:rsid w:val="00CE66BD"/>
    <w:rsid w:val="00CF0671"/>
    <w:rsid w:val="00CF44AD"/>
    <w:rsid w:val="00CF4FC0"/>
    <w:rsid w:val="00CF7642"/>
    <w:rsid w:val="00D00717"/>
    <w:rsid w:val="00D03909"/>
    <w:rsid w:val="00D1072F"/>
    <w:rsid w:val="00D108A5"/>
    <w:rsid w:val="00D131F9"/>
    <w:rsid w:val="00D14585"/>
    <w:rsid w:val="00D20EFF"/>
    <w:rsid w:val="00D30F1B"/>
    <w:rsid w:val="00D30FC0"/>
    <w:rsid w:val="00D34F0D"/>
    <w:rsid w:val="00D3516E"/>
    <w:rsid w:val="00D36FE8"/>
    <w:rsid w:val="00D4064C"/>
    <w:rsid w:val="00D47F9F"/>
    <w:rsid w:val="00D50E65"/>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3ADD"/>
    <w:rsid w:val="00D853B5"/>
    <w:rsid w:val="00D86779"/>
    <w:rsid w:val="00D86EE1"/>
    <w:rsid w:val="00D9120E"/>
    <w:rsid w:val="00D913B1"/>
    <w:rsid w:val="00D93793"/>
    <w:rsid w:val="00D96126"/>
    <w:rsid w:val="00DB0C4C"/>
    <w:rsid w:val="00DB3F2F"/>
    <w:rsid w:val="00DB4B1C"/>
    <w:rsid w:val="00DB5085"/>
    <w:rsid w:val="00DB7706"/>
    <w:rsid w:val="00DC1062"/>
    <w:rsid w:val="00DC132C"/>
    <w:rsid w:val="00DC774B"/>
    <w:rsid w:val="00DD0DA9"/>
    <w:rsid w:val="00DD43F0"/>
    <w:rsid w:val="00DD44DE"/>
    <w:rsid w:val="00DD4C46"/>
    <w:rsid w:val="00DE09AB"/>
    <w:rsid w:val="00DE168E"/>
    <w:rsid w:val="00DE4A3F"/>
    <w:rsid w:val="00DE4E53"/>
    <w:rsid w:val="00DE7AE9"/>
    <w:rsid w:val="00DF4367"/>
    <w:rsid w:val="00E0574A"/>
    <w:rsid w:val="00E113BD"/>
    <w:rsid w:val="00E1243D"/>
    <w:rsid w:val="00E12588"/>
    <w:rsid w:val="00E12742"/>
    <w:rsid w:val="00E12E4A"/>
    <w:rsid w:val="00E146D4"/>
    <w:rsid w:val="00E20976"/>
    <w:rsid w:val="00E22079"/>
    <w:rsid w:val="00E22B44"/>
    <w:rsid w:val="00E236D8"/>
    <w:rsid w:val="00E30ACD"/>
    <w:rsid w:val="00E3184B"/>
    <w:rsid w:val="00E32735"/>
    <w:rsid w:val="00E5391D"/>
    <w:rsid w:val="00E544E5"/>
    <w:rsid w:val="00E6033F"/>
    <w:rsid w:val="00E61364"/>
    <w:rsid w:val="00E66E36"/>
    <w:rsid w:val="00E6781E"/>
    <w:rsid w:val="00E702ED"/>
    <w:rsid w:val="00E705CC"/>
    <w:rsid w:val="00E709A4"/>
    <w:rsid w:val="00E72C29"/>
    <w:rsid w:val="00E73822"/>
    <w:rsid w:val="00E772DB"/>
    <w:rsid w:val="00E8418F"/>
    <w:rsid w:val="00E86012"/>
    <w:rsid w:val="00E86BAB"/>
    <w:rsid w:val="00E901A1"/>
    <w:rsid w:val="00E94E10"/>
    <w:rsid w:val="00E954BD"/>
    <w:rsid w:val="00E96743"/>
    <w:rsid w:val="00E96A42"/>
    <w:rsid w:val="00EA0A36"/>
    <w:rsid w:val="00EA49C5"/>
    <w:rsid w:val="00EB1C1C"/>
    <w:rsid w:val="00EB5027"/>
    <w:rsid w:val="00EB73C2"/>
    <w:rsid w:val="00EC1836"/>
    <w:rsid w:val="00EC3990"/>
    <w:rsid w:val="00EC484B"/>
    <w:rsid w:val="00ED15FA"/>
    <w:rsid w:val="00ED1E00"/>
    <w:rsid w:val="00EE228F"/>
    <w:rsid w:val="00EE238D"/>
    <w:rsid w:val="00EE6E9A"/>
    <w:rsid w:val="00EF0BF1"/>
    <w:rsid w:val="00EF27DA"/>
    <w:rsid w:val="00EF2AC4"/>
    <w:rsid w:val="00EF397E"/>
    <w:rsid w:val="00F02771"/>
    <w:rsid w:val="00F06F68"/>
    <w:rsid w:val="00F10B01"/>
    <w:rsid w:val="00F1332D"/>
    <w:rsid w:val="00F1534B"/>
    <w:rsid w:val="00F1713B"/>
    <w:rsid w:val="00F212CB"/>
    <w:rsid w:val="00F23C7D"/>
    <w:rsid w:val="00F243DB"/>
    <w:rsid w:val="00F24C2D"/>
    <w:rsid w:val="00F24F1B"/>
    <w:rsid w:val="00F253D4"/>
    <w:rsid w:val="00F27356"/>
    <w:rsid w:val="00F31A2C"/>
    <w:rsid w:val="00F32A81"/>
    <w:rsid w:val="00F46998"/>
    <w:rsid w:val="00F47100"/>
    <w:rsid w:val="00F5382D"/>
    <w:rsid w:val="00F53D9C"/>
    <w:rsid w:val="00F5462B"/>
    <w:rsid w:val="00F56073"/>
    <w:rsid w:val="00F634AD"/>
    <w:rsid w:val="00F63677"/>
    <w:rsid w:val="00F63ABE"/>
    <w:rsid w:val="00F72EE6"/>
    <w:rsid w:val="00F75B81"/>
    <w:rsid w:val="00F804C4"/>
    <w:rsid w:val="00F805CC"/>
    <w:rsid w:val="00F82F83"/>
    <w:rsid w:val="00F832E5"/>
    <w:rsid w:val="00F90F40"/>
    <w:rsid w:val="00F9187D"/>
    <w:rsid w:val="00F92B30"/>
    <w:rsid w:val="00F933B9"/>
    <w:rsid w:val="00F94674"/>
    <w:rsid w:val="00F94919"/>
    <w:rsid w:val="00F94A59"/>
    <w:rsid w:val="00FA25B6"/>
    <w:rsid w:val="00FA2FAF"/>
    <w:rsid w:val="00FA5CCF"/>
    <w:rsid w:val="00FA64B1"/>
    <w:rsid w:val="00FA70F3"/>
    <w:rsid w:val="00FA71CD"/>
    <w:rsid w:val="00FA7FC5"/>
    <w:rsid w:val="00FB0453"/>
    <w:rsid w:val="00FB0C07"/>
    <w:rsid w:val="00FB298D"/>
    <w:rsid w:val="00FC1439"/>
    <w:rsid w:val="00FC3706"/>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2F73"/>
    <w:rsid w:val="00FF44E0"/>
    <w:rsid w:val="00FF4CB6"/>
    <w:rsid w:val="00FF5834"/>
    <w:rsid w:val="00FF6C72"/>
    <w:rsid w:val="01730582"/>
    <w:rsid w:val="01787946"/>
    <w:rsid w:val="0183453D"/>
    <w:rsid w:val="01D84625"/>
    <w:rsid w:val="01FA47FF"/>
    <w:rsid w:val="02105DD0"/>
    <w:rsid w:val="0214602E"/>
    <w:rsid w:val="0227136C"/>
    <w:rsid w:val="02337D11"/>
    <w:rsid w:val="0251766F"/>
    <w:rsid w:val="02571C51"/>
    <w:rsid w:val="02641C78"/>
    <w:rsid w:val="02661E94"/>
    <w:rsid w:val="02810A7C"/>
    <w:rsid w:val="02902A6D"/>
    <w:rsid w:val="02D87D3E"/>
    <w:rsid w:val="02F456F2"/>
    <w:rsid w:val="03265180"/>
    <w:rsid w:val="033E4BBF"/>
    <w:rsid w:val="03466855"/>
    <w:rsid w:val="03486B27"/>
    <w:rsid w:val="034F3D75"/>
    <w:rsid w:val="035A53F4"/>
    <w:rsid w:val="03C230FA"/>
    <w:rsid w:val="03D1158F"/>
    <w:rsid w:val="03EE2141"/>
    <w:rsid w:val="03FB6A30"/>
    <w:rsid w:val="04001E75"/>
    <w:rsid w:val="040354C1"/>
    <w:rsid w:val="040A094E"/>
    <w:rsid w:val="044C0C16"/>
    <w:rsid w:val="04531F7B"/>
    <w:rsid w:val="04722D72"/>
    <w:rsid w:val="047C20F3"/>
    <w:rsid w:val="047D26D2"/>
    <w:rsid w:val="04A70542"/>
    <w:rsid w:val="04AB0032"/>
    <w:rsid w:val="04B54A0D"/>
    <w:rsid w:val="04B771C9"/>
    <w:rsid w:val="04BC223F"/>
    <w:rsid w:val="04CD3543"/>
    <w:rsid w:val="04D74983"/>
    <w:rsid w:val="04DD2F90"/>
    <w:rsid w:val="04E36C96"/>
    <w:rsid w:val="04EA6DAD"/>
    <w:rsid w:val="05006DAE"/>
    <w:rsid w:val="052878D5"/>
    <w:rsid w:val="056800F4"/>
    <w:rsid w:val="056F201D"/>
    <w:rsid w:val="05B664D4"/>
    <w:rsid w:val="05F133CB"/>
    <w:rsid w:val="06562220"/>
    <w:rsid w:val="06677F89"/>
    <w:rsid w:val="06E3115C"/>
    <w:rsid w:val="07076C01"/>
    <w:rsid w:val="071C12AC"/>
    <w:rsid w:val="07434552"/>
    <w:rsid w:val="074C09BA"/>
    <w:rsid w:val="074E231E"/>
    <w:rsid w:val="076369A2"/>
    <w:rsid w:val="07697D31"/>
    <w:rsid w:val="079B25E0"/>
    <w:rsid w:val="07A934B3"/>
    <w:rsid w:val="08420CAE"/>
    <w:rsid w:val="085139B7"/>
    <w:rsid w:val="08B15E54"/>
    <w:rsid w:val="08B177D1"/>
    <w:rsid w:val="08BB280E"/>
    <w:rsid w:val="08DA13A0"/>
    <w:rsid w:val="08F17FDE"/>
    <w:rsid w:val="08F85810"/>
    <w:rsid w:val="091F4B4B"/>
    <w:rsid w:val="09570789"/>
    <w:rsid w:val="0972111F"/>
    <w:rsid w:val="097430E9"/>
    <w:rsid w:val="0980799C"/>
    <w:rsid w:val="09D11FA7"/>
    <w:rsid w:val="09F61D50"/>
    <w:rsid w:val="0A0F6376"/>
    <w:rsid w:val="0A1D552E"/>
    <w:rsid w:val="0A2A7C4B"/>
    <w:rsid w:val="0A2E773B"/>
    <w:rsid w:val="0A353CEA"/>
    <w:rsid w:val="0A4842E1"/>
    <w:rsid w:val="0A5922DF"/>
    <w:rsid w:val="0A6A18DB"/>
    <w:rsid w:val="0AC0235E"/>
    <w:rsid w:val="0AD656DD"/>
    <w:rsid w:val="0AE07845"/>
    <w:rsid w:val="0AEF3828"/>
    <w:rsid w:val="0AF77D07"/>
    <w:rsid w:val="0B057AEF"/>
    <w:rsid w:val="0B154457"/>
    <w:rsid w:val="0B316DB7"/>
    <w:rsid w:val="0B487B78"/>
    <w:rsid w:val="0B492353"/>
    <w:rsid w:val="0B6E5FE8"/>
    <w:rsid w:val="0B74136F"/>
    <w:rsid w:val="0B903ADE"/>
    <w:rsid w:val="0BBB665B"/>
    <w:rsid w:val="0BC96ABA"/>
    <w:rsid w:val="0BCF0AAA"/>
    <w:rsid w:val="0BD336A2"/>
    <w:rsid w:val="0BFC01A3"/>
    <w:rsid w:val="0C3C77C2"/>
    <w:rsid w:val="0C3D65CA"/>
    <w:rsid w:val="0C6D2071"/>
    <w:rsid w:val="0CB7664E"/>
    <w:rsid w:val="0CEC11E8"/>
    <w:rsid w:val="0D4234FE"/>
    <w:rsid w:val="0D49488C"/>
    <w:rsid w:val="0D4A5F0F"/>
    <w:rsid w:val="0D6960B9"/>
    <w:rsid w:val="0D8E229F"/>
    <w:rsid w:val="0DA25D4B"/>
    <w:rsid w:val="0DA57240"/>
    <w:rsid w:val="0DCA26AA"/>
    <w:rsid w:val="0E131A3B"/>
    <w:rsid w:val="0E55371B"/>
    <w:rsid w:val="0E5E4367"/>
    <w:rsid w:val="0E5E74D3"/>
    <w:rsid w:val="0E816EC5"/>
    <w:rsid w:val="0E864017"/>
    <w:rsid w:val="0EBB3568"/>
    <w:rsid w:val="0EC56008"/>
    <w:rsid w:val="0EE52393"/>
    <w:rsid w:val="0EEA6FC1"/>
    <w:rsid w:val="0EF23960"/>
    <w:rsid w:val="0EF75115"/>
    <w:rsid w:val="0F17479B"/>
    <w:rsid w:val="0F451083"/>
    <w:rsid w:val="0F6E6D3D"/>
    <w:rsid w:val="0F954485"/>
    <w:rsid w:val="0FB56209"/>
    <w:rsid w:val="0FB87DF5"/>
    <w:rsid w:val="0FBF344F"/>
    <w:rsid w:val="0FE32D76"/>
    <w:rsid w:val="1030763E"/>
    <w:rsid w:val="10505F32"/>
    <w:rsid w:val="105A27E6"/>
    <w:rsid w:val="10725EA8"/>
    <w:rsid w:val="107324CB"/>
    <w:rsid w:val="10C25BCA"/>
    <w:rsid w:val="10EC17B7"/>
    <w:rsid w:val="112453F4"/>
    <w:rsid w:val="112A6783"/>
    <w:rsid w:val="112C4C4A"/>
    <w:rsid w:val="11382C4E"/>
    <w:rsid w:val="11427629"/>
    <w:rsid w:val="11435E26"/>
    <w:rsid w:val="114E421F"/>
    <w:rsid w:val="119B0711"/>
    <w:rsid w:val="11BF511D"/>
    <w:rsid w:val="11C73FD2"/>
    <w:rsid w:val="11D062EE"/>
    <w:rsid w:val="12107727"/>
    <w:rsid w:val="12197477"/>
    <w:rsid w:val="122A4C8C"/>
    <w:rsid w:val="1238653B"/>
    <w:rsid w:val="12521AED"/>
    <w:rsid w:val="12971BF6"/>
    <w:rsid w:val="129A7DEF"/>
    <w:rsid w:val="12A12EEA"/>
    <w:rsid w:val="12BE27B4"/>
    <w:rsid w:val="12D06EB6"/>
    <w:rsid w:val="12D50275"/>
    <w:rsid w:val="12E9190B"/>
    <w:rsid w:val="12F62EC6"/>
    <w:rsid w:val="12F86B39"/>
    <w:rsid w:val="13113756"/>
    <w:rsid w:val="131C5AEC"/>
    <w:rsid w:val="131E7C21"/>
    <w:rsid w:val="13587E2C"/>
    <w:rsid w:val="135B2C24"/>
    <w:rsid w:val="13A9398F"/>
    <w:rsid w:val="13C15DA8"/>
    <w:rsid w:val="13D529D6"/>
    <w:rsid w:val="13DE0994"/>
    <w:rsid w:val="13E175CD"/>
    <w:rsid w:val="13EB3FA7"/>
    <w:rsid w:val="13F84916"/>
    <w:rsid w:val="1413346E"/>
    <w:rsid w:val="141F5D3B"/>
    <w:rsid w:val="14450AE8"/>
    <w:rsid w:val="145A112D"/>
    <w:rsid w:val="1466407E"/>
    <w:rsid w:val="146D0E60"/>
    <w:rsid w:val="146D70F1"/>
    <w:rsid w:val="147E16A4"/>
    <w:rsid w:val="14834E28"/>
    <w:rsid w:val="148E7D65"/>
    <w:rsid w:val="14956609"/>
    <w:rsid w:val="14AA20B4"/>
    <w:rsid w:val="14B46A8F"/>
    <w:rsid w:val="14CD606B"/>
    <w:rsid w:val="14E50212"/>
    <w:rsid w:val="14E629C1"/>
    <w:rsid w:val="15077CBF"/>
    <w:rsid w:val="151D4243"/>
    <w:rsid w:val="15231BF9"/>
    <w:rsid w:val="15326E68"/>
    <w:rsid w:val="15417840"/>
    <w:rsid w:val="15691286"/>
    <w:rsid w:val="156A35F2"/>
    <w:rsid w:val="159643E7"/>
    <w:rsid w:val="15B036FB"/>
    <w:rsid w:val="15CF11DB"/>
    <w:rsid w:val="15D078F9"/>
    <w:rsid w:val="15E769F0"/>
    <w:rsid w:val="160E21CF"/>
    <w:rsid w:val="166149F5"/>
    <w:rsid w:val="166D2F25"/>
    <w:rsid w:val="16754781"/>
    <w:rsid w:val="167E55A7"/>
    <w:rsid w:val="16971D59"/>
    <w:rsid w:val="16A34589"/>
    <w:rsid w:val="16A43817"/>
    <w:rsid w:val="1719707D"/>
    <w:rsid w:val="1734012D"/>
    <w:rsid w:val="174D5F53"/>
    <w:rsid w:val="17563169"/>
    <w:rsid w:val="17582BC6"/>
    <w:rsid w:val="17604CAC"/>
    <w:rsid w:val="176A5B87"/>
    <w:rsid w:val="177C760C"/>
    <w:rsid w:val="179F5278"/>
    <w:rsid w:val="17A728DB"/>
    <w:rsid w:val="17D66D1D"/>
    <w:rsid w:val="17DB07D7"/>
    <w:rsid w:val="17F35B20"/>
    <w:rsid w:val="180B10BC"/>
    <w:rsid w:val="181479EF"/>
    <w:rsid w:val="18187335"/>
    <w:rsid w:val="1833416F"/>
    <w:rsid w:val="185B5474"/>
    <w:rsid w:val="18702CCD"/>
    <w:rsid w:val="18784278"/>
    <w:rsid w:val="18A54E16"/>
    <w:rsid w:val="18B23848"/>
    <w:rsid w:val="18ED08AB"/>
    <w:rsid w:val="198253AE"/>
    <w:rsid w:val="19A5109C"/>
    <w:rsid w:val="19BB441C"/>
    <w:rsid w:val="19D83220"/>
    <w:rsid w:val="19DE1DB2"/>
    <w:rsid w:val="1A0C2197"/>
    <w:rsid w:val="1A0E05FD"/>
    <w:rsid w:val="1A3348FA"/>
    <w:rsid w:val="1A3B68AA"/>
    <w:rsid w:val="1A3E1C1E"/>
    <w:rsid w:val="1A6C3968"/>
    <w:rsid w:val="1A7277F5"/>
    <w:rsid w:val="1A9940AD"/>
    <w:rsid w:val="1AC07834"/>
    <w:rsid w:val="1AEB7F27"/>
    <w:rsid w:val="1AEE25CF"/>
    <w:rsid w:val="1B544B28"/>
    <w:rsid w:val="1B747324"/>
    <w:rsid w:val="1B8847D2"/>
    <w:rsid w:val="1BA15893"/>
    <w:rsid w:val="1BB452D5"/>
    <w:rsid w:val="1BDC3FB1"/>
    <w:rsid w:val="1C0025BA"/>
    <w:rsid w:val="1C141836"/>
    <w:rsid w:val="1C1E39C9"/>
    <w:rsid w:val="1C5841A4"/>
    <w:rsid w:val="1C8444FA"/>
    <w:rsid w:val="1C874A89"/>
    <w:rsid w:val="1CB810E7"/>
    <w:rsid w:val="1CCE5013"/>
    <w:rsid w:val="1CE53DC8"/>
    <w:rsid w:val="1CF3211F"/>
    <w:rsid w:val="1D180519"/>
    <w:rsid w:val="1D1D719C"/>
    <w:rsid w:val="1D216541"/>
    <w:rsid w:val="1D216C8C"/>
    <w:rsid w:val="1D2247B2"/>
    <w:rsid w:val="1D4872E9"/>
    <w:rsid w:val="1DB02D9D"/>
    <w:rsid w:val="1DDC2BB3"/>
    <w:rsid w:val="1DDD3AAF"/>
    <w:rsid w:val="1DDF4451"/>
    <w:rsid w:val="1DE06B47"/>
    <w:rsid w:val="1E561DEB"/>
    <w:rsid w:val="1E5F5593"/>
    <w:rsid w:val="1E636E30"/>
    <w:rsid w:val="1E6B6A14"/>
    <w:rsid w:val="1E805C34"/>
    <w:rsid w:val="1EBA6164"/>
    <w:rsid w:val="1EE91A2B"/>
    <w:rsid w:val="1EE937D9"/>
    <w:rsid w:val="1F1840BF"/>
    <w:rsid w:val="1F2C7E8E"/>
    <w:rsid w:val="1F3F33F9"/>
    <w:rsid w:val="1F42113B"/>
    <w:rsid w:val="1F5E5F75"/>
    <w:rsid w:val="1F7A08D5"/>
    <w:rsid w:val="1F7E03C6"/>
    <w:rsid w:val="1F861028"/>
    <w:rsid w:val="1FA37E2C"/>
    <w:rsid w:val="1FD06747"/>
    <w:rsid w:val="1FDF698A"/>
    <w:rsid w:val="20550D9A"/>
    <w:rsid w:val="20B9542D"/>
    <w:rsid w:val="20E316E1"/>
    <w:rsid w:val="213B4094"/>
    <w:rsid w:val="214178FD"/>
    <w:rsid w:val="21714B53"/>
    <w:rsid w:val="21841EDD"/>
    <w:rsid w:val="218E2416"/>
    <w:rsid w:val="219D5641"/>
    <w:rsid w:val="21CB5418"/>
    <w:rsid w:val="22001566"/>
    <w:rsid w:val="22390411"/>
    <w:rsid w:val="224E718C"/>
    <w:rsid w:val="226915FE"/>
    <w:rsid w:val="2288155B"/>
    <w:rsid w:val="22AF6AE8"/>
    <w:rsid w:val="22B12860"/>
    <w:rsid w:val="22B40B8E"/>
    <w:rsid w:val="22DC7173"/>
    <w:rsid w:val="22E14C32"/>
    <w:rsid w:val="22EB63EC"/>
    <w:rsid w:val="22F03260"/>
    <w:rsid w:val="23306D3A"/>
    <w:rsid w:val="23406563"/>
    <w:rsid w:val="23831FF5"/>
    <w:rsid w:val="23843AD1"/>
    <w:rsid w:val="238719D6"/>
    <w:rsid w:val="23A10B26"/>
    <w:rsid w:val="23A423C5"/>
    <w:rsid w:val="23A91789"/>
    <w:rsid w:val="23AE2087"/>
    <w:rsid w:val="241237D2"/>
    <w:rsid w:val="24172B97"/>
    <w:rsid w:val="24431BDE"/>
    <w:rsid w:val="246222B2"/>
    <w:rsid w:val="246A0F18"/>
    <w:rsid w:val="24761137"/>
    <w:rsid w:val="247955FF"/>
    <w:rsid w:val="247C0C4C"/>
    <w:rsid w:val="24832FAC"/>
    <w:rsid w:val="248A3369"/>
    <w:rsid w:val="24A106B2"/>
    <w:rsid w:val="24B97929"/>
    <w:rsid w:val="24BA2895"/>
    <w:rsid w:val="24C06D8A"/>
    <w:rsid w:val="24D80578"/>
    <w:rsid w:val="2520252D"/>
    <w:rsid w:val="25585215"/>
    <w:rsid w:val="25733DFD"/>
    <w:rsid w:val="25A74283"/>
    <w:rsid w:val="25BF34E6"/>
    <w:rsid w:val="25D85F35"/>
    <w:rsid w:val="25DC7BF4"/>
    <w:rsid w:val="26163BC1"/>
    <w:rsid w:val="26355556"/>
    <w:rsid w:val="263B66B8"/>
    <w:rsid w:val="263C68E5"/>
    <w:rsid w:val="26605096"/>
    <w:rsid w:val="267E57F4"/>
    <w:rsid w:val="26997893"/>
    <w:rsid w:val="26D46B1D"/>
    <w:rsid w:val="2702368A"/>
    <w:rsid w:val="270A0791"/>
    <w:rsid w:val="271E423C"/>
    <w:rsid w:val="27886455"/>
    <w:rsid w:val="279462AC"/>
    <w:rsid w:val="27E160ED"/>
    <w:rsid w:val="27FC457D"/>
    <w:rsid w:val="284101E2"/>
    <w:rsid w:val="285F40CA"/>
    <w:rsid w:val="286363AA"/>
    <w:rsid w:val="288B76AF"/>
    <w:rsid w:val="28AF339E"/>
    <w:rsid w:val="28C01ECB"/>
    <w:rsid w:val="28C8445F"/>
    <w:rsid w:val="28D905AD"/>
    <w:rsid w:val="28E5469E"/>
    <w:rsid w:val="28EA6ACC"/>
    <w:rsid w:val="28EC3ECC"/>
    <w:rsid w:val="28F33BD2"/>
    <w:rsid w:val="293035D2"/>
    <w:rsid w:val="29604C68"/>
    <w:rsid w:val="29640E49"/>
    <w:rsid w:val="29714AF7"/>
    <w:rsid w:val="29820AB2"/>
    <w:rsid w:val="29A471A3"/>
    <w:rsid w:val="29BF71E3"/>
    <w:rsid w:val="29CE1F49"/>
    <w:rsid w:val="29DA067B"/>
    <w:rsid w:val="29F23E8A"/>
    <w:rsid w:val="29F574D6"/>
    <w:rsid w:val="2A127B63"/>
    <w:rsid w:val="2A3F0751"/>
    <w:rsid w:val="2A5F2BA2"/>
    <w:rsid w:val="2A720B27"/>
    <w:rsid w:val="2A8D770F"/>
    <w:rsid w:val="2AA8279A"/>
    <w:rsid w:val="2AAA4765"/>
    <w:rsid w:val="2AC21606"/>
    <w:rsid w:val="2AC82E3D"/>
    <w:rsid w:val="2ADE440E"/>
    <w:rsid w:val="2AE82B97"/>
    <w:rsid w:val="2AF63C5E"/>
    <w:rsid w:val="2B141BDE"/>
    <w:rsid w:val="2B19248A"/>
    <w:rsid w:val="2B287437"/>
    <w:rsid w:val="2B2C517A"/>
    <w:rsid w:val="2B585F6F"/>
    <w:rsid w:val="2B7E7608"/>
    <w:rsid w:val="2B7F04E9"/>
    <w:rsid w:val="2BAD52C4"/>
    <w:rsid w:val="2BDD46C6"/>
    <w:rsid w:val="2C2D5FFA"/>
    <w:rsid w:val="2C305555"/>
    <w:rsid w:val="2C406A34"/>
    <w:rsid w:val="2C6B7FFF"/>
    <w:rsid w:val="2C8F37CB"/>
    <w:rsid w:val="2C907580"/>
    <w:rsid w:val="2C9A21B9"/>
    <w:rsid w:val="2CA70DC9"/>
    <w:rsid w:val="2CD1147A"/>
    <w:rsid w:val="2CD52468"/>
    <w:rsid w:val="2CE20523"/>
    <w:rsid w:val="2CE43832"/>
    <w:rsid w:val="2D085772"/>
    <w:rsid w:val="2D174362"/>
    <w:rsid w:val="2D2810C4"/>
    <w:rsid w:val="2D377E06"/>
    <w:rsid w:val="2D3A16A4"/>
    <w:rsid w:val="2D496D68"/>
    <w:rsid w:val="2D4F6EFD"/>
    <w:rsid w:val="2D852054"/>
    <w:rsid w:val="2DA059AB"/>
    <w:rsid w:val="2DCD2FD2"/>
    <w:rsid w:val="2E41718E"/>
    <w:rsid w:val="2E6672CB"/>
    <w:rsid w:val="2E7A48DE"/>
    <w:rsid w:val="2E9154CF"/>
    <w:rsid w:val="2EB57234"/>
    <w:rsid w:val="2EDC3ED8"/>
    <w:rsid w:val="2EE30245"/>
    <w:rsid w:val="2EED2E72"/>
    <w:rsid w:val="2F087CAC"/>
    <w:rsid w:val="2F2B74F6"/>
    <w:rsid w:val="2F2D046C"/>
    <w:rsid w:val="2F3C6D02"/>
    <w:rsid w:val="2F5B5A43"/>
    <w:rsid w:val="2F6351B4"/>
    <w:rsid w:val="2F7B1AD6"/>
    <w:rsid w:val="2FAA48BF"/>
    <w:rsid w:val="2FCF199E"/>
    <w:rsid w:val="2FE34275"/>
    <w:rsid w:val="30382B27"/>
    <w:rsid w:val="30483E83"/>
    <w:rsid w:val="30843362"/>
    <w:rsid w:val="308B0B94"/>
    <w:rsid w:val="3098505F"/>
    <w:rsid w:val="30A0059A"/>
    <w:rsid w:val="30AA0E97"/>
    <w:rsid w:val="30C916BD"/>
    <w:rsid w:val="30F71D86"/>
    <w:rsid w:val="310746A0"/>
    <w:rsid w:val="31197F4E"/>
    <w:rsid w:val="31794E91"/>
    <w:rsid w:val="319646C3"/>
    <w:rsid w:val="31A66923"/>
    <w:rsid w:val="31AF440F"/>
    <w:rsid w:val="31BB2DB3"/>
    <w:rsid w:val="31CD6F8B"/>
    <w:rsid w:val="31E16592"/>
    <w:rsid w:val="323679B1"/>
    <w:rsid w:val="326C3C50"/>
    <w:rsid w:val="32931F82"/>
    <w:rsid w:val="32AC4DF2"/>
    <w:rsid w:val="32CE6B16"/>
    <w:rsid w:val="33022C64"/>
    <w:rsid w:val="334E4CD8"/>
    <w:rsid w:val="33811DDB"/>
    <w:rsid w:val="33925D96"/>
    <w:rsid w:val="33941B0E"/>
    <w:rsid w:val="33DC5263"/>
    <w:rsid w:val="33E3491D"/>
    <w:rsid w:val="33EE1C04"/>
    <w:rsid w:val="341821BB"/>
    <w:rsid w:val="3421711A"/>
    <w:rsid w:val="342323F8"/>
    <w:rsid w:val="343C0775"/>
    <w:rsid w:val="34706880"/>
    <w:rsid w:val="34762628"/>
    <w:rsid w:val="34AA76A9"/>
    <w:rsid w:val="3511718E"/>
    <w:rsid w:val="35352E7D"/>
    <w:rsid w:val="356419B4"/>
    <w:rsid w:val="356C50EC"/>
    <w:rsid w:val="35933343"/>
    <w:rsid w:val="35BB76F2"/>
    <w:rsid w:val="35D46B3A"/>
    <w:rsid w:val="35D5640E"/>
    <w:rsid w:val="35E812DF"/>
    <w:rsid w:val="35F5085E"/>
    <w:rsid w:val="360D5BA8"/>
    <w:rsid w:val="361108CD"/>
    <w:rsid w:val="363C023B"/>
    <w:rsid w:val="364D190D"/>
    <w:rsid w:val="364D2448"/>
    <w:rsid w:val="36701E43"/>
    <w:rsid w:val="36721EAF"/>
    <w:rsid w:val="36A94A04"/>
    <w:rsid w:val="36B27704"/>
    <w:rsid w:val="36E0150E"/>
    <w:rsid w:val="3700166C"/>
    <w:rsid w:val="37074E0A"/>
    <w:rsid w:val="3715537E"/>
    <w:rsid w:val="371F3DE4"/>
    <w:rsid w:val="3727617F"/>
    <w:rsid w:val="372F275F"/>
    <w:rsid w:val="373A7BDB"/>
    <w:rsid w:val="375969FE"/>
    <w:rsid w:val="37751C56"/>
    <w:rsid w:val="37781747"/>
    <w:rsid w:val="377C4333"/>
    <w:rsid w:val="37841E99"/>
    <w:rsid w:val="37D72C80"/>
    <w:rsid w:val="37FE221A"/>
    <w:rsid w:val="38566B86"/>
    <w:rsid w:val="38694EE9"/>
    <w:rsid w:val="38E70932"/>
    <w:rsid w:val="391D4DBE"/>
    <w:rsid w:val="39461AFC"/>
    <w:rsid w:val="39552058"/>
    <w:rsid w:val="398E6FFF"/>
    <w:rsid w:val="39AA58F8"/>
    <w:rsid w:val="39B70553"/>
    <w:rsid w:val="39C90037"/>
    <w:rsid w:val="39DF3CFF"/>
    <w:rsid w:val="39E3734B"/>
    <w:rsid w:val="3A1C285D"/>
    <w:rsid w:val="3A2B6F44"/>
    <w:rsid w:val="3A3A1D92"/>
    <w:rsid w:val="3A5218BB"/>
    <w:rsid w:val="3A5A5133"/>
    <w:rsid w:val="3AE3337B"/>
    <w:rsid w:val="3B06481C"/>
    <w:rsid w:val="3B365CC9"/>
    <w:rsid w:val="3B712735"/>
    <w:rsid w:val="3B7F4E52"/>
    <w:rsid w:val="3B8E778B"/>
    <w:rsid w:val="3B9A7B88"/>
    <w:rsid w:val="3BA90120"/>
    <w:rsid w:val="3BC114FF"/>
    <w:rsid w:val="3C14387D"/>
    <w:rsid w:val="3C2660C6"/>
    <w:rsid w:val="3C2E6878"/>
    <w:rsid w:val="3C355E58"/>
    <w:rsid w:val="3C410359"/>
    <w:rsid w:val="3C664263"/>
    <w:rsid w:val="3C797AF3"/>
    <w:rsid w:val="3CA628B2"/>
    <w:rsid w:val="3CAD59EE"/>
    <w:rsid w:val="3CC35212"/>
    <w:rsid w:val="3CD948F5"/>
    <w:rsid w:val="3D193084"/>
    <w:rsid w:val="3D210B26"/>
    <w:rsid w:val="3D233F03"/>
    <w:rsid w:val="3D2C7AC8"/>
    <w:rsid w:val="3D3B56F0"/>
    <w:rsid w:val="3D474095"/>
    <w:rsid w:val="3D657141"/>
    <w:rsid w:val="3D695DB9"/>
    <w:rsid w:val="3D762955"/>
    <w:rsid w:val="3D7E2419"/>
    <w:rsid w:val="3D855D12"/>
    <w:rsid w:val="3D860968"/>
    <w:rsid w:val="3D8B42FF"/>
    <w:rsid w:val="3D8C02DD"/>
    <w:rsid w:val="3D986795"/>
    <w:rsid w:val="3DB37034"/>
    <w:rsid w:val="3DC20089"/>
    <w:rsid w:val="3DE7502E"/>
    <w:rsid w:val="3DF36A6E"/>
    <w:rsid w:val="3E42660A"/>
    <w:rsid w:val="3E5527E2"/>
    <w:rsid w:val="3E5C76CC"/>
    <w:rsid w:val="3E80785E"/>
    <w:rsid w:val="3E9B4698"/>
    <w:rsid w:val="3EA66B99"/>
    <w:rsid w:val="3ECA6D2C"/>
    <w:rsid w:val="3EFE4C27"/>
    <w:rsid w:val="3F1138E1"/>
    <w:rsid w:val="3F1167AF"/>
    <w:rsid w:val="3F125FDD"/>
    <w:rsid w:val="3F1461F9"/>
    <w:rsid w:val="3F19639E"/>
    <w:rsid w:val="3F2226C4"/>
    <w:rsid w:val="3F473ED8"/>
    <w:rsid w:val="3F792F1E"/>
    <w:rsid w:val="3F903A5F"/>
    <w:rsid w:val="3FAE3F57"/>
    <w:rsid w:val="40824826"/>
    <w:rsid w:val="40B27A77"/>
    <w:rsid w:val="40C94DC1"/>
    <w:rsid w:val="40CD665F"/>
    <w:rsid w:val="40E63923"/>
    <w:rsid w:val="40F36F47"/>
    <w:rsid w:val="4134048C"/>
    <w:rsid w:val="41AB2154"/>
    <w:rsid w:val="41AB7285"/>
    <w:rsid w:val="41B11ADD"/>
    <w:rsid w:val="41BF72A0"/>
    <w:rsid w:val="41C11A0E"/>
    <w:rsid w:val="41D812A1"/>
    <w:rsid w:val="41D87079"/>
    <w:rsid w:val="421B33FA"/>
    <w:rsid w:val="421E6D3F"/>
    <w:rsid w:val="423544BC"/>
    <w:rsid w:val="42672AE3"/>
    <w:rsid w:val="427A7F32"/>
    <w:rsid w:val="42B167C1"/>
    <w:rsid w:val="42B443F4"/>
    <w:rsid w:val="42B54B4C"/>
    <w:rsid w:val="42C75D74"/>
    <w:rsid w:val="42CF2B62"/>
    <w:rsid w:val="42F43FD4"/>
    <w:rsid w:val="432C24B3"/>
    <w:rsid w:val="43486471"/>
    <w:rsid w:val="435B2648"/>
    <w:rsid w:val="43660FBD"/>
    <w:rsid w:val="43A91E5B"/>
    <w:rsid w:val="43AD4526"/>
    <w:rsid w:val="440A59C8"/>
    <w:rsid w:val="44BC3308"/>
    <w:rsid w:val="451A208F"/>
    <w:rsid w:val="454223F1"/>
    <w:rsid w:val="455E3D2A"/>
    <w:rsid w:val="4562065D"/>
    <w:rsid w:val="45701CAF"/>
    <w:rsid w:val="459F674C"/>
    <w:rsid w:val="45B150B1"/>
    <w:rsid w:val="45BA48DB"/>
    <w:rsid w:val="45C2075D"/>
    <w:rsid w:val="45F060A0"/>
    <w:rsid w:val="45FF375F"/>
    <w:rsid w:val="4616052D"/>
    <w:rsid w:val="46366A55"/>
    <w:rsid w:val="463A3650"/>
    <w:rsid w:val="46963997"/>
    <w:rsid w:val="469F0116"/>
    <w:rsid w:val="46A20569"/>
    <w:rsid w:val="46AE2A8F"/>
    <w:rsid w:val="46F67293"/>
    <w:rsid w:val="47262CD6"/>
    <w:rsid w:val="475259B7"/>
    <w:rsid w:val="47833F1C"/>
    <w:rsid w:val="478D6B48"/>
    <w:rsid w:val="47D06A35"/>
    <w:rsid w:val="47F768EB"/>
    <w:rsid w:val="47FA2263"/>
    <w:rsid w:val="48142DC6"/>
    <w:rsid w:val="486A6E89"/>
    <w:rsid w:val="48831CF9"/>
    <w:rsid w:val="48853CC3"/>
    <w:rsid w:val="489E4954"/>
    <w:rsid w:val="48AE321A"/>
    <w:rsid w:val="48BC799D"/>
    <w:rsid w:val="48D553B1"/>
    <w:rsid w:val="48F7696F"/>
    <w:rsid w:val="4908245F"/>
    <w:rsid w:val="49107A31"/>
    <w:rsid w:val="49296D45"/>
    <w:rsid w:val="492C413F"/>
    <w:rsid w:val="493059DD"/>
    <w:rsid w:val="49470F79"/>
    <w:rsid w:val="495F51BF"/>
    <w:rsid w:val="49675177"/>
    <w:rsid w:val="499B5F76"/>
    <w:rsid w:val="49A165B8"/>
    <w:rsid w:val="49AF3823"/>
    <w:rsid w:val="49B1408D"/>
    <w:rsid w:val="49B22896"/>
    <w:rsid w:val="49C01457"/>
    <w:rsid w:val="49CE55E8"/>
    <w:rsid w:val="49F41101"/>
    <w:rsid w:val="4A1946C3"/>
    <w:rsid w:val="4A301A0D"/>
    <w:rsid w:val="4A3239D7"/>
    <w:rsid w:val="4A443E36"/>
    <w:rsid w:val="4A767D68"/>
    <w:rsid w:val="4A7D4FD2"/>
    <w:rsid w:val="4A913C9A"/>
    <w:rsid w:val="4AA04DE4"/>
    <w:rsid w:val="4AA46683"/>
    <w:rsid w:val="4ABD371D"/>
    <w:rsid w:val="4ADE0119"/>
    <w:rsid w:val="4AE22D2F"/>
    <w:rsid w:val="4AEE3DA2"/>
    <w:rsid w:val="4AFA44F5"/>
    <w:rsid w:val="4B005883"/>
    <w:rsid w:val="4B1530DD"/>
    <w:rsid w:val="4B1F21AD"/>
    <w:rsid w:val="4B1F62B5"/>
    <w:rsid w:val="4B1F70AC"/>
    <w:rsid w:val="4B240F94"/>
    <w:rsid w:val="4B386AE5"/>
    <w:rsid w:val="4B774E60"/>
    <w:rsid w:val="4B810772"/>
    <w:rsid w:val="4BA75287"/>
    <w:rsid w:val="4BD10964"/>
    <w:rsid w:val="4BED70D6"/>
    <w:rsid w:val="4BFB49C8"/>
    <w:rsid w:val="4C177328"/>
    <w:rsid w:val="4C264E5A"/>
    <w:rsid w:val="4C2D08FA"/>
    <w:rsid w:val="4C3B3017"/>
    <w:rsid w:val="4C3C565C"/>
    <w:rsid w:val="4C5365B2"/>
    <w:rsid w:val="4C5E6D05"/>
    <w:rsid w:val="4C76404F"/>
    <w:rsid w:val="4C8C247F"/>
    <w:rsid w:val="4CCC79C7"/>
    <w:rsid w:val="4D53613E"/>
    <w:rsid w:val="4D551EB6"/>
    <w:rsid w:val="4D7555C7"/>
    <w:rsid w:val="4D7F0CE1"/>
    <w:rsid w:val="4D8E361A"/>
    <w:rsid w:val="4D9F1383"/>
    <w:rsid w:val="4DA60B91"/>
    <w:rsid w:val="4DE4323A"/>
    <w:rsid w:val="4E025E2A"/>
    <w:rsid w:val="4E2B2C17"/>
    <w:rsid w:val="4E410A31"/>
    <w:rsid w:val="4E7E62F6"/>
    <w:rsid w:val="4E911EA4"/>
    <w:rsid w:val="4E975CC6"/>
    <w:rsid w:val="4EAC01FC"/>
    <w:rsid w:val="4EAE6DA0"/>
    <w:rsid w:val="4EFB4CDF"/>
    <w:rsid w:val="4F4026F2"/>
    <w:rsid w:val="4F442CCD"/>
    <w:rsid w:val="4F624D5E"/>
    <w:rsid w:val="4F6463E1"/>
    <w:rsid w:val="4F652159"/>
    <w:rsid w:val="4F754A92"/>
    <w:rsid w:val="4F934E4D"/>
    <w:rsid w:val="4FCC3F86"/>
    <w:rsid w:val="4FD037EF"/>
    <w:rsid w:val="5016514B"/>
    <w:rsid w:val="501E2A33"/>
    <w:rsid w:val="502857C7"/>
    <w:rsid w:val="502A762A"/>
    <w:rsid w:val="50302767"/>
    <w:rsid w:val="50476D3D"/>
    <w:rsid w:val="50566671"/>
    <w:rsid w:val="506A3ECB"/>
    <w:rsid w:val="506B72CE"/>
    <w:rsid w:val="507408A5"/>
    <w:rsid w:val="508B47E9"/>
    <w:rsid w:val="50970A38"/>
    <w:rsid w:val="50B74C36"/>
    <w:rsid w:val="50E772C9"/>
    <w:rsid w:val="511659A4"/>
    <w:rsid w:val="51167000"/>
    <w:rsid w:val="51493AE0"/>
    <w:rsid w:val="51497F84"/>
    <w:rsid w:val="51A30E13"/>
    <w:rsid w:val="51BE68A7"/>
    <w:rsid w:val="51CB1C78"/>
    <w:rsid w:val="51FD6A51"/>
    <w:rsid w:val="526B680A"/>
    <w:rsid w:val="527171A4"/>
    <w:rsid w:val="52952D55"/>
    <w:rsid w:val="52EA30A1"/>
    <w:rsid w:val="52EF6909"/>
    <w:rsid w:val="52F51C6A"/>
    <w:rsid w:val="53150D15"/>
    <w:rsid w:val="5352083E"/>
    <w:rsid w:val="535B3F9E"/>
    <w:rsid w:val="535D7D17"/>
    <w:rsid w:val="537908A5"/>
    <w:rsid w:val="537D4124"/>
    <w:rsid w:val="53963229"/>
    <w:rsid w:val="539B3EAD"/>
    <w:rsid w:val="53B8765E"/>
    <w:rsid w:val="53C042A6"/>
    <w:rsid w:val="53CA4C80"/>
    <w:rsid w:val="53FA7313"/>
    <w:rsid w:val="541A5D30"/>
    <w:rsid w:val="54330A77"/>
    <w:rsid w:val="54486FC2"/>
    <w:rsid w:val="549239F0"/>
    <w:rsid w:val="54BA4CF5"/>
    <w:rsid w:val="54C93391"/>
    <w:rsid w:val="54FE2E33"/>
    <w:rsid w:val="55287EB0"/>
    <w:rsid w:val="55392A77"/>
    <w:rsid w:val="553E632F"/>
    <w:rsid w:val="55701AD5"/>
    <w:rsid w:val="55754E42"/>
    <w:rsid w:val="55780E38"/>
    <w:rsid w:val="55AA2FBB"/>
    <w:rsid w:val="55D911AB"/>
    <w:rsid w:val="55EC7130"/>
    <w:rsid w:val="55F068CD"/>
    <w:rsid w:val="55FB7E9E"/>
    <w:rsid w:val="56085F72"/>
    <w:rsid w:val="56220DA3"/>
    <w:rsid w:val="56442F77"/>
    <w:rsid w:val="5647354D"/>
    <w:rsid w:val="56635CD9"/>
    <w:rsid w:val="566C3136"/>
    <w:rsid w:val="5684380C"/>
    <w:rsid w:val="568D04F2"/>
    <w:rsid w:val="56A25A40"/>
    <w:rsid w:val="56D55E16"/>
    <w:rsid w:val="570721C6"/>
    <w:rsid w:val="573174F0"/>
    <w:rsid w:val="57392849"/>
    <w:rsid w:val="577E46FF"/>
    <w:rsid w:val="57835872"/>
    <w:rsid w:val="579637F7"/>
    <w:rsid w:val="57A23F4A"/>
    <w:rsid w:val="57AA1051"/>
    <w:rsid w:val="57B3200D"/>
    <w:rsid w:val="57D42C12"/>
    <w:rsid w:val="582511DD"/>
    <w:rsid w:val="58704048"/>
    <w:rsid w:val="588D6DD7"/>
    <w:rsid w:val="58B41F26"/>
    <w:rsid w:val="58B4291C"/>
    <w:rsid w:val="59044790"/>
    <w:rsid w:val="5919249F"/>
    <w:rsid w:val="5923464B"/>
    <w:rsid w:val="595474C6"/>
    <w:rsid w:val="59871F22"/>
    <w:rsid w:val="598F33C1"/>
    <w:rsid w:val="59971F55"/>
    <w:rsid w:val="599E2E37"/>
    <w:rsid w:val="59C55518"/>
    <w:rsid w:val="59CC1752"/>
    <w:rsid w:val="59D81EA5"/>
    <w:rsid w:val="59E545C2"/>
    <w:rsid w:val="5A526582"/>
    <w:rsid w:val="5A5F5C77"/>
    <w:rsid w:val="5A6C6A91"/>
    <w:rsid w:val="5A801613"/>
    <w:rsid w:val="5A987C74"/>
    <w:rsid w:val="5A9B264C"/>
    <w:rsid w:val="5AB01D76"/>
    <w:rsid w:val="5ABD72ED"/>
    <w:rsid w:val="5AC661A1"/>
    <w:rsid w:val="5AE20B01"/>
    <w:rsid w:val="5AF400FB"/>
    <w:rsid w:val="5B2E3D47"/>
    <w:rsid w:val="5B5A324E"/>
    <w:rsid w:val="5B5F11CE"/>
    <w:rsid w:val="5BBE39CD"/>
    <w:rsid w:val="5BC11A60"/>
    <w:rsid w:val="5BCA4073"/>
    <w:rsid w:val="5C25514A"/>
    <w:rsid w:val="5C603AE6"/>
    <w:rsid w:val="5C7A4D54"/>
    <w:rsid w:val="5C7D6D34"/>
    <w:rsid w:val="5CA249EC"/>
    <w:rsid w:val="5CA2679A"/>
    <w:rsid w:val="5CD23B73"/>
    <w:rsid w:val="5CFF599B"/>
    <w:rsid w:val="5D153410"/>
    <w:rsid w:val="5D1F603D"/>
    <w:rsid w:val="5D3F4EC1"/>
    <w:rsid w:val="5D4D2BAA"/>
    <w:rsid w:val="5D69550A"/>
    <w:rsid w:val="5D7719D5"/>
    <w:rsid w:val="5DA87DE0"/>
    <w:rsid w:val="5DB56D8D"/>
    <w:rsid w:val="5DC619D5"/>
    <w:rsid w:val="5DCF1BBF"/>
    <w:rsid w:val="5DDD2180"/>
    <w:rsid w:val="5E1E62F4"/>
    <w:rsid w:val="5E2A4C99"/>
    <w:rsid w:val="5E954808"/>
    <w:rsid w:val="5E9B7945"/>
    <w:rsid w:val="5ED54C05"/>
    <w:rsid w:val="5EF85ED4"/>
    <w:rsid w:val="5F0674B4"/>
    <w:rsid w:val="5F0C18D0"/>
    <w:rsid w:val="5F127819"/>
    <w:rsid w:val="5F1871E8"/>
    <w:rsid w:val="5F553F98"/>
    <w:rsid w:val="5F63752A"/>
    <w:rsid w:val="5F6E5FC7"/>
    <w:rsid w:val="5F7206A6"/>
    <w:rsid w:val="5F864151"/>
    <w:rsid w:val="5FBC3C39"/>
    <w:rsid w:val="5FE315A4"/>
    <w:rsid w:val="5FF466EA"/>
    <w:rsid w:val="6030634E"/>
    <w:rsid w:val="604364E6"/>
    <w:rsid w:val="60B15BAE"/>
    <w:rsid w:val="60C767CF"/>
    <w:rsid w:val="60E25095"/>
    <w:rsid w:val="60ED1182"/>
    <w:rsid w:val="60F1503F"/>
    <w:rsid w:val="60F17CF0"/>
    <w:rsid w:val="61025188"/>
    <w:rsid w:val="61057D5F"/>
    <w:rsid w:val="61113EEE"/>
    <w:rsid w:val="612D1D20"/>
    <w:rsid w:val="61483DB4"/>
    <w:rsid w:val="614C2731"/>
    <w:rsid w:val="614D4977"/>
    <w:rsid w:val="618457FA"/>
    <w:rsid w:val="618A490E"/>
    <w:rsid w:val="61AB2EBD"/>
    <w:rsid w:val="61B03707"/>
    <w:rsid w:val="61FE0917"/>
    <w:rsid w:val="6223037D"/>
    <w:rsid w:val="623F3C58"/>
    <w:rsid w:val="624B3430"/>
    <w:rsid w:val="62683FE2"/>
    <w:rsid w:val="62685DCB"/>
    <w:rsid w:val="62860B39"/>
    <w:rsid w:val="628F77C1"/>
    <w:rsid w:val="62A602DA"/>
    <w:rsid w:val="62B66AFB"/>
    <w:rsid w:val="62C05BCC"/>
    <w:rsid w:val="62D460A8"/>
    <w:rsid w:val="62E418BB"/>
    <w:rsid w:val="631A52DC"/>
    <w:rsid w:val="637F1B3E"/>
    <w:rsid w:val="63C60FC0"/>
    <w:rsid w:val="63F514C2"/>
    <w:rsid w:val="6402419A"/>
    <w:rsid w:val="64117FAB"/>
    <w:rsid w:val="641461CF"/>
    <w:rsid w:val="644A4A48"/>
    <w:rsid w:val="644D16E1"/>
    <w:rsid w:val="648A0240"/>
    <w:rsid w:val="649E1F3D"/>
    <w:rsid w:val="64BA3D7A"/>
    <w:rsid w:val="64F179BC"/>
    <w:rsid w:val="64FA11BF"/>
    <w:rsid w:val="651E6BDA"/>
    <w:rsid w:val="655C6080"/>
    <w:rsid w:val="65636E69"/>
    <w:rsid w:val="658249CB"/>
    <w:rsid w:val="65831215"/>
    <w:rsid w:val="65BD2897"/>
    <w:rsid w:val="65C94C55"/>
    <w:rsid w:val="65EE2A50"/>
    <w:rsid w:val="65FD2C93"/>
    <w:rsid w:val="663F5130"/>
    <w:rsid w:val="665704D3"/>
    <w:rsid w:val="665E1984"/>
    <w:rsid w:val="66742F55"/>
    <w:rsid w:val="6686712D"/>
    <w:rsid w:val="66A001EE"/>
    <w:rsid w:val="66AD4988"/>
    <w:rsid w:val="66F649E7"/>
    <w:rsid w:val="66FE3167"/>
    <w:rsid w:val="670B14F0"/>
    <w:rsid w:val="670F7122"/>
    <w:rsid w:val="671A5B7D"/>
    <w:rsid w:val="673148E2"/>
    <w:rsid w:val="67395F4D"/>
    <w:rsid w:val="675445CD"/>
    <w:rsid w:val="679B2764"/>
    <w:rsid w:val="67B166CE"/>
    <w:rsid w:val="67BD293C"/>
    <w:rsid w:val="67C065A4"/>
    <w:rsid w:val="67CC6DC1"/>
    <w:rsid w:val="67D359C9"/>
    <w:rsid w:val="67F13C92"/>
    <w:rsid w:val="68242759"/>
    <w:rsid w:val="6865349E"/>
    <w:rsid w:val="68B0223F"/>
    <w:rsid w:val="68D6231D"/>
    <w:rsid w:val="68DC4DE2"/>
    <w:rsid w:val="68FE36DD"/>
    <w:rsid w:val="690129BE"/>
    <w:rsid w:val="694E60FC"/>
    <w:rsid w:val="697D65C5"/>
    <w:rsid w:val="69826005"/>
    <w:rsid w:val="698C2CAC"/>
    <w:rsid w:val="69AD360D"/>
    <w:rsid w:val="69B83AA1"/>
    <w:rsid w:val="69CA13F4"/>
    <w:rsid w:val="69E5416A"/>
    <w:rsid w:val="69EF4042"/>
    <w:rsid w:val="6A0740E0"/>
    <w:rsid w:val="6A1A0F4D"/>
    <w:rsid w:val="6A303637"/>
    <w:rsid w:val="6A773014"/>
    <w:rsid w:val="6A7C687C"/>
    <w:rsid w:val="6A7D43A3"/>
    <w:rsid w:val="6A9679C4"/>
    <w:rsid w:val="6AA10091"/>
    <w:rsid w:val="6AC80207"/>
    <w:rsid w:val="6ACF2E50"/>
    <w:rsid w:val="6AD93CCF"/>
    <w:rsid w:val="6AD95A7D"/>
    <w:rsid w:val="6ADF0EEB"/>
    <w:rsid w:val="6B10467C"/>
    <w:rsid w:val="6B460C38"/>
    <w:rsid w:val="6B773B50"/>
    <w:rsid w:val="6B870744"/>
    <w:rsid w:val="6B99345E"/>
    <w:rsid w:val="6BAD2A66"/>
    <w:rsid w:val="6BC73622"/>
    <w:rsid w:val="6BCD5EF7"/>
    <w:rsid w:val="6BF568E6"/>
    <w:rsid w:val="6BF670AD"/>
    <w:rsid w:val="6C042FCD"/>
    <w:rsid w:val="6C0B726A"/>
    <w:rsid w:val="6C0C59DE"/>
    <w:rsid w:val="6C133381"/>
    <w:rsid w:val="6C2947E2"/>
    <w:rsid w:val="6C410A63"/>
    <w:rsid w:val="6C621AA2"/>
    <w:rsid w:val="6C671521"/>
    <w:rsid w:val="6C675CE6"/>
    <w:rsid w:val="6CBC59E1"/>
    <w:rsid w:val="6CE158BA"/>
    <w:rsid w:val="6CE30E35"/>
    <w:rsid w:val="6CEF35AF"/>
    <w:rsid w:val="6CF672D1"/>
    <w:rsid w:val="6CFA2A47"/>
    <w:rsid w:val="6CFE7A1D"/>
    <w:rsid w:val="6D4F4321"/>
    <w:rsid w:val="6D560CEB"/>
    <w:rsid w:val="6DE95E22"/>
    <w:rsid w:val="6DF80BCA"/>
    <w:rsid w:val="6DFF7360"/>
    <w:rsid w:val="6E1264AD"/>
    <w:rsid w:val="6E1B015A"/>
    <w:rsid w:val="6E39342F"/>
    <w:rsid w:val="6E3E3ABC"/>
    <w:rsid w:val="6E557B10"/>
    <w:rsid w:val="6E6111A1"/>
    <w:rsid w:val="6E7A5F73"/>
    <w:rsid w:val="6E890338"/>
    <w:rsid w:val="6E985C4F"/>
    <w:rsid w:val="6EB34837"/>
    <w:rsid w:val="6EC425A0"/>
    <w:rsid w:val="6EDC453B"/>
    <w:rsid w:val="6EF52E8D"/>
    <w:rsid w:val="6F164152"/>
    <w:rsid w:val="6F2E3798"/>
    <w:rsid w:val="6F370FC4"/>
    <w:rsid w:val="6F4162E7"/>
    <w:rsid w:val="6F547DC8"/>
    <w:rsid w:val="6F8C7562"/>
    <w:rsid w:val="6FA56875"/>
    <w:rsid w:val="6FD74228"/>
    <w:rsid w:val="6FD827A7"/>
    <w:rsid w:val="701C1F22"/>
    <w:rsid w:val="702B124D"/>
    <w:rsid w:val="702C2AF3"/>
    <w:rsid w:val="703E6F00"/>
    <w:rsid w:val="70441BEA"/>
    <w:rsid w:val="706032E0"/>
    <w:rsid w:val="706A53C9"/>
    <w:rsid w:val="706C7393"/>
    <w:rsid w:val="70705AA3"/>
    <w:rsid w:val="70967F6C"/>
    <w:rsid w:val="70D80432"/>
    <w:rsid w:val="70F25AEA"/>
    <w:rsid w:val="70FE5EDF"/>
    <w:rsid w:val="71120675"/>
    <w:rsid w:val="711D243B"/>
    <w:rsid w:val="711D41EA"/>
    <w:rsid w:val="7154455A"/>
    <w:rsid w:val="71633091"/>
    <w:rsid w:val="716F2C97"/>
    <w:rsid w:val="718D75C1"/>
    <w:rsid w:val="719C6B72"/>
    <w:rsid w:val="71A60683"/>
    <w:rsid w:val="71AC18C9"/>
    <w:rsid w:val="71BC3A02"/>
    <w:rsid w:val="71D22FAF"/>
    <w:rsid w:val="71D90A58"/>
    <w:rsid w:val="71E515D1"/>
    <w:rsid w:val="71FE04BF"/>
    <w:rsid w:val="724834E8"/>
    <w:rsid w:val="725D0545"/>
    <w:rsid w:val="725E7BFA"/>
    <w:rsid w:val="72693B8A"/>
    <w:rsid w:val="727367B7"/>
    <w:rsid w:val="727D3192"/>
    <w:rsid w:val="728225E2"/>
    <w:rsid w:val="72B64083"/>
    <w:rsid w:val="72BD5C84"/>
    <w:rsid w:val="72BF37AA"/>
    <w:rsid w:val="72E17BC5"/>
    <w:rsid w:val="72FC7A35"/>
    <w:rsid w:val="73081CA5"/>
    <w:rsid w:val="73117D7E"/>
    <w:rsid w:val="731A0CC9"/>
    <w:rsid w:val="73354D6C"/>
    <w:rsid w:val="73373C88"/>
    <w:rsid w:val="73B15AAE"/>
    <w:rsid w:val="73C44DF0"/>
    <w:rsid w:val="73D03795"/>
    <w:rsid w:val="73F1054A"/>
    <w:rsid w:val="73F2195D"/>
    <w:rsid w:val="7420471D"/>
    <w:rsid w:val="74256EBC"/>
    <w:rsid w:val="74545B7C"/>
    <w:rsid w:val="747D56CB"/>
    <w:rsid w:val="7487762D"/>
    <w:rsid w:val="749954FF"/>
    <w:rsid w:val="749F2380"/>
    <w:rsid w:val="74B80DF9"/>
    <w:rsid w:val="752913AF"/>
    <w:rsid w:val="7533222E"/>
    <w:rsid w:val="75385498"/>
    <w:rsid w:val="754B0086"/>
    <w:rsid w:val="75564076"/>
    <w:rsid w:val="75A82C1C"/>
    <w:rsid w:val="75B90985"/>
    <w:rsid w:val="75BD6BB2"/>
    <w:rsid w:val="75C56612"/>
    <w:rsid w:val="75C83CC5"/>
    <w:rsid w:val="76282489"/>
    <w:rsid w:val="76472434"/>
    <w:rsid w:val="765238D1"/>
    <w:rsid w:val="766F5B43"/>
    <w:rsid w:val="769962BD"/>
    <w:rsid w:val="76A71125"/>
    <w:rsid w:val="76BC207F"/>
    <w:rsid w:val="76CF5F86"/>
    <w:rsid w:val="76EB4904"/>
    <w:rsid w:val="76FD0D45"/>
    <w:rsid w:val="77212C85"/>
    <w:rsid w:val="774626EC"/>
    <w:rsid w:val="775D17E4"/>
    <w:rsid w:val="775D3592"/>
    <w:rsid w:val="77606CEB"/>
    <w:rsid w:val="7772528F"/>
    <w:rsid w:val="777378F5"/>
    <w:rsid w:val="777A2D3C"/>
    <w:rsid w:val="77894387"/>
    <w:rsid w:val="778F2F2F"/>
    <w:rsid w:val="779135A2"/>
    <w:rsid w:val="77E872FF"/>
    <w:rsid w:val="77F2017E"/>
    <w:rsid w:val="780B56E4"/>
    <w:rsid w:val="78537BEA"/>
    <w:rsid w:val="78586E35"/>
    <w:rsid w:val="78670B6C"/>
    <w:rsid w:val="786D2A44"/>
    <w:rsid w:val="78777033"/>
    <w:rsid w:val="789F5EA1"/>
    <w:rsid w:val="78C0202A"/>
    <w:rsid w:val="78D43D28"/>
    <w:rsid w:val="78D45AD6"/>
    <w:rsid w:val="78DB6E64"/>
    <w:rsid w:val="79074B81"/>
    <w:rsid w:val="794F0939"/>
    <w:rsid w:val="79AF0FCA"/>
    <w:rsid w:val="79EE2BC7"/>
    <w:rsid w:val="79EF2560"/>
    <w:rsid w:val="79FE105C"/>
    <w:rsid w:val="7A340F22"/>
    <w:rsid w:val="7A3F7BFB"/>
    <w:rsid w:val="7A5F20A1"/>
    <w:rsid w:val="7AA240DD"/>
    <w:rsid w:val="7AC83418"/>
    <w:rsid w:val="7ACB4CB6"/>
    <w:rsid w:val="7AF72EC6"/>
    <w:rsid w:val="7AF9279C"/>
    <w:rsid w:val="7B0C1557"/>
    <w:rsid w:val="7B226FCC"/>
    <w:rsid w:val="7B98103C"/>
    <w:rsid w:val="7BA774D1"/>
    <w:rsid w:val="7BB840B1"/>
    <w:rsid w:val="7BE67FFA"/>
    <w:rsid w:val="7C333FF5"/>
    <w:rsid w:val="7C3F3BAE"/>
    <w:rsid w:val="7C725D31"/>
    <w:rsid w:val="7CBA3A3F"/>
    <w:rsid w:val="7CBB3234"/>
    <w:rsid w:val="7CC51958"/>
    <w:rsid w:val="7CCA189C"/>
    <w:rsid w:val="7CE65DD7"/>
    <w:rsid w:val="7CEC40B6"/>
    <w:rsid w:val="7CF746D4"/>
    <w:rsid w:val="7D00333D"/>
    <w:rsid w:val="7D2E5047"/>
    <w:rsid w:val="7D666903"/>
    <w:rsid w:val="7D6C09D3"/>
    <w:rsid w:val="7D726BC1"/>
    <w:rsid w:val="7D8E5E77"/>
    <w:rsid w:val="7DC51E91"/>
    <w:rsid w:val="7DF612B7"/>
    <w:rsid w:val="7DFB5219"/>
    <w:rsid w:val="7E064983"/>
    <w:rsid w:val="7E156974"/>
    <w:rsid w:val="7E2936C3"/>
    <w:rsid w:val="7E2E365C"/>
    <w:rsid w:val="7E6411B9"/>
    <w:rsid w:val="7EEF18BB"/>
    <w:rsid w:val="7EFC5D86"/>
    <w:rsid w:val="7F192494"/>
    <w:rsid w:val="7F2A46A1"/>
    <w:rsid w:val="7F58348A"/>
    <w:rsid w:val="7F5B485B"/>
    <w:rsid w:val="7F8244DD"/>
    <w:rsid w:val="7F8E4C30"/>
    <w:rsid w:val="7F9F0D72"/>
    <w:rsid w:val="7FC06DB4"/>
    <w:rsid w:val="7FD23434"/>
    <w:rsid w:val="7FEF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nhideWhenUsed="0" w:uiPriority="39" w:semiHidden="0"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仿宋_GB2312" w:eastAsia="@仿宋_GB2312" w:cs="@仿宋_GB2312"/>
      <w:kern w:val="2"/>
      <w:sz w:val="21"/>
      <w:lang w:val="en-US" w:eastAsia="zh-CN" w:bidi="ar-SA"/>
    </w:rPr>
  </w:style>
  <w:style w:type="paragraph" w:styleId="6">
    <w:name w:val="heading 1"/>
    <w:basedOn w:val="1"/>
    <w:next w:val="1"/>
    <w:link w:val="83"/>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94"/>
    <w:qFormat/>
    <w:uiPriority w:val="0"/>
    <w:pPr>
      <w:keepNext/>
      <w:keepLines/>
      <w:spacing w:before="260" w:after="260" w:line="415" w:lineRule="auto"/>
      <w:outlineLvl w:val="1"/>
    </w:pPr>
    <w:rPr>
      <w:rFonts w:ascii="Arial" w:hAnsi="Arial" w:eastAsia="黑体" w:cs="Arial"/>
      <w:b/>
      <w:bCs/>
      <w:sz w:val="32"/>
      <w:szCs w:val="32"/>
    </w:rPr>
  </w:style>
  <w:style w:type="paragraph" w:styleId="8">
    <w:name w:val="heading 3"/>
    <w:basedOn w:val="1"/>
    <w:next w:val="1"/>
    <w:link w:val="69"/>
    <w:semiHidden/>
    <w:unhideWhenUsed/>
    <w:qFormat/>
    <w:uiPriority w:val="9"/>
    <w:pPr>
      <w:keepNext/>
      <w:keepLines/>
      <w:spacing w:before="260" w:after="260" w:line="416" w:lineRule="auto"/>
      <w:outlineLvl w:val="2"/>
    </w:pPr>
    <w:rPr>
      <w:b/>
      <w:bCs/>
      <w:sz w:val="32"/>
      <w:szCs w:val="32"/>
    </w:rPr>
  </w:style>
  <w:style w:type="paragraph" w:styleId="9">
    <w:name w:val="heading 4"/>
    <w:basedOn w:val="1"/>
    <w:next w:val="1"/>
    <w:link w:val="74"/>
    <w:qFormat/>
    <w:uiPriority w:val="0"/>
    <w:pPr>
      <w:keepNext/>
      <w:keepLines/>
      <w:spacing w:before="280" w:after="290" w:line="376" w:lineRule="auto"/>
      <w:outlineLvl w:val="3"/>
    </w:pPr>
    <w:rPr>
      <w:b/>
      <w:bCs/>
      <w:sz w:val="28"/>
      <w:szCs w:val="28"/>
    </w:rPr>
  </w:style>
  <w:style w:type="paragraph" w:styleId="10">
    <w:name w:val="heading 5"/>
    <w:basedOn w:val="1"/>
    <w:next w:val="1"/>
    <w:semiHidden/>
    <w:unhideWhenUsed/>
    <w:qFormat/>
    <w:uiPriority w:val="9"/>
    <w:pPr>
      <w:keepNext/>
      <w:keepLines/>
      <w:widowControl w:val="0"/>
      <w:suppressLineNumbers w:val="0"/>
      <w:spacing w:before="120" w:beforeAutospacing="0" w:after="120" w:afterAutospacing="0" w:line="360" w:lineRule="auto"/>
      <w:ind w:left="0" w:firstLine="0" w:firstLineChars="0"/>
      <w:jc w:val="left"/>
      <w:outlineLvl w:val="4"/>
    </w:pPr>
    <w:rPr>
      <w:rFonts w:hint="default" w:ascii="Times New Roman" w:hAnsi="Times New Roman" w:eastAsia="仿宋" w:cs="Times New Roman"/>
      <w:b/>
      <w:bCs/>
      <w:color w:val="000000"/>
      <w:kern w:val="2"/>
      <w:sz w:val="28"/>
      <w:szCs w:val="28"/>
      <w:lang w:val="en-US" w:eastAsia="zh-CN" w:bidi="ar"/>
    </w:rPr>
  </w:style>
  <w:style w:type="paragraph" w:styleId="11">
    <w:name w:val="heading 6"/>
    <w:basedOn w:val="1"/>
    <w:next w:val="1"/>
    <w:qFormat/>
    <w:uiPriority w:val="0"/>
    <w:pPr>
      <w:keepNext/>
      <w:keepLines/>
      <w:widowControl w:val="0"/>
      <w:suppressLineNumbers w:val="0"/>
      <w:tabs>
        <w:tab w:val="left" w:pos="360"/>
      </w:tabs>
      <w:spacing w:before="120" w:beforeAutospacing="0" w:after="120" w:afterAutospacing="0" w:line="360" w:lineRule="auto"/>
      <w:ind w:left="0" w:right="100" w:rightChars="100" w:firstLine="0" w:firstLineChars="0"/>
      <w:jc w:val="left"/>
      <w:outlineLvl w:val="5"/>
    </w:pPr>
    <w:rPr>
      <w:rFonts w:hint="eastAsia" w:ascii="仿宋" w:hAnsi="仿宋" w:eastAsia="仿宋" w:cs="Times New Roman"/>
      <w:b/>
      <w:bCs/>
      <w:kern w:val="2"/>
      <w:sz w:val="28"/>
      <w:szCs w:val="28"/>
      <w:lang w:val="en-US" w:eastAsia="zh-CN" w:bidi="ar"/>
    </w:rPr>
  </w:style>
  <w:style w:type="character" w:default="1" w:styleId="34">
    <w:name w:val="Default Paragraph Font"/>
    <w:semiHidden/>
    <w:unhideWhenUsed/>
    <w:qFormat/>
    <w:uiPriority w:val="1"/>
  </w:style>
  <w:style w:type="table" w:default="1" w:styleId="3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uiPriority w:val="0"/>
    <w:pPr>
      <w:ind w:left="0" w:leftChars="0" w:firstLine="420" w:firstLineChars="200"/>
    </w:pPr>
  </w:style>
  <w:style w:type="paragraph" w:styleId="3">
    <w:name w:val="Body Text Indent"/>
    <w:basedOn w:val="1"/>
    <w:next w:val="4"/>
    <w:qFormat/>
    <w:uiPriority w:val="0"/>
    <w:pPr>
      <w:spacing w:after="120"/>
      <w:ind w:left="200" w:leftChars="200"/>
    </w:pPr>
  </w:style>
  <w:style w:type="paragraph" w:styleId="4">
    <w:name w:val="envelope return"/>
    <w:basedOn w:val="1"/>
    <w:next w:val="5"/>
    <w:qFormat/>
    <w:uiPriority w:val="0"/>
    <w:pPr>
      <w:snapToGrid w:val="0"/>
    </w:pPr>
    <w:rPr>
      <w:rFonts w:ascii="Arial" w:hAnsi="Arial"/>
    </w:rPr>
  </w:style>
  <w:style w:type="paragraph" w:styleId="5">
    <w:name w:val="toc 7"/>
    <w:basedOn w:val="1"/>
    <w:next w:val="1"/>
    <w:qFormat/>
    <w:uiPriority w:val="39"/>
    <w:pPr>
      <w:ind w:left="1260"/>
      <w:jc w:val="left"/>
    </w:pPr>
    <w:rPr>
      <w:sz w:val="18"/>
      <w:szCs w:val="18"/>
    </w:rPr>
  </w:style>
  <w:style w:type="paragraph" w:styleId="12">
    <w:name w:val="Normal Indent"/>
    <w:basedOn w:val="1"/>
    <w:qFormat/>
    <w:uiPriority w:val="0"/>
    <w:pPr>
      <w:autoSpaceDE w:val="0"/>
      <w:autoSpaceDN w:val="0"/>
      <w:adjustRightInd w:val="0"/>
      <w:ind w:firstLine="420"/>
      <w:jc w:val="left"/>
    </w:pPr>
    <w:rPr>
      <w:rFonts w:ascii="宋体" w:hAnsi="Times New Roman" w:eastAsia="宋体" w:cs="Times New Roman"/>
      <w:kern w:val="0"/>
      <w:sz w:val="24"/>
    </w:rPr>
  </w:style>
  <w:style w:type="paragraph" w:styleId="13">
    <w:name w:val="caption"/>
    <w:basedOn w:val="1"/>
    <w:next w:val="1"/>
    <w:qFormat/>
    <w:uiPriority w:val="99"/>
    <w:pPr>
      <w:spacing w:after="120"/>
      <w:ind w:firstLine="0" w:firstLineChars="0"/>
      <w:jc w:val="center"/>
    </w:pPr>
    <w:rPr>
      <w:rFonts w:ascii="Times New Roman" w:hAnsi="Times New Roman" w:eastAsia="黑体"/>
      <w:b/>
      <w:sz w:val="24"/>
      <w:szCs w:val="20"/>
    </w:rPr>
  </w:style>
  <w:style w:type="paragraph" w:styleId="14">
    <w:name w:val="Document Map"/>
    <w:basedOn w:val="1"/>
    <w:next w:val="1"/>
    <w:qFormat/>
    <w:uiPriority w:val="0"/>
    <w:rPr>
      <w:rFonts w:ascii="宋体" w:hAnsi="Times New Roman" w:eastAsia="宋体" w:cs="Times New Roman"/>
      <w:sz w:val="18"/>
      <w:szCs w:val="18"/>
    </w:rPr>
  </w:style>
  <w:style w:type="paragraph" w:styleId="15">
    <w:name w:val="annotation text"/>
    <w:basedOn w:val="1"/>
    <w:link w:val="66"/>
    <w:qFormat/>
    <w:uiPriority w:val="0"/>
    <w:pPr>
      <w:jc w:val="left"/>
    </w:pPr>
    <w:rPr>
      <w:rFonts w:ascii="Arial" w:hAnsi="Arial" w:eastAsia="黑体" w:cs="Arial"/>
    </w:rPr>
  </w:style>
  <w:style w:type="paragraph" w:styleId="16">
    <w:name w:val="Body Text"/>
    <w:basedOn w:val="1"/>
    <w:qFormat/>
    <w:uiPriority w:val="0"/>
    <w:pPr>
      <w:spacing w:after="120"/>
    </w:pPr>
    <w:rPr>
      <w:rFonts w:ascii="@微软简标宋" w:hAnsi="@微软简标宋" w:eastAsia="@微软简标宋" w:cs="@微软简标宋"/>
      <w:szCs w:val="24"/>
      <w:lang w:val="zh-CN"/>
    </w:rPr>
  </w:style>
  <w:style w:type="paragraph" w:styleId="17">
    <w:name w:val="List 2"/>
    <w:basedOn w:val="1"/>
    <w:qFormat/>
    <w:uiPriority w:val="0"/>
    <w:pPr>
      <w:ind w:left="100" w:leftChars="200" w:hanging="200" w:hangingChars="200"/>
    </w:pPr>
  </w:style>
  <w:style w:type="paragraph" w:styleId="18">
    <w:name w:val="Block Text"/>
    <w:basedOn w:val="1"/>
    <w:qFormat/>
    <w:uiPriority w:val="0"/>
    <w:rPr>
      <w:rFonts w:eastAsia="宋体"/>
    </w:rPr>
  </w:style>
  <w:style w:type="paragraph" w:styleId="19">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20">
    <w:name w:val="Plain Text"/>
    <w:basedOn w:val="1"/>
    <w:next w:val="1"/>
    <w:link w:val="56"/>
    <w:qFormat/>
    <w:uiPriority w:val="99"/>
    <w:rPr>
      <w:rFonts w:ascii="宋体" w:hAnsi="Courier New" w:eastAsiaTheme="minorEastAsia" w:cstheme="minorBidi"/>
      <w:szCs w:val="22"/>
    </w:rPr>
  </w:style>
  <w:style w:type="paragraph" w:styleId="21">
    <w:name w:val="Date"/>
    <w:basedOn w:val="1"/>
    <w:next w:val="1"/>
    <w:link w:val="63"/>
    <w:qFormat/>
    <w:uiPriority w:val="0"/>
    <w:rPr>
      <w:rFonts w:ascii="Arial" w:hAnsi="Arial" w:eastAsia="宋体" w:cs="Arial"/>
      <w:b/>
      <w:sz w:val="28"/>
    </w:rPr>
  </w:style>
  <w:style w:type="paragraph" w:styleId="22">
    <w:name w:val="Balloon Text"/>
    <w:basedOn w:val="1"/>
    <w:link w:val="50"/>
    <w:semiHidden/>
    <w:unhideWhenUsed/>
    <w:qFormat/>
    <w:uiPriority w:val="99"/>
    <w:rPr>
      <w:sz w:val="18"/>
      <w:szCs w:val="18"/>
    </w:rPr>
  </w:style>
  <w:style w:type="paragraph" w:styleId="23">
    <w:name w:val="footer"/>
    <w:basedOn w:val="1"/>
    <w:link w:val="55"/>
    <w:unhideWhenUsed/>
    <w:qFormat/>
    <w:uiPriority w:val="99"/>
    <w:pPr>
      <w:tabs>
        <w:tab w:val="center" w:pos="4153"/>
        <w:tab w:val="right" w:pos="8306"/>
      </w:tabs>
      <w:snapToGrid w:val="0"/>
      <w:jc w:val="left"/>
    </w:pPr>
    <w:rPr>
      <w:sz w:val="18"/>
      <w:szCs w:val="18"/>
    </w:rPr>
  </w:style>
  <w:style w:type="paragraph" w:styleId="24">
    <w:name w:val="header"/>
    <w:basedOn w:val="1"/>
    <w:link w:val="54"/>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6">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7">
    <w:name w:val="Body Text 2"/>
    <w:basedOn w:val="1"/>
    <w:unhideWhenUsed/>
    <w:qFormat/>
    <w:uiPriority w:val="99"/>
    <w:pPr>
      <w:spacing w:after="120" w:line="480" w:lineRule="auto"/>
    </w:pPr>
  </w:style>
  <w:style w:type="paragraph" w:styleId="28">
    <w:name w:val="Normal (Web)"/>
    <w:basedOn w:val="1"/>
    <w:qFormat/>
    <w:uiPriority w:val="0"/>
    <w:pPr>
      <w:spacing w:before="100" w:beforeAutospacing="1" w:after="100" w:afterAutospacing="1"/>
      <w:jc w:val="left"/>
    </w:pPr>
    <w:rPr>
      <w:rFonts w:cs="Times New Roman"/>
      <w:kern w:val="0"/>
      <w:sz w:val="24"/>
    </w:rPr>
  </w:style>
  <w:style w:type="paragraph" w:styleId="29">
    <w:name w:val="index 1"/>
    <w:basedOn w:val="1"/>
    <w:next w:val="1"/>
    <w:qFormat/>
    <w:uiPriority w:val="0"/>
    <w:pPr>
      <w:jc w:val="center"/>
    </w:pPr>
    <w:rPr>
      <w:rFonts w:ascii="Arial" w:hAnsi="Arial" w:eastAsia="Arial" w:cs="Arial"/>
      <w:b/>
      <w:bCs/>
      <w:sz w:val="28"/>
    </w:rPr>
  </w:style>
  <w:style w:type="paragraph" w:styleId="30">
    <w:name w:val="annotation subject"/>
    <w:basedOn w:val="15"/>
    <w:next w:val="15"/>
    <w:link w:val="77"/>
    <w:semiHidden/>
    <w:unhideWhenUsed/>
    <w:qFormat/>
    <w:uiPriority w:val="99"/>
    <w:rPr>
      <w:rFonts w:ascii="@仿宋_GB2312" w:hAnsi="@仿宋_GB2312" w:eastAsia="@仿宋_GB2312" w:cs="@仿宋_GB2312"/>
      <w:b/>
      <w:bCs/>
    </w:rPr>
  </w:style>
  <w:style w:type="paragraph" w:styleId="31">
    <w:name w:val="Body Text First Indent"/>
    <w:basedOn w:val="16"/>
    <w:unhideWhenUsed/>
    <w:qFormat/>
    <w:uiPriority w:val="99"/>
    <w:pPr>
      <w:ind w:firstLine="420" w:firstLineChars="100"/>
    </w:pPr>
  </w:style>
  <w:style w:type="table" w:styleId="33">
    <w:name w:val="Table Grid"/>
    <w:basedOn w:val="3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FollowedHyperlink"/>
    <w:basedOn w:val="34"/>
    <w:semiHidden/>
    <w:unhideWhenUsed/>
    <w:qFormat/>
    <w:uiPriority w:val="99"/>
    <w:rPr>
      <w:color w:val="5C5C5C"/>
      <w:u w:val="none"/>
    </w:rPr>
  </w:style>
  <w:style w:type="character" w:styleId="37">
    <w:name w:val="Emphasis"/>
    <w:basedOn w:val="34"/>
    <w:qFormat/>
    <w:uiPriority w:val="20"/>
    <w:rPr>
      <w:b/>
      <w:bCs/>
    </w:rPr>
  </w:style>
  <w:style w:type="character" w:styleId="38">
    <w:name w:val="HTML Definition"/>
    <w:basedOn w:val="34"/>
    <w:semiHidden/>
    <w:unhideWhenUsed/>
    <w:qFormat/>
    <w:uiPriority w:val="99"/>
  </w:style>
  <w:style w:type="character" w:styleId="39">
    <w:name w:val="HTML Typewriter"/>
    <w:basedOn w:val="34"/>
    <w:semiHidden/>
    <w:unhideWhenUsed/>
    <w:qFormat/>
    <w:uiPriority w:val="99"/>
    <w:rPr>
      <w:rFonts w:hint="default" w:ascii="monospace" w:hAnsi="monospace" w:eastAsia="monospace" w:cs="monospace"/>
      <w:sz w:val="20"/>
    </w:rPr>
  </w:style>
  <w:style w:type="character" w:styleId="40">
    <w:name w:val="HTML Acronym"/>
    <w:basedOn w:val="34"/>
    <w:semiHidden/>
    <w:unhideWhenUsed/>
    <w:qFormat/>
    <w:uiPriority w:val="99"/>
    <w:rPr>
      <w:rFonts w:ascii="ActionIcon ! important" w:hAnsi="ActionIcon ! important" w:eastAsia="ActionIcon ! important" w:cs="ActionIcon ! important"/>
      <w:color w:val="D6D6D6"/>
      <w:sz w:val="24"/>
      <w:szCs w:val="24"/>
    </w:rPr>
  </w:style>
  <w:style w:type="character" w:styleId="41">
    <w:name w:val="HTML Variable"/>
    <w:basedOn w:val="34"/>
    <w:semiHidden/>
    <w:unhideWhenUsed/>
    <w:qFormat/>
    <w:uiPriority w:val="99"/>
  </w:style>
  <w:style w:type="character" w:styleId="42">
    <w:name w:val="Hyperlink"/>
    <w:basedOn w:val="34"/>
    <w:unhideWhenUsed/>
    <w:qFormat/>
    <w:uiPriority w:val="99"/>
    <w:rPr>
      <w:color w:val="0000FF" w:themeColor="hyperlink"/>
      <w:u w:val="single"/>
      <w14:textFill>
        <w14:solidFill>
          <w14:schemeClr w14:val="hlink"/>
        </w14:solidFill>
      </w14:textFill>
    </w:rPr>
  </w:style>
  <w:style w:type="character" w:styleId="43">
    <w:name w:val="HTML Code"/>
    <w:basedOn w:val="34"/>
    <w:semiHidden/>
    <w:unhideWhenUsed/>
    <w:qFormat/>
    <w:uiPriority w:val="99"/>
    <w:rPr>
      <w:rFonts w:hint="default" w:ascii="monospace" w:hAnsi="monospace" w:eastAsia="monospace" w:cs="monospace"/>
      <w:sz w:val="20"/>
    </w:rPr>
  </w:style>
  <w:style w:type="character" w:styleId="44">
    <w:name w:val="annotation reference"/>
    <w:basedOn w:val="34"/>
    <w:semiHidden/>
    <w:unhideWhenUsed/>
    <w:qFormat/>
    <w:uiPriority w:val="99"/>
    <w:rPr>
      <w:sz w:val="21"/>
      <w:szCs w:val="21"/>
    </w:rPr>
  </w:style>
  <w:style w:type="character" w:styleId="45">
    <w:name w:val="HTML Cite"/>
    <w:basedOn w:val="34"/>
    <w:semiHidden/>
    <w:unhideWhenUsed/>
    <w:qFormat/>
    <w:uiPriority w:val="99"/>
  </w:style>
  <w:style w:type="character" w:styleId="46">
    <w:name w:val="HTML Keyboard"/>
    <w:basedOn w:val="34"/>
    <w:semiHidden/>
    <w:unhideWhenUsed/>
    <w:qFormat/>
    <w:uiPriority w:val="99"/>
    <w:rPr>
      <w:rFonts w:ascii="monospace" w:hAnsi="monospace" w:eastAsia="monospace" w:cs="monospace"/>
      <w:sz w:val="20"/>
    </w:rPr>
  </w:style>
  <w:style w:type="character" w:styleId="47">
    <w:name w:val="HTML Sample"/>
    <w:basedOn w:val="34"/>
    <w:semiHidden/>
    <w:unhideWhenUsed/>
    <w:qFormat/>
    <w:uiPriority w:val="99"/>
    <w:rPr>
      <w:rFonts w:hint="default" w:ascii="monospace" w:hAnsi="monospace" w:eastAsia="monospace" w:cs="monospace"/>
    </w:rPr>
  </w:style>
  <w:style w:type="paragraph" w:customStyle="1" w:styleId="48">
    <w:name w:val="_Style 2"/>
    <w:basedOn w:val="6"/>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49">
    <w:name w:val="正文文字 8"/>
    <w:basedOn w:val="1"/>
    <w:next w:val="1"/>
    <w:qFormat/>
    <w:uiPriority w:val="0"/>
    <w:pPr>
      <w:ind w:left="240"/>
    </w:pPr>
    <w:rPr>
      <w:sz w:val="16"/>
    </w:rPr>
  </w:style>
  <w:style w:type="character" w:customStyle="1" w:styleId="50">
    <w:name w:val="批注框文本 字符"/>
    <w:basedOn w:val="34"/>
    <w:link w:val="22"/>
    <w:semiHidden/>
    <w:qFormat/>
    <w:uiPriority w:val="99"/>
    <w:rPr>
      <w:rFonts w:ascii="@仿宋_GB2312" w:hAnsi="@仿宋_GB2312" w:eastAsia="@仿宋_GB2312" w:cs="@仿宋_GB2312"/>
      <w:sz w:val="18"/>
      <w:szCs w:val="18"/>
    </w:rPr>
  </w:style>
  <w:style w:type="paragraph" w:customStyle="1" w:styleId="51">
    <w:name w:val="正文（缩进）"/>
    <w:basedOn w:val="1"/>
    <w:qFormat/>
    <w:uiPriority w:val="0"/>
    <w:pPr>
      <w:widowControl/>
      <w:spacing w:before="156" w:after="156"/>
      <w:ind w:firstLine="480" w:firstLineChars="200"/>
      <w:jc w:val="left"/>
    </w:pPr>
    <w:rPr>
      <w:kern w:val="0"/>
      <w:sz w:val="24"/>
      <w:szCs w:val="24"/>
    </w:rPr>
  </w:style>
  <w:style w:type="paragraph" w:customStyle="1" w:styleId="52">
    <w:name w:val="xl31"/>
    <w:basedOn w:val="1"/>
    <w:qFormat/>
    <w:uiPriority w:val="0"/>
    <w:pPr>
      <w:widowControl/>
      <w:spacing w:before="100" w:beforeAutospacing="1" w:after="100" w:afterAutospacing="1"/>
      <w:jc w:val="center"/>
    </w:pPr>
    <w:rPr>
      <w:b/>
      <w:bCs/>
      <w:kern w:val="0"/>
      <w:sz w:val="28"/>
      <w:szCs w:val="28"/>
    </w:rPr>
  </w:style>
  <w:style w:type="paragraph" w:customStyle="1" w:styleId="53">
    <w:name w:val="D&amp;L"/>
    <w:basedOn w:val="24"/>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54">
    <w:name w:val="页眉 字符"/>
    <w:basedOn w:val="34"/>
    <w:link w:val="24"/>
    <w:qFormat/>
    <w:uiPriority w:val="99"/>
    <w:rPr>
      <w:rFonts w:ascii="@仿宋_GB2312" w:hAnsi="@仿宋_GB2312" w:eastAsia="@仿宋_GB2312" w:cs="@仿宋_GB2312"/>
      <w:sz w:val="18"/>
      <w:szCs w:val="18"/>
    </w:rPr>
  </w:style>
  <w:style w:type="character" w:customStyle="1" w:styleId="55">
    <w:name w:val="页脚 字符"/>
    <w:basedOn w:val="34"/>
    <w:link w:val="23"/>
    <w:qFormat/>
    <w:uiPriority w:val="99"/>
    <w:rPr>
      <w:rFonts w:ascii="@仿宋_GB2312" w:hAnsi="@仿宋_GB2312" w:eastAsia="@仿宋_GB2312" w:cs="@仿宋_GB2312"/>
      <w:sz w:val="18"/>
      <w:szCs w:val="18"/>
    </w:rPr>
  </w:style>
  <w:style w:type="character" w:customStyle="1" w:styleId="56">
    <w:name w:val="纯文本 字符"/>
    <w:link w:val="20"/>
    <w:qFormat/>
    <w:uiPriority w:val="0"/>
    <w:rPr>
      <w:rFonts w:ascii="宋体" w:hAnsi="Courier New"/>
    </w:rPr>
  </w:style>
  <w:style w:type="character" w:customStyle="1" w:styleId="57">
    <w:name w:val="纯文本 字符1"/>
    <w:basedOn w:val="34"/>
    <w:semiHidden/>
    <w:qFormat/>
    <w:uiPriority w:val="99"/>
    <w:rPr>
      <w:rFonts w:hAnsi="Courier New" w:cs="Courier New" w:asciiTheme="minorEastAsia"/>
      <w:szCs w:val="20"/>
    </w:rPr>
  </w:style>
  <w:style w:type="character" w:customStyle="1" w:styleId="58">
    <w:name w:val="未处理的提及1"/>
    <w:basedOn w:val="34"/>
    <w:semiHidden/>
    <w:unhideWhenUsed/>
    <w:qFormat/>
    <w:uiPriority w:val="99"/>
    <w:rPr>
      <w:color w:val="605E5C"/>
      <w:shd w:val="clear" w:color="auto" w:fill="E1DFDD"/>
    </w:rPr>
  </w:style>
  <w:style w:type="paragraph" w:styleId="59">
    <w:name w:val="List Paragraph"/>
    <w:basedOn w:val="1"/>
    <w:qFormat/>
    <w:uiPriority w:val="34"/>
    <w:pPr>
      <w:ind w:firstLine="420" w:firstLineChars="200"/>
    </w:pPr>
  </w:style>
  <w:style w:type="paragraph" w:customStyle="1" w:styleId="60">
    <w:name w:val="Char Char Char Char Char Char Char1 Char"/>
    <w:basedOn w:val="1"/>
    <w:qFormat/>
    <w:uiPriority w:val="0"/>
    <w:rPr>
      <w:rFonts w:ascii="Arial" w:hAnsi="Arial" w:eastAsia="宋体" w:cs="Arial"/>
      <w:sz w:val="24"/>
    </w:rPr>
  </w:style>
  <w:style w:type="table" w:customStyle="1" w:styleId="61">
    <w:name w:val="网格表 1 浅色1"/>
    <w:basedOn w:val="3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62">
    <w:name w:val="日期 字符"/>
    <w:basedOn w:val="34"/>
    <w:semiHidden/>
    <w:qFormat/>
    <w:uiPriority w:val="99"/>
    <w:rPr>
      <w:rFonts w:ascii="@仿宋_GB2312" w:hAnsi="@仿宋_GB2312" w:eastAsia="@仿宋_GB2312" w:cs="@仿宋_GB2312"/>
      <w:szCs w:val="20"/>
    </w:rPr>
  </w:style>
  <w:style w:type="character" w:customStyle="1" w:styleId="63">
    <w:name w:val="日期 字符1"/>
    <w:link w:val="21"/>
    <w:qFormat/>
    <w:uiPriority w:val="0"/>
    <w:rPr>
      <w:rFonts w:ascii="Arial" w:hAnsi="Arial" w:eastAsia="宋体" w:cs="Arial"/>
      <w:b/>
      <w:sz w:val="28"/>
      <w:szCs w:val="20"/>
    </w:rPr>
  </w:style>
  <w:style w:type="character" w:customStyle="1" w:styleId="64">
    <w:name w:val="纯文本 Char1"/>
    <w:qFormat/>
    <w:locked/>
    <w:uiPriority w:val="99"/>
    <w:rPr>
      <w:rFonts w:ascii="Arial" w:hAnsi="Arial" w:eastAsia="Arial"/>
      <w:kern w:val="2"/>
      <w:sz w:val="21"/>
      <w:lang w:val="en-US" w:eastAsia="zh-CN" w:bidi="ar-SA"/>
    </w:rPr>
  </w:style>
  <w:style w:type="character" w:customStyle="1" w:styleId="65">
    <w:name w:val="批注文字 Char"/>
    <w:basedOn w:val="34"/>
    <w:semiHidden/>
    <w:qFormat/>
    <w:uiPriority w:val="99"/>
    <w:rPr>
      <w:rFonts w:ascii="@仿宋_GB2312" w:hAnsi="@仿宋_GB2312" w:eastAsia="@仿宋_GB2312" w:cs="@仿宋_GB2312"/>
      <w:szCs w:val="20"/>
    </w:rPr>
  </w:style>
  <w:style w:type="character" w:customStyle="1" w:styleId="66">
    <w:name w:val="批注文字 字符"/>
    <w:link w:val="15"/>
    <w:qFormat/>
    <w:uiPriority w:val="0"/>
    <w:rPr>
      <w:rFonts w:ascii="Arial" w:hAnsi="Arial" w:eastAsia="黑体" w:cs="Arial"/>
      <w:szCs w:val="20"/>
    </w:rPr>
  </w:style>
  <w:style w:type="character" w:customStyle="1" w:styleId="67">
    <w:name w:val="标题 1 Char"/>
    <w:basedOn w:val="34"/>
    <w:qFormat/>
    <w:uiPriority w:val="9"/>
    <w:rPr>
      <w:rFonts w:ascii="@仿宋_GB2312" w:hAnsi="@仿宋_GB2312" w:eastAsia="@仿宋_GB2312" w:cs="@仿宋_GB2312"/>
      <w:b/>
      <w:bCs/>
      <w:kern w:val="44"/>
      <w:sz w:val="44"/>
      <w:szCs w:val="44"/>
    </w:rPr>
  </w:style>
  <w:style w:type="paragraph" w:customStyle="1" w:styleId="68">
    <w:name w:val="TOC 标题1"/>
    <w:basedOn w:val="6"/>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9">
    <w:name w:val="标题 3 字符"/>
    <w:basedOn w:val="34"/>
    <w:link w:val="8"/>
    <w:semiHidden/>
    <w:qFormat/>
    <w:uiPriority w:val="9"/>
    <w:rPr>
      <w:rFonts w:ascii="@仿宋_GB2312" w:hAnsi="@仿宋_GB2312" w:eastAsia="@仿宋_GB2312" w:cs="@仿宋_GB2312"/>
      <w:b/>
      <w:bCs/>
      <w:sz w:val="32"/>
      <w:szCs w:val="32"/>
    </w:rPr>
  </w:style>
  <w:style w:type="character" w:customStyle="1" w:styleId="70">
    <w:name w:val="fontstyle01"/>
    <w:basedOn w:val="34"/>
    <w:qFormat/>
    <w:uiPriority w:val="0"/>
    <w:rPr>
      <w:rFonts w:hint="eastAsia" w:ascii="宋体" w:hAnsi="宋体" w:eastAsia="宋体"/>
      <w:color w:val="000000"/>
      <w:sz w:val="22"/>
      <w:szCs w:val="22"/>
    </w:rPr>
  </w:style>
  <w:style w:type="character" w:customStyle="1" w:styleId="71">
    <w:name w:val="fontstyle21"/>
    <w:basedOn w:val="34"/>
    <w:qFormat/>
    <w:uiPriority w:val="0"/>
    <w:rPr>
      <w:rFonts w:hint="default" w:ascii="TimesNewRomanPSMT" w:hAnsi="TimesNewRomanPSMT"/>
      <w:color w:val="000000"/>
      <w:sz w:val="22"/>
      <w:szCs w:val="22"/>
    </w:rPr>
  </w:style>
  <w:style w:type="character" w:customStyle="1" w:styleId="72">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73">
    <w:name w:val="标题 4 字符"/>
    <w:basedOn w:val="34"/>
    <w:semiHidden/>
    <w:qFormat/>
    <w:uiPriority w:val="9"/>
    <w:rPr>
      <w:rFonts w:asciiTheme="majorHAnsi" w:hAnsiTheme="majorHAnsi" w:eastAsiaTheme="majorEastAsia" w:cstheme="majorBidi"/>
      <w:b/>
      <w:bCs/>
      <w:sz w:val="28"/>
      <w:szCs w:val="28"/>
    </w:rPr>
  </w:style>
  <w:style w:type="character" w:customStyle="1" w:styleId="74">
    <w:name w:val="标题 4 字符1"/>
    <w:link w:val="9"/>
    <w:qFormat/>
    <w:uiPriority w:val="0"/>
    <w:rPr>
      <w:rFonts w:ascii="@仿宋_GB2312" w:hAnsi="@仿宋_GB2312" w:eastAsia="@仿宋_GB2312" w:cs="@仿宋_GB2312"/>
      <w:b/>
      <w:bCs/>
      <w:sz w:val="28"/>
      <w:szCs w:val="28"/>
    </w:rPr>
  </w:style>
  <w:style w:type="character" w:customStyle="1" w:styleId="75">
    <w:name w:val="标题 4 Char"/>
    <w:qFormat/>
    <w:uiPriority w:val="0"/>
    <w:rPr>
      <w:rFonts w:ascii="Arial" w:hAnsi="Arial" w:eastAsia="Arial"/>
      <w:b/>
      <w:bCs/>
      <w:kern w:val="2"/>
      <w:sz w:val="28"/>
      <w:szCs w:val="28"/>
      <w:lang w:val="en-US" w:eastAsia="zh-CN" w:bidi="ar-SA"/>
    </w:rPr>
  </w:style>
  <w:style w:type="table" w:customStyle="1" w:styleId="76">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批注主题 字符"/>
    <w:basedOn w:val="66"/>
    <w:link w:val="30"/>
    <w:semiHidden/>
    <w:qFormat/>
    <w:uiPriority w:val="99"/>
    <w:rPr>
      <w:rFonts w:ascii="@仿宋_GB2312" w:hAnsi="@仿宋_GB2312" w:eastAsia="@仿宋_GB2312" w:cs="@仿宋_GB2312"/>
      <w:b/>
      <w:bCs/>
      <w:szCs w:val="20"/>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Table Text"/>
    <w:basedOn w:val="1"/>
    <w:semiHidden/>
    <w:qFormat/>
    <w:uiPriority w:val="0"/>
    <w:rPr>
      <w:rFonts w:ascii="Arial" w:hAnsi="Arial" w:eastAsia="Arial" w:cs="Arial"/>
      <w:szCs w:val="21"/>
      <w:lang w:eastAsia="en-US"/>
    </w:rPr>
  </w:style>
  <w:style w:type="paragraph" w:customStyle="1" w:styleId="80">
    <w:name w:val="Table Paragraph"/>
    <w:basedOn w:val="1"/>
    <w:qFormat/>
    <w:uiPriority w:val="0"/>
    <w:rPr>
      <w:rFonts w:ascii="宋体" w:hAnsi="宋体" w:eastAsia="宋体" w:cs="宋体"/>
      <w:lang w:val="zh-CN" w:bidi="zh-CN"/>
    </w:rPr>
  </w:style>
  <w:style w:type="character" w:customStyle="1" w:styleId="81">
    <w:name w:val="font31"/>
    <w:basedOn w:val="34"/>
    <w:qFormat/>
    <w:uiPriority w:val="0"/>
    <w:rPr>
      <w:rFonts w:ascii="微软雅黑" w:hAnsi="微软雅黑" w:eastAsia="微软雅黑" w:cs="微软雅黑"/>
      <w:color w:val="000000"/>
      <w:sz w:val="24"/>
      <w:szCs w:val="24"/>
      <w:u w:val="none"/>
    </w:rPr>
  </w:style>
  <w:style w:type="character" w:customStyle="1" w:styleId="82">
    <w:name w:val="font41"/>
    <w:basedOn w:val="34"/>
    <w:qFormat/>
    <w:uiPriority w:val="0"/>
    <w:rPr>
      <w:rFonts w:ascii="Calibri" w:hAnsi="Calibri" w:cs="Calibri"/>
      <w:color w:val="000000"/>
      <w:sz w:val="24"/>
      <w:szCs w:val="24"/>
      <w:u w:val="none"/>
    </w:rPr>
  </w:style>
  <w:style w:type="character" w:customStyle="1" w:styleId="83">
    <w:name w:val="标题 1 字符"/>
    <w:link w:val="6"/>
    <w:qFormat/>
    <w:uiPriority w:val="9"/>
    <w:rPr>
      <w:b/>
      <w:bCs/>
      <w:kern w:val="44"/>
      <w:sz w:val="44"/>
      <w:szCs w:val="44"/>
    </w:rPr>
  </w:style>
  <w:style w:type="paragraph" w:customStyle="1" w:styleId="84">
    <w:name w:val="Other|1"/>
    <w:basedOn w:val="1"/>
    <w:qFormat/>
    <w:uiPriority w:val="0"/>
    <w:rPr>
      <w:rFonts w:ascii="宋体" w:hAnsi="宋体" w:eastAsia="宋体" w:cs="宋体"/>
      <w:sz w:val="19"/>
      <w:szCs w:val="19"/>
      <w:lang w:val="zh-TW" w:eastAsia="zh-TW" w:bidi="zh-TW"/>
    </w:rPr>
  </w:style>
  <w:style w:type="paragraph" w:customStyle="1" w:styleId="85">
    <w:name w:val="纯文本1"/>
    <w:basedOn w:val="1"/>
    <w:qFormat/>
    <w:uiPriority w:val="0"/>
    <w:pPr>
      <w:adjustRightInd w:val="0"/>
    </w:pPr>
    <w:rPr>
      <w:rFonts w:ascii="宋体" w:hAnsi="Courier New" w:eastAsia="楷体_GB2312"/>
      <w:sz w:val="26"/>
    </w:rPr>
  </w:style>
  <w:style w:type="paragraph" w:customStyle="1" w:styleId="86">
    <w:name w:val="正文 New"/>
    <w:next w:val="87"/>
    <w:qFormat/>
    <w:uiPriority w:val="0"/>
    <w:pPr>
      <w:widowControl w:val="0"/>
      <w:spacing w:line="440" w:lineRule="exact"/>
      <w:ind w:left="357" w:hanging="357"/>
      <w:jc w:val="both"/>
    </w:pPr>
    <w:rPr>
      <w:rFonts w:ascii="Times New Roman" w:hAnsi="Times New Roman" w:eastAsia="宋体" w:cs="Times New Roman"/>
      <w:kern w:val="2"/>
      <w:sz w:val="21"/>
      <w:szCs w:val="22"/>
      <w:lang w:val="en-US" w:eastAsia="zh-CN" w:bidi="ar-SA"/>
    </w:rPr>
  </w:style>
  <w:style w:type="paragraph" w:customStyle="1" w:styleId="87">
    <w:name w:val="正文缩进1"/>
    <w:basedOn w:val="1"/>
    <w:next w:val="14"/>
    <w:qFormat/>
    <w:uiPriority w:val="0"/>
    <w:pPr>
      <w:spacing w:line="360" w:lineRule="atLeast"/>
      <w:ind w:firstLine="482"/>
    </w:pPr>
    <w:rPr>
      <w:rFonts w:ascii="Times New Roman" w:eastAsia="宋体"/>
      <w:sz w:val="24"/>
    </w:rPr>
  </w:style>
  <w:style w:type="paragraph" w:customStyle="1" w:styleId="88">
    <w:name w:val="_Style 3"/>
    <w:basedOn w:val="1"/>
    <w:qFormat/>
    <w:uiPriority w:val="0"/>
    <w:pPr>
      <w:ind w:firstLine="420" w:firstLineChars="200"/>
    </w:pPr>
    <w:rPr>
      <w:sz w:val="20"/>
    </w:rPr>
  </w:style>
  <w:style w:type="paragraph" w:customStyle="1" w:styleId="89">
    <w:name w:val="xl25"/>
    <w:basedOn w:val="1"/>
    <w:qFormat/>
    <w:uiPriority w:val="0"/>
    <w:pPr>
      <w:widowControl/>
      <w:spacing w:before="100" w:beforeAutospacing="1" w:after="100" w:afterAutospacing="1"/>
      <w:jc w:val="right"/>
    </w:pPr>
    <w:rPr>
      <w:rFonts w:ascii="Arial Unicode MS" w:hAnsi="Arial Unicode MS" w:eastAsia="宋体" w:cs="Arial Unicode MS"/>
      <w:color w:val="000000"/>
      <w:kern w:val="0"/>
      <w:sz w:val="18"/>
      <w:szCs w:val="18"/>
    </w:rPr>
  </w:style>
  <w:style w:type="character" w:customStyle="1" w:styleId="90">
    <w:name w:val="hover"/>
    <w:basedOn w:val="34"/>
    <w:qFormat/>
    <w:uiPriority w:val="0"/>
    <w:rPr>
      <w:color w:val="2590EB"/>
      <w:shd w:val="clear" w:color="auto" w:fill="E9F4FD"/>
    </w:rPr>
  </w:style>
  <w:style w:type="character" w:customStyle="1" w:styleId="91">
    <w:name w:val="hover1"/>
    <w:basedOn w:val="34"/>
    <w:qFormat/>
    <w:uiPriority w:val="0"/>
    <w:rPr>
      <w:color w:val="2590EB"/>
    </w:rPr>
  </w:style>
  <w:style w:type="character" w:customStyle="1" w:styleId="92">
    <w:name w:val="hover2"/>
    <w:basedOn w:val="34"/>
    <w:qFormat/>
    <w:uiPriority w:val="0"/>
    <w:rPr>
      <w:color w:val="2590EB"/>
    </w:rPr>
  </w:style>
  <w:style w:type="character" w:customStyle="1" w:styleId="93">
    <w:name w:val="hover3"/>
    <w:basedOn w:val="34"/>
    <w:qFormat/>
    <w:uiPriority w:val="0"/>
  </w:style>
  <w:style w:type="character" w:customStyle="1" w:styleId="94">
    <w:name w:val="标题 2 字符"/>
    <w:basedOn w:val="34"/>
    <w:link w:val="7"/>
    <w:qFormat/>
    <w:uiPriority w:val="0"/>
    <w:rPr>
      <w:rFonts w:ascii="等线 Light" w:hAnsi="等线 Light" w:eastAsia="等线 Light" w:cs="Times New Roman"/>
      <w:b/>
      <w:bCs/>
      <w:kern w:val="2"/>
      <w:sz w:val="32"/>
      <w:szCs w:val="32"/>
    </w:rPr>
  </w:style>
  <w:style w:type="character" w:customStyle="1" w:styleId="95">
    <w:name w:val="hover4"/>
    <w:basedOn w:val="34"/>
    <w:qFormat/>
    <w:uiPriority w:val="0"/>
  </w:style>
  <w:style w:type="character" w:customStyle="1" w:styleId="96">
    <w:name w:val="font21"/>
    <w:basedOn w:val="34"/>
    <w:qFormat/>
    <w:uiPriority w:val="0"/>
    <w:rPr>
      <w:rFonts w:hint="default" w:ascii="Times New Roman" w:hAnsi="Times New Roman" w:cs="Times New Roman"/>
      <w:color w:val="000000"/>
      <w:sz w:val="24"/>
      <w:szCs w:val="24"/>
      <w:u w:val="none"/>
    </w:rPr>
  </w:style>
  <w:style w:type="character" w:customStyle="1" w:styleId="97">
    <w:name w:val="font11"/>
    <w:basedOn w:val="34"/>
    <w:qFormat/>
    <w:uiPriority w:val="0"/>
    <w:rPr>
      <w:rFonts w:hint="eastAsia" w:ascii="宋体" w:hAnsi="宋体" w:eastAsia="宋体" w:cs="宋体"/>
      <w:color w:val="000000"/>
      <w:sz w:val="24"/>
      <w:szCs w:val="24"/>
      <w:u w:val="none"/>
    </w:rPr>
  </w:style>
  <w:style w:type="character" w:customStyle="1" w:styleId="98">
    <w:name w:val="font01"/>
    <w:basedOn w:val="34"/>
    <w:qFormat/>
    <w:uiPriority w:val="0"/>
    <w:rPr>
      <w:rFonts w:hint="eastAsia" w:ascii="宋体" w:hAnsi="宋体" w:eastAsia="宋体" w:cs="宋体"/>
      <w:color w:val="000000"/>
      <w:sz w:val="22"/>
      <w:szCs w:val="22"/>
      <w:u w:val="none"/>
    </w:rPr>
  </w:style>
  <w:style w:type="character" w:customStyle="1" w:styleId="99">
    <w:name w:val="font71"/>
    <w:basedOn w:val="34"/>
    <w:qFormat/>
    <w:uiPriority w:val="0"/>
    <w:rPr>
      <w:rFonts w:hint="default" w:ascii="Times New Roman" w:hAnsi="Times New Roman" w:cs="Times New Roman"/>
      <w:color w:val="000000"/>
      <w:sz w:val="22"/>
      <w:szCs w:val="22"/>
      <w:u w:val="none"/>
    </w:rPr>
  </w:style>
  <w:style w:type="character" w:customStyle="1" w:styleId="100">
    <w:name w:val="font51"/>
    <w:basedOn w:val="34"/>
    <w:qFormat/>
    <w:uiPriority w:val="0"/>
    <w:rPr>
      <w:rFonts w:ascii="黑体" w:hAnsi="宋体" w:eastAsia="黑体" w:cs="黑体"/>
      <w:color w:val="000000"/>
      <w:sz w:val="21"/>
      <w:szCs w:val="21"/>
      <w:u w:val="none"/>
    </w:rPr>
  </w:style>
  <w:style w:type="paragraph" w:customStyle="1" w:styleId="101">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102">
    <w:name w:val="focus4"/>
    <w:basedOn w:val="34"/>
    <w:qFormat/>
    <w:uiPriority w:val="0"/>
  </w:style>
  <w:style w:type="character" w:customStyle="1" w:styleId="103">
    <w:name w:val="tmpztreemove_arrow"/>
    <w:basedOn w:val="34"/>
    <w:qFormat/>
    <w:uiPriority w:val="0"/>
  </w:style>
  <w:style w:type="character" w:customStyle="1" w:styleId="104">
    <w:name w:val="button"/>
    <w:basedOn w:val="34"/>
    <w:qFormat/>
    <w:uiPriority w:val="0"/>
  </w:style>
  <w:style w:type="character" w:customStyle="1" w:styleId="105">
    <w:name w:val="txt15"/>
    <w:basedOn w:val="34"/>
    <w:qFormat/>
    <w:uiPriority w:val="0"/>
    <w:rPr>
      <w:color w:val="C0C0C0"/>
    </w:rPr>
  </w:style>
  <w:style w:type="character" w:customStyle="1" w:styleId="106">
    <w:name w:val="first-child1"/>
    <w:basedOn w:val="34"/>
    <w:qFormat/>
    <w:uiPriority w:val="0"/>
  </w:style>
  <w:style w:type="character" w:customStyle="1" w:styleId="107">
    <w:name w:val="split11"/>
    <w:basedOn w:val="34"/>
    <w:qFormat/>
    <w:uiPriority w:val="0"/>
    <w:rPr>
      <w:color w:val="C50001"/>
      <w:sz w:val="21"/>
      <w:szCs w:val="21"/>
    </w:rPr>
  </w:style>
  <w:style w:type="character" w:customStyle="1" w:styleId="108">
    <w:name w:val="focus"/>
    <w:basedOn w:val="34"/>
    <w:qFormat/>
    <w:uiPriority w:val="0"/>
  </w:style>
  <w:style w:type="character" w:customStyle="1" w:styleId="109">
    <w:name w:val="txt17"/>
    <w:basedOn w:val="34"/>
    <w:qFormat/>
    <w:uiPriority w:val="0"/>
    <w:rPr>
      <w:color w:val="C0C0C0"/>
    </w:rPr>
  </w:style>
  <w:style w:type="paragraph" w:customStyle="1" w:styleId="110">
    <w:name w:val="表格文字"/>
    <w:basedOn w:val="1"/>
    <w:qFormat/>
    <w:uiPriority w:val="0"/>
    <w:pPr>
      <w:spacing w:before="25" w:after="25"/>
      <w:jc w:val="left"/>
    </w:pPr>
    <w:rPr>
      <w:bCs/>
      <w:spacing w:val="10"/>
      <w:kern w:val="0"/>
      <w:sz w:val="24"/>
      <w:szCs w:val="20"/>
    </w:rPr>
  </w:style>
  <w:style w:type="paragraph" w:customStyle="1" w:styleId="111">
    <w:name w:val="my正文"/>
    <w:basedOn w:val="1"/>
    <w:qFormat/>
    <w:uiPriority w:val="0"/>
    <w:pPr>
      <w:ind w:firstLine="200"/>
    </w:pPr>
    <w:rPr>
      <w:rFonts w:ascii="仿宋_GB2312" w:hAnsiTheme="minorHAnsi" w:cstheme="minorBidi"/>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akoosky</Company>
  <Pages>112</Pages>
  <Words>6042</Words>
  <Characters>6556</Characters>
  <Lines>1</Lines>
  <Paragraphs>1</Paragraphs>
  <TotalTime>1</TotalTime>
  <ScaleCrop>false</ScaleCrop>
  <LinksUpToDate>false</LinksUpToDate>
  <CharactersWithSpaces>6642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朱启</cp:lastModifiedBy>
  <cp:lastPrinted>2025-02-16T02:39:00Z</cp:lastPrinted>
  <dcterms:modified xsi:type="dcterms:W3CDTF">2025-08-11T03:20:04Z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C8F1650CD05A4093A7777F0B1EFF8652_13</vt:lpwstr>
  </property>
  <property fmtid="{D5CDD505-2E9C-101B-9397-08002B2CF9AE}" pid="4" name="KSOTemplateDocerSaveRecord">
    <vt:lpwstr>eyJoZGlkIjoiZTQ4OTM2MTIyODI3Njc5MTE5MDBiNjA4NzIzYTUzZmEiLCJ1c2VySWQiOiI3MDAwNjg2OTUifQ==</vt:lpwstr>
  </property>
</Properties>
</file>