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E6112D8">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079EE63">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70BA8AB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77738FD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1F71056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0079A0B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DFEB20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E6C5A7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BD2A7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C8F831B">
      <w:pPr>
        <w:tabs>
          <w:tab w:val="left" w:pos="2410"/>
        </w:tabs>
        <w:autoSpaceDE w:val="0"/>
        <w:autoSpaceDN w:val="0"/>
        <w:adjustRightInd w:val="0"/>
        <w:snapToGrid w:val="0"/>
        <w:spacing w:line="360" w:lineRule="auto"/>
        <w:rPr>
          <w:rFonts w:hint="default"/>
          <w:b/>
          <w:color w:val="auto"/>
          <w:spacing w:val="20"/>
          <w:sz w:val="32"/>
          <w:szCs w:val="32"/>
          <w:highlight w:val="none"/>
          <w:u w:val="singl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 xml:space="preserve"> 2026年道路交通安全整治提升工程（一批次）</w:t>
      </w:r>
    </w:p>
    <w:p w14:paraId="40EB6B12">
      <w:pPr>
        <w:tabs>
          <w:tab w:val="left" w:pos="2410"/>
        </w:tabs>
        <w:autoSpaceDE w:val="0"/>
        <w:autoSpaceDN w:val="0"/>
        <w:adjustRightInd w:val="0"/>
        <w:snapToGrid w:val="0"/>
        <w:spacing w:line="360" w:lineRule="auto"/>
        <w:rPr>
          <w:rFonts w:hint="default"/>
          <w:b/>
          <w:color w:val="auto"/>
          <w:spacing w:val="20"/>
          <w:sz w:val="32"/>
          <w:szCs w:val="32"/>
          <w:highlight w:val="none"/>
          <w:u w:val="single"/>
          <w:lang w:val="en-US" w:eastAsia="zh-CN"/>
        </w:rPr>
      </w:pPr>
      <w:r>
        <w:rPr>
          <w:rFonts w:hint="eastAsia"/>
          <w:b/>
          <w:color w:val="auto"/>
          <w:spacing w:val="20"/>
          <w:sz w:val="32"/>
          <w:szCs w:val="32"/>
          <w:highlight w:val="none"/>
        </w:rPr>
        <w:t>项目编号：</w:t>
      </w:r>
      <w:r>
        <w:rPr>
          <w:rFonts w:hint="default"/>
          <w:b/>
          <w:color w:val="auto"/>
          <w:spacing w:val="20"/>
          <w:sz w:val="32"/>
          <w:szCs w:val="32"/>
          <w:highlight w:val="none"/>
          <w:u w:val="single"/>
          <w:lang w:val="en-US" w:eastAsia="zh-CN"/>
        </w:rPr>
        <w:t>czsjcg202607-023</w:t>
      </w:r>
    </w:p>
    <w:p w14:paraId="0D138822">
      <w:pPr>
        <w:tabs>
          <w:tab w:val="left" w:pos="2410"/>
        </w:tabs>
        <w:autoSpaceDE w:val="0"/>
        <w:autoSpaceDN w:val="0"/>
        <w:adjustRightInd w:val="0"/>
        <w:snapToGrid w:val="0"/>
        <w:spacing w:line="360" w:lineRule="auto"/>
        <w:rPr>
          <w:rFonts w:hint="eastAsia"/>
          <w:b/>
          <w:color w:val="auto"/>
          <w:spacing w:val="20"/>
          <w:sz w:val="32"/>
          <w:szCs w:val="32"/>
          <w:highlight w:val="none"/>
          <w:u w:val="single"/>
          <w:lang w:val="en-US" w:eastAsia="zh-CN"/>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滁州市重点工程建设管理处</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ascii="宋体" w:hAnsi="宋体" w:cs="宋体"/>
          <w:b/>
          <w:color w:val="auto"/>
          <w:sz w:val="32"/>
          <w:szCs w:val="32"/>
          <w:highlight w:val="none"/>
          <w:u w:val="single"/>
        </w:rPr>
        <w:t>滁州市城投工程咨询管理有限公司</w:t>
      </w:r>
    </w:p>
    <w:p w14:paraId="5E80583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89E1684">
      <w:pPr>
        <w:tabs>
          <w:tab w:val="left" w:pos="2410"/>
        </w:tabs>
        <w:autoSpaceDE w:val="0"/>
        <w:autoSpaceDN w:val="0"/>
        <w:adjustRightInd w:val="0"/>
        <w:snapToGrid w:val="0"/>
        <w:spacing w:line="360" w:lineRule="auto"/>
        <w:jc w:val="center"/>
        <w:rPr>
          <w:b/>
          <w:color w:val="auto"/>
          <w:sz w:val="36"/>
          <w:highlight w:val="none"/>
        </w:rPr>
      </w:pPr>
    </w:p>
    <w:p w14:paraId="6ADDE832">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lang w:val="en-US" w:eastAsia="zh-CN"/>
        </w:rPr>
        <w:t>7</w:t>
      </w:r>
      <w:r>
        <w:rPr>
          <w:rFonts w:hint="eastAsia"/>
          <w:b/>
          <w:color w:val="auto"/>
          <w:sz w:val="36"/>
          <w:highlight w:val="none"/>
        </w:rPr>
        <w:t>月</w:t>
      </w: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5"/>
        <w:tabs>
          <w:tab w:val="right" w:leader="dot" w:pos="8279"/>
        </w:tabs>
        <w:rPr>
          <w:rFonts w:hint="eastAsia"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_Toc11403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磋商邀请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79442B6">
      <w:pPr>
        <w:pStyle w:val="35"/>
        <w:tabs>
          <w:tab w:val="right" w:leader="dot" w:pos="82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_Toc28080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5</w:t>
      </w:r>
      <w:r>
        <w:rPr>
          <w:rFonts w:hint="eastAsia" w:ascii="宋体" w:hAnsi="宋体" w:eastAsia="宋体" w:cs="宋体"/>
          <w:color w:val="auto"/>
          <w:szCs w:val="24"/>
          <w:highlight w:val="none"/>
        </w:rPr>
        <w:fldChar w:fldCharType="end"/>
      </w:r>
    </w:p>
    <w:p w14:paraId="54835936">
      <w:pPr>
        <w:pStyle w:val="35"/>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_Toc30873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7</w:t>
      </w:r>
    </w:p>
    <w:p w14:paraId="625AC819">
      <w:pPr>
        <w:pStyle w:val="35"/>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_Toc11353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第四章  评审方法和标准</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9</w:t>
      </w:r>
    </w:p>
    <w:p w14:paraId="6B39CC35">
      <w:pPr>
        <w:pStyle w:val="35"/>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_Toc31277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4</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0</w:t>
      </w:r>
    </w:p>
    <w:p w14:paraId="5EC0F1D2">
      <w:pPr>
        <w:pStyle w:val="35"/>
        <w:tabs>
          <w:tab w:val="right" w:leader="dot" w:pos="82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_Toc22734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第六章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101</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7C68126">
      <w:pPr>
        <w:pStyle w:val="35"/>
        <w:tabs>
          <w:tab w:val="right" w:leader="dot" w:pos="8279"/>
        </w:tabs>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_Toc24879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val="en-US" w:eastAsia="zh-CN"/>
        </w:rPr>
        <w:t>七</w:t>
      </w:r>
      <w:r>
        <w:rPr>
          <w:rFonts w:hint="eastAsia" w:ascii="宋体" w:hAnsi="宋体" w:eastAsia="宋体" w:cs="宋体"/>
          <w:bCs/>
          <w:color w:val="auto"/>
          <w:highlight w:val="none"/>
        </w:rPr>
        <w:t>章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23</w:t>
      </w:r>
    </w:p>
    <w:p w14:paraId="1317E34F">
      <w:pPr>
        <w:pStyle w:val="45"/>
        <w:tabs>
          <w:tab w:val="right" w:leader="dot" w:pos="8296"/>
        </w:tabs>
        <w:rPr>
          <w:rFonts w:asciiTheme="minorEastAsia" w:hAnsiTheme="minorEastAsia"/>
          <w:b/>
          <w:color w:val="auto"/>
          <w:szCs w:val="24"/>
          <w:highlight w:val="none"/>
        </w:rPr>
      </w:pPr>
      <w:r>
        <w:rPr>
          <w:rFonts w:hint="eastAsia" w:ascii="宋体" w:hAnsi="宋体" w:eastAsia="宋体" w:cs="宋体"/>
          <w:color w:val="auto"/>
          <w:szCs w:val="24"/>
          <w:highlight w:val="none"/>
        </w:rPr>
        <w:fldChar w:fldCharType="end"/>
      </w:r>
    </w:p>
    <w:p w14:paraId="0A7C1527">
      <w:pPr>
        <w:pStyle w:val="5"/>
        <w:rPr>
          <w:color w:val="auto"/>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17997859">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color w:val="auto"/>
          <w:sz w:val="24"/>
          <w:szCs w:val="24"/>
          <w:highlight w:val="none"/>
        </w:rPr>
      </w:pPr>
      <w:bookmarkStart w:id="2" w:name="_Toc18492"/>
      <w:bookmarkStart w:id="3" w:name="_Toc8770"/>
      <w:bookmarkStart w:id="4" w:name="_Toc13220"/>
      <w:r>
        <w:rPr>
          <w:rFonts w:hint="eastAsia" w:ascii="宋体" w:hAnsi="宋体" w:eastAsia="宋体" w:cs="宋体"/>
          <w:b w:val="0"/>
          <w:color w:val="auto"/>
          <w:sz w:val="24"/>
          <w:szCs w:val="24"/>
          <w:highlight w:val="none"/>
        </w:rPr>
        <w:t>项目概况</w:t>
      </w:r>
    </w:p>
    <w:p w14:paraId="314B0C2B">
      <w:pPr>
        <w:keepNext/>
        <w:keepLines/>
        <w:pageBreakBefore w:val="0"/>
        <w:widowControl w:val="0"/>
        <w:kinsoku/>
        <w:wordWrap w:val="0"/>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color w:val="auto"/>
          <w:sz w:val="24"/>
          <w:szCs w:val="24"/>
          <w:highlight w:val="none"/>
        </w:rPr>
      </w:pPr>
      <w:r>
        <w:rPr>
          <w:rFonts w:hint="eastAsia" w:cs="宋体"/>
          <w:b w:val="0"/>
          <w:color w:val="auto"/>
          <w:sz w:val="24"/>
          <w:szCs w:val="24"/>
          <w:highlight w:val="none"/>
          <w:u w:val="single"/>
          <w:lang w:val="en-US" w:eastAsia="zh-CN"/>
        </w:rPr>
        <w:t xml:space="preserve"> 2026年道路交通安全整治提升工程（一批次）</w:t>
      </w:r>
      <w:r>
        <w:rPr>
          <w:rFonts w:hint="eastAsia" w:ascii="宋体" w:hAnsi="宋体" w:eastAsia="宋体" w:cs="宋体"/>
          <w:b w:val="0"/>
          <w:color w:val="auto"/>
          <w:sz w:val="24"/>
          <w:szCs w:val="24"/>
          <w:highlight w:val="none"/>
        </w:rPr>
        <w:t>的潜在</w:t>
      </w:r>
      <w:r>
        <w:rPr>
          <w:rFonts w:hint="eastAsia" w:ascii="宋体" w:hAnsi="宋体" w:eastAsia="宋体" w:cs="宋体"/>
          <w:b w:val="0"/>
          <w:color w:val="auto"/>
          <w:sz w:val="24"/>
          <w:szCs w:val="24"/>
          <w:highlight w:val="none"/>
          <w:lang w:eastAsia="zh-CN"/>
        </w:rPr>
        <w:t>供应商</w:t>
      </w:r>
      <w:r>
        <w:rPr>
          <w:rFonts w:hint="eastAsia" w:ascii="宋体" w:hAnsi="宋体" w:eastAsia="宋体" w:cs="宋体"/>
          <w:b w:val="0"/>
          <w:color w:val="auto"/>
          <w:sz w:val="24"/>
          <w:szCs w:val="24"/>
          <w:highlight w:val="none"/>
        </w:rPr>
        <w:t>应在</w:t>
      </w:r>
      <w:r>
        <w:rPr>
          <w:rFonts w:hint="eastAsia" w:ascii="宋体" w:hAnsi="宋体" w:eastAsia="宋体" w:cs="宋体"/>
          <w:b w:val="0"/>
          <w:color w:val="auto"/>
          <w:sz w:val="24"/>
          <w:szCs w:val="24"/>
          <w:highlight w:val="none"/>
          <w:u w:val="single"/>
        </w:rPr>
        <w:t>滁州市公共资源交易中心网（http：//ggzy.chuzhou.gov.cn/）</w:t>
      </w:r>
      <w:r>
        <w:rPr>
          <w:rFonts w:hint="eastAsia" w:ascii="宋体" w:hAnsi="宋体" w:eastAsia="宋体" w:cs="宋体"/>
          <w:b w:val="0"/>
          <w:color w:val="auto"/>
          <w:sz w:val="24"/>
          <w:szCs w:val="24"/>
          <w:highlight w:val="none"/>
        </w:rPr>
        <w:t>获取</w:t>
      </w:r>
      <w:r>
        <w:rPr>
          <w:rFonts w:hint="eastAsia" w:ascii="宋体" w:hAnsi="宋体" w:eastAsia="宋体" w:cs="宋体"/>
          <w:b w:val="0"/>
          <w:color w:val="auto"/>
          <w:sz w:val="24"/>
          <w:szCs w:val="24"/>
          <w:highlight w:val="none"/>
          <w:lang w:val="en-US" w:eastAsia="zh-CN"/>
        </w:rPr>
        <w:t>采购</w:t>
      </w:r>
      <w:r>
        <w:rPr>
          <w:rFonts w:hint="eastAsia" w:ascii="宋体" w:hAnsi="宋体" w:eastAsia="宋体" w:cs="宋体"/>
          <w:b w:val="0"/>
          <w:color w:val="auto"/>
          <w:sz w:val="24"/>
          <w:szCs w:val="24"/>
          <w:highlight w:val="none"/>
        </w:rPr>
        <w:t>文件，并于</w:t>
      </w:r>
      <w:r>
        <w:rPr>
          <w:rFonts w:hint="eastAsia" w:ascii="宋体" w:hAnsi="宋体" w:eastAsia="宋体" w:cs="宋体"/>
          <w:b w:val="0"/>
          <w:color w:val="auto"/>
          <w:sz w:val="24"/>
          <w:szCs w:val="24"/>
          <w:highlight w:val="none"/>
          <w:u w:val="single"/>
          <w:lang w:val="en-US" w:eastAsia="zh-CN"/>
        </w:rPr>
        <w:t>202</w:t>
      </w:r>
      <w:r>
        <w:rPr>
          <w:rFonts w:hint="eastAsia" w:cs="宋体"/>
          <w:b w:val="0"/>
          <w:color w:val="auto"/>
          <w:sz w:val="24"/>
          <w:szCs w:val="24"/>
          <w:highlight w:val="none"/>
          <w:u w:val="single"/>
          <w:lang w:val="en-US" w:eastAsia="zh-CN"/>
        </w:rPr>
        <w:t>6</w:t>
      </w:r>
      <w:r>
        <w:rPr>
          <w:rFonts w:hint="eastAsia" w:ascii="宋体" w:hAnsi="宋体" w:eastAsia="宋体" w:cs="宋体"/>
          <w:b w:val="0"/>
          <w:color w:val="auto"/>
          <w:sz w:val="24"/>
          <w:szCs w:val="24"/>
          <w:highlight w:val="none"/>
          <w:u w:val="single"/>
        </w:rPr>
        <w:t>年</w:t>
      </w:r>
      <w:r>
        <w:rPr>
          <w:rFonts w:hint="eastAsia" w:cs="宋体"/>
          <w:b w:val="0"/>
          <w:color w:val="auto"/>
          <w:sz w:val="24"/>
          <w:szCs w:val="24"/>
          <w:highlight w:val="none"/>
          <w:u w:val="single"/>
          <w:lang w:val="en-US" w:eastAsia="zh-CN"/>
        </w:rPr>
        <w:t xml:space="preserve"> 7月27日9时10分</w:t>
      </w:r>
      <w:r>
        <w:rPr>
          <w:rFonts w:hint="eastAsia" w:ascii="宋体" w:hAnsi="宋体" w:eastAsia="宋体" w:cs="宋体"/>
          <w:b w:val="0"/>
          <w:color w:val="auto"/>
          <w:sz w:val="24"/>
          <w:szCs w:val="24"/>
          <w:highlight w:val="none"/>
        </w:rPr>
        <w:t>（北京时间）前递交</w:t>
      </w:r>
      <w:r>
        <w:rPr>
          <w:rFonts w:hint="eastAsia" w:ascii="宋体" w:hAnsi="宋体" w:eastAsia="宋体" w:cs="宋体"/>
          <w:b w:val="0"/>
          <w:color w:val="auto"/>
          <w:sz w:val="24"/>
          <w:szCs w:val="24"/>
          <w:highlight w:val="none"/>
          <w:lang w:eastAsia="zh-CN"/>
        </w:rPr>
        <w:t>响应</w:t>
      </w:r>
      <w:r>
        <w:rPr>
          <w:rFonts w:hint="eastAsia" w:ascii="宋体" w:hAnsi="宋体" w:eastAsia="宋体" w:cs="宋体"/>
          <w:b w:val="0"/>
          <w:color w:val="auto"/>
          <w:sz w:val="24"/>
          <w:szCs w:val="24"/>
          <w:highlight w:val="none"/>
        </w:rPr>
        <w:t>文件。</w:t>
      </w:r>
    </w:p>
    <w:p w14:paraId="015BDE6B">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一、项目基本情况</w:t>
      </w:r>
    </w:p>
    <w:p w14:paraId="7FCA4ED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olor w:val="auto"/>
          <w:sz w:val="24"/>
          <w:szCs w:val="24"/>
          <w:highlight w:val="none"/>
          <w:lang w:val="en-US" w:eastAsia="zh-CN"/>
        </w:rPr>
      </w:pPr>
      <w:r>
        <w:rPr>
          <w:rFonts w:hint="eastAsia"/>
          <w:color w:val="auto"/>
          <w:sz w:val="24"/>
          <w:szCs w:val="24"/>
          <w:highlight w:val="none"/>
          <w:lang w:val="en-US" w:eastAsia="zh-CN"/>
        </w:rPr>
        <w:t>项目编号：</w:t>
      </w:r>
      <w:r>
        <w:rPr>
          <w:rFonts w:hint="default"/>
          <w:color w:val="auto"/>
          <w:sz w:val="24"/>
          <w:szCs w:val="24"/>
          <w:highlight w:val="none"/>
          <w:lang w:val="en-US" w:eastAsia="zh-CN"/>
        </w:rPr>
        <w:t>czsjcg202607-023</w:t>
      </w:r>
      <w:r>
        <w:rPr>
          <w:rFonts w:hint="eastAsia"/>
          <w:color w:val="auto"/>
          <w:sz w:val="24"/>
          <w:szCs w:val="24"/>
          <w:highlight w:val="none"/>
          <w:lang w:val="en-US" w:eastAsia="zh-CN"/>
        </w:rPr>
        <w:t xml:space="preserve">  </w:t>
      </w:r>
    </w:p>
    <w:p w14:paraId="45DEE8F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项目名称：</w:t>
      </w:r>
      <w:r>
        <w:rPr>
          <w:rFonts w:hint="eastAsia"/>
          <w:color w:val="auto"/>
          <w:sz w:val="24"/>
          <w:szCs w:val="24"/>
          <w:highlight w:val="none"/>
          <w:lang w:val="en-US" w:eastAsia="zh-CN"/>
        </w:rPr>
        <w:t>2026年道路交通安全整治提升工程（一批次）</w:t>
      </w:r>
    </w:p>
    <w:p w14:paraId="6FDFD8E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采购方式：竞争性磋商</w:t>
      </w:r>
    </w:p>
    <w:p w14:paraId="74AF0428">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预算金额：</w:t>
      </w:r>
      <w:r>
        <w:rPr>
          <w:rFonts w:hint="eastAsia"/>
          <w:color w:val="auto"/>
          <w:sz w:val="24"/>
          <w:szCs w:val="24"/>
          <w:highlight w:val="none"/>
          <w:lang w:val="en-US" w:eastAsia="zh-CN"/>
        </w:rPr>
        <w:t>97.53万元</w:t>
      </w:r>
    </w:p>
    <w:p w14:paraId="1E02FBE8">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最高限价：973498.27元，响应报价高于最高限价的，其响应文件按无效响应处理。</w:t>
      </w:r>
    </w:p>
    <w:p w14:paraId="74D4CA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采购需求：本次招标范围为吾悦华府小区与吾悦广场交口、世纪大道（菱溪苑北门过街通道）、清流路与来安路交叉口3个交口改造，主要为交通监控提升改造及路面交通提升改造。</w:t>
      </w:r>
    </w:p>
    <w:p w14:paraId="7C8CF80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合同履行期限：具备施工条件后60个日历天内完成并验收合格。供应商自报的承诺工期为考核标准。因供应商原因造成的工期延误，每推迟一天，按合同价款（扣除暂估价和暂列金）万分之二处以违约金。</w:t>
      </w:r>
    </w:p>
    <w:p w14:paraId="46DB86E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w:t>
      </w:r>
      <w:r>
        <w:rPr>
          <w:rFonts w:hint="eastAsia"/>
          <w:color w:val="auto"/>
          <w:sz w:val="24"/>
          <w:szCs w:val="24"/>
          <w:highlight w:val="none"/>
          <w:lang w:val="en-US" w:eastAsia="zh-CN"/>
        </w:rPr>
        <w:t>不</w:t>
      </w:r>
      <w:r>
        <w:rPr>
          <w:rFonts w:hint="eastAsia" w:ascii="宋体" w:hAnsi="宋体" w:eastAsia="宋体"/>
          <w:color w:val="auto"/>
          <w:sz w:val="24"/>
          <w:szCs w:val="24"/>
          <w:highlight w:val="none"/>
          <w:lang w:val="en-US" w:eastAsia="zh-CN"/>
        </w:rPr>
        <w:t>接受联合体参与。</w:t>
      </w:r>
    </w:p>
    <w:p w14:paraId="477E1B7B">
      <w:pPr>
        <w:spacing w:line="360" w:lineRule="auto"/>
        <w:ind w:firstLine="437"/>
        <w:outlineLvl w:val="1"/>
        <w:rPr>
          <w:rFonts w:hint="eastAsia" w:ascii="宋体" w:hAnsi="宋体" w:eastAsia="宋体"/>
          <w:b/>
          <w:color w:val="auto"/>
          <w:sz w:val="24"/>
          <w:highlight w:val="none"/>
          <w:lang w:val="en-US" w:eastAsia="zh-CN"/>
        </w:rPr>
      </w:pPr>
      <w:bookmarkStart w:id="5" w:name="_Toc35393630"/>
      <w:bookmarkStart w:id="6" w:name="_Toc35393799"/>
      <w:bookmarkStart w:id="7" w:name="_Toc28359090"/>
      <w:bookmarkStart w:id="8" w:name="_Toc28359013"/>
      <w:r>
        <w:rPr>
          <w:rFonts w:hint="eastAsia" w:ascii="宋体" w:hAnsi="宋体" w:eastAsia="宋体"/>
          <w:b/>
          <w:color w:val="auto"/>
          <w:sz w:val="24"/>
          <w:highlight w:val="none"/>
          <w:lang w:val="en-US" w:eastAsia="zh-CN"/>
        </w:rPr>
        <w:t>二、申请人的资格要求：</w:t>
      </w:r>
      <w:bookmarkEnd w:id="5"/>
      <w:bookmarkEnd w:id="6"/>
      <w:bookmarkEnd w:id="7"/>
      <w:bookmarkEnd w:id="8"/>
    </w:p>
    <w:p w14:paraId="0B09C63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1.满足《中华人民共和国政府采购法》第二十二条规定；</w:t>
      </w:r>
    </w:p>
    <w:p w14:paraId="7D76D1E8">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bookmarkStart w:id="9" w:name="_Toc28359014"/>
      <w:bookmarkStart w:id="10" w:name="_Toc28359091"/>
      <w:r>
        <w:rPr>
          <w:rFonts w:hint="eastAsia" w:ascii="宋体" w:hAnsi="宋体" w:eastAsia="宋体"/>
          <w:color w:val="auto"/>
          <w:sz w:val="24"/>
          <w:szCs w:val="24"/>
          <w:highlight w:val="none"/>
        </w:rPr>
        <w:t>2.落实政府采购政策需满足的资格要求：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r>
        <w:rPr>
          <w:rFonts w:hint="eastAsia" w:ascii="宋体" w:hAnsi="宋体" w:eastAsia="宋体"/>
          <w:color w:val="auto"/>
          <w:sz w:val="24"/>
          <w:szCs w:val="24"/>
          <w:highlight w:val="none"/>
          <w:lang w:eastAsia="zh-CN"/>
        </w:rPr>
        <w:t>。</w:t>
      </w:r>
    </w:p>
    <w:p w14:paraId="7B700901">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3.本项目的特定资格要求</w:t>
      </w:r>
      <w:bookmarkStart w:id="11" w:name="_Toc35393631"/>
      <w:bookmarkStart w:id="12" w:name="_Toc35393800"/>
      <w:r>
        <w:rPr>
          <w:rFonts w:hint="eastAsia" w:ascii="宋体" w:hAnsi="宋体" w:eastAsia="宋体"/>
          <w:color w:val="auto"/>
          <w:sz w:val="24"/>
          <w:szCs w:val="24"/>
          <w:highlight w:val="none"/>
        </w:rPr>
        <w:t>：①</w:t>
      </w:r>
      <w:r>
        <w:rPr>
          <w:rFonts w:hint="eastAsia" w:ascii="宋体" w:hAnsi="宋体" w:eastAsia="宋体"/>
          <w:color w:val="auto"/>
          <w:sz w:val="24"/>
          <w:szCs w:val="24"/>
          <w:highlight w:val="none"/>
          <w:lang w:val="en-US" w:eastAsia="zh-CN"/>
        </w:rPr>
        <w:t>供应商</w:t>
      </w:r>
      <w:r>
        <w:rPr>
          <w:rFonts w:hint="eastAsia" w:ascii="宋体" w:hAnsi="宋体" w:eastAsia="宋体"/>
          <w:color w:val="auto"/>
          <w:sz w:val="24"/>
          <w:szCs w:val="24"/>
          <w:highlight w:val="none"/>
        </w:rPr>
        <w:t>具有市政公用工程施工总承包三级及以上，并具有有效的安全生产许可证；</w:t>
      </w:r>
    </w:p>
    <w:p w14:paraId="185F8FF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olor w:val="auto"/>
          <w:sz w:val="24"/>
          <w:szCs w:val="24"/>
          <w:highlight w:val="none"/>
        </w:rPr>
        <w:t>项目负责人要求：具有注册在投标单位的</w:t>
      </w:r>
      <w:r>
        <w:rPr>
          <w:rFonts w:hint="eastAsia"/>
          <w:color w:val="auto"/>
          <w:sz w:val="24"/>
          <w:szCs w:val="24"/>
          <w:highlight w:val="none"/>
          <w:lang w:val="en-US" w:eastAsia="zh-CN"/>
        </w:rPr>
        <w:t>市政公用</w:t>
      </w:r>
      <w:r>
        <w:rPr>
          <w:rFonts w:hint="eastAsia" w:ascii="宋体" w:hAnsi="宋体" w:eastAsia="宋体"/>
          <w:color w:val="auto"/>
          <w:sz w:val="24"/>
          <w:szCs w:val="24"/>
          <w:highlight w:val="none"/>
        </w:rPr>
        <w:t>工程专业二级及以上注册建造师资格。</w:t>
      </w:r>
    </w:p>
    <w:p w14:paraId="6CEDA7E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.信誉要求：</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不得存在以下情形：</w:t>
      </w:r>
    </w:p>
    <w:p w14:paraId="2683DD5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①被列入“信用中国”网站“失信被执行人”的；</w:t>
      </w:r>
    </w:p>
    <w:p w14:paraId="092C6E1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②被列入“信用中国”网站“重大税收违法失信主体”的；</w:t>
      </w:r>
    </w:p>
    <w:p w14:paraId="438763A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③被列入“信用中国”网站 “严重失信主体名单”的；</w:t>
      </w:r>
    </w:p>
    <w:p w14:paraId="15D6754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④在“信用中国”网站上披露的仍在公示期的严重失信行为(具体行为类别及判定依据见“信用中国”查询的严重失信行为类别及判定依据)的。</w:t>
      </w:r>
    </w:p>
    <w:p w14:paraId="4A16420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⑤被列入国家企业信用信息公示系统网站“经营异常名录”或者“严重违法失信名单”的。</w:t>
      </w:r>
    </w:p>
    <w:p w14:paraId="4E25819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⑥被列入中国政府采购网站“政府采购严重违法失信行为信息记录”的。</w:t>
      </w:r>
    </w:p>
    <w:p w14:paraId="3C93817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⑦前三年有行贿犯罪行为的单位和个人</w:t>
      </w:r>
      <w:r>
        <w:rPr>
          <w:rFonts w:hint="eastAsia" w:ascii="宋体" w:hAnsi="宋体" w:eastAsia="宋体"/>
          <w:color w:val="auto"/>
          <w:sz w:val="24"/>
          <w:szCs w:val="24"/>
          <w:highlight w:val="none"/>
          <w:lang w:eastAsia="zh-CN"/>
        </w:rPr>
        <w:t>。</w:t>
      </w:r>
    </w:p>
    <w:p w14:paraId="635DBD2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.供应商所属分公司、办事处等分支机构存在第4条信誉要求①-⑦项情形之一的，</w:t>
      </w:r>
      <w:r>
        <w:rPr>
          <w:rFonts w:hint="eastAsia" w:ascii="宋体" w:hAnsi="宋体" w:eastAsia="宋体" w:cs="宋体"/>
          <w:color w:val="auto"/>
          <w:sz w:val="24"/>
          <w:szCs w:val="24"/>
          <w:highlight w:val="none"/>
        </w:rPr>
        <w:t>接受供应商</w:t>
      </w:r>
      <w:r>
        <w:rPr>
          <w:rFonts w:hint="eastAsia" w:cs="宋体"/>
          <w:color w:val="auto"/>
          <w:sz w:val="24"/>
          <w:szCs w:val="24"/>
          <w:highlight w:val="none"/>
          <w:lang w:val="en-US" w:eastAsia="zh-CN"/>
        </w:rPr>
        <w:t>参加本项目</w:t>
      </w:r>
      <w:r>
        <w:rPr>
          <w:rFonts w:hint="eastAsia" w:ascii="宋体" w:hAnsi="宋体" w:eastAsia="宋体"/>
          <w:color w:val="auto"/>
          <w:sz w:val="24"/>
          <w:szCs w:val="24"/>
          <w:highlight w:val="none"/>
        </w:rPr>
        <w:t>。</w:t>
      </w:r>
    </w:p>
    <w:p w14:paraId="6BC67A7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备注：第4、5条按照“关于联合惩戒失信行为加强信用查询管理的通知”查询或承诺</w:t>
      </w:r>
      <w:r>
        <w:rPr>
          <w:rFonts w:hint="eastAsia" w:ascii="宋体" w:hAnsi="宋体" w:eastAsia="宋体"/>
          <w:color w:val="auto"/>
          <w:sz w:val="24"/>
          <w:szCs w:val="24"/>
          <w:highlight w:val="none"/>
          <w:lang w:eastAsia="zh-CN"/>
        </w:rPr>
        <w:t>。</w:t>
      </w:r>
    </w:p>
    <w:p w14:paraId="400C0406">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三、获取采购文件</w:t>
      </w:r>
      <w:bookmarkEnd w:id="9"/>
      <w:bookmarkEnd w:id="10"/>
      <w:bookmarkEnd w:id="11"/>
      <w:bookmarkEnd w:id="12"/>
    </w:p>
    <w:p w14:paraId="3D9DC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 xml:space="preserve"> 7月27日</w:t>
      </w:r>
      <w:r>
        <w:rPr>
          <w:rFonts w:hint="eastAsia" w:ascii="宋体" w:hAnsi="宋体" w:eastAsia="宋体" w:cs="宋体"/>
          <w:i w:val="0"/>
          <w:iCs/>
          <w:color w:val="auto"/>
          <w:sz w:val="24"/>
          <w:szCs w:val="24"/>
          <w:highlight w:val="none"/>
          <w:u w:val="single"/>
        </w:rPr>
        <w:t>（磋商文件的发售期限自开始之日起不得少于5个工作日）</w:t>
      </w:r>
    </w:p>
    <w:p w14:paraId="127DF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75AFD9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网上下载</w:t>
      </w:r>
    </w:p>
    <w:p w14:paraId="60262E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0元</w:t>
      </w:r>
    </w:p>
    <w:p w14:paraId="5C713176">
      <w:pPr>
        <w:spacing w:line="360" w:lineRule="auto"/>
        <w:ind w:firstLine="437"/>
        <w:outlineLvl w:val="1"/>
        <w:rPr>
          <w:rFonts w:hint="eastAsia" w:ascii="宋体" w:hAnsi="宋体" w:eastAsia="宋体"/>
          <w:b/>
          <w:color w:val="auto"/>
          <w:sz w:val="24"/>
          <w:highlight w:val="none"/>
          <w:lang w:val="en-US" w:eastAsia="zh-CN"/>
        </w:rPr>
      </w:pPr>
      <w:bookmarkStart w:id="13" w:name="_Toc35393632"/>
      <w:bookmarkStart w:id="14" w:name="_Toc28359092"/>
      <w:bookmarkStart w:id="15" w:name="_Toc28359015"/>
      <w:bookmarkStart w:id="16" w:name="_Toc35393801"/>
      <w:r>
        <w:rPr>
          <w:rFonts w:hint="eastAsia" w:ascii="宋体" w:hAnsi="宋体" w:eastAsia="宋体"/>
          <w:b/>
          <w:color w:val="auto"/>
          <w:sz w:val="24"/>
          <w:highlight w:val="none"/>
          <w:lang w:val="en-US" w:eastAsia="zh-CN"/>
        </w:rPr>
        <w:t>四、响应文件提交</w:t>
      </w:r>
      <w:bookmarkEnd w:id="13"/>
      <w:bookmarkEnd w:id="14"/>
      <w:bookmarkEnd w:id="15"/>
      <w:bookmarkEnd w:id="16"/>
    </w:p>
    <w:p w14:paraId="1C55D769">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cs="宋体"/>
          <w:bCs/>
          <w:color w:val="auto"/>
          <w:sz w:val="24"/>
          <w:szCs w:val="24"/>
          <w:highlight w:val="none"/>
          <w:u w:val="single"/>
          <w:lang w:val="en-US" w:eastAsia="zh-CN"/>
        </w:rPr>
        <w:t xml:space="preserve"> 7月27日9时10分</w:t>
      </w:r>
      <w:r>
        <w:rPr>
          <w:rFonts w:hint="eastAsia" w:ascii="宋体" w:hAnsi="宋体" w:eastAsia="宋体" w:cs="宋体"/>
          <w:bCs/>
          <w:color w:val="auto"/>
          <w:sz w:val="24"/>
          <w:szCs w:val="24"/>
          <w:highlight w:val="none"/>
        </w:rPr>
        <w:t>（北京时间）</w:t>
      </w:r>
      <w:r>
        <w:rPr>
          <w:rFonts w:hint="eastAsia" w:ascii="宋体" w:hAnsi="宋体" w:eastAsia="宋体" w:cs="宋体"/>
          <w:color w:val="auto"/>
          <w:sz w:val="24"/>
          <w:szCs w:val="24"/>
          <w:highlight w:val="none"/>
          <w:u w:val="single"/>
          <w:lang w:val="en-US" w:eastAsia="zh-CN"/>
        </w:rPr>
        <w:t>（从磋商文件开始发出之日起至供应商提交首次响应文件截止之日止不得少于10日）</w:t>
      </w:r>
    </w:p>
    <w:p w14:paraId="71524577">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地点：滁州市公共资源交易平台电子交易系统。</w:t>
      </w:r>
    </w:p>
    <w:p w14:paraId="0FC047F1">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五、开启</w:t>
      </w:r>
    </w:p>
    <w:p w14:paraId="1F331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cs="宋体"/>
          <w:bCs/>
          <w:color w:val="auto"/>
          <w:sz w:val="24"/>
          <w:szCs w:val="24"/>
          <w:highlight w:val="none"/>
          <w:u w:val="single"/>
          <w:lang w:val="en-US" w:eastAsia="zh-CN"/>
        </w:rPr>
        <w:t xml:space="preserve"> 7月27日9时10分</w:t>
      </w:r>
      <w:r>
        <w:rPr>
          <w:rFonts w:hint="eastAsia" w:ascii="宋体" w:hAnsi="宋体" w:eastAsia="宋体" w:cs="宋体"/>
          <w:bCs/>
          <w:color w:val="auto"/>
          <w:sz w:val="24"/>
          <w:szCs w:val="24"/>
          <w:highlight w:val="none"/>
        </w:rPr>
        <w:t>（北京时间）</w:t>
      </w:r>
    </w:p>
    <w:p w14:paraId="50B376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地点：滁州市公共资源交易平台电子交易系统。</w:t>
      </w:r>
    </w:p>
    <w:p w14:paraId="004C4EC7">
      <w:pPr>
        <w:spacing w:line="360" w:lineRule="auto"/>
        <w:ind w:firstLine="437"/>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六、公告期限</w:t>
      </w:r>
    </w:p>
    <w:p w14:paraId="531245C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自本公告发布之日起</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个工作日。</w:t>
      </w:r>
    </w:p>
    <w:p w14:paraId="3A9E1BC4">
      <w:pPr>
        <w:spacing w:line="360" w:lineRule="auto"/>
        <w:ind w:firstLine="437"/>
        <w:outlineLvl w:val="1"/>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七、其他补充事宜</w:t>
      </w:r>
    </w:p>
    <w:p w14:paraId="3164300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1.本项目只接受在安徽省公共资源交易市场主体库（http://ggzy.ah.gov.cn/ahggfwpt-zhutiku/dengludenglu）登记并进行信息确认提交的</w:t>
      </w:r>
      <w:r>
        <w:rPr>
          <w:rFonts w:hint="eastAsia"/>
          <w:color w:val="auto"/>
          <w:sz w:val="24"/>
          <w:szCs w:val="24"/>
          <w:highlight w:val="none"/>
          <w:lang w:val="en-US" w:eastAsia="zh-CN"/>
        </w:rPr>
        <w:t>供应商参与</w:t>
      </w:r>
      <w:r>
        <w:rPr>
          <w:rFonts w:hint="eastAsia" w:ascii="宋体" w:hAnsi="宋体" w:eastAsia="宋体"/>
          <w:color w:val="auto"/>
          <w:sz w:val="24"/>
          <w:szCs w:val="24"/>
          <w:highlight w:val="none"/>
        </w:rPr>
        <w:t>，未登记的</w:t>
      </w:r>
      <w:r>
        <w:rPr>
          <w:rFonts w:hint="eastAsia"/>
          <w:color w:val="auto"/>
          <w:sz w:val="24"/>
          <w:szCs w:val="24"/>
          <w:highlight w:val="none"/>
          <w:lang w:val="en-US" w:eastAsia="zh-CN"/>
        </w:rPr>
        <w:t>供应商</w:t>
      </w:r>
      <w:r>
        <w:rPr>
          <w:rFonts w:hint="eastAsia" w:ascii="宋体" w:hAnsi="宋体" w:eastAsia="宋体"/>
          <w:color w:val="auto"/>
          <w:sz w:val="24"/>
          <w:szCs w:val="24"/>
          <w:highlight w:val="none"/>
        </w:rPr>
        <w:t>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w:t>
      </w:r>
      <w:r>
        <w:rPr>
          <w:rFonts w:hint="eastAsia"/>
          <w:color w:val="auto"/>
          <w:sz w:val="24"/>
          <w:szCs w:val="24"/>
          <w:highlight w:val="none"/>
          <w:lang w:val="en-US" w:eastAsia="zh-CN"/>
        </w:rPr>
        <w:t>参与</w:t>
      </w:r>
      <w:r>
        <w:rPr>
          <w:rFonts w:hint="eastAsia" w:ascii="宋体" w:hAnsi="宋体" w:eastAsia="宋体"/>
          <w:color w:val="auto"/>
          <w:sz w:val="24"/>
          <w:szCs w:val="24"/>
          <w:highlight w:val="none"/>
        </w:rPr>
        <w:t>的，责任自负。为保证系统使用过程中产生的问题能够及时得到解决，请各主体在工作时间进行主体信息登记、更新、</w:t>
      </w:r>
      <w:r>
        <w:rPr>
          <w:rFonts w:hint="eastAsia"/>
          <w:color w:val="auto"/>
          <w:sz w:val="24"/>
          <w:szCs w:val="24"/>
          <w:highlight w:val="none"/>
          <w:lang w:val="en-US" w:eastAsia="zh-CN"/>
        </w:rPr>
        <w:t>响应</w:t>
      </w:r>
      <w:r>
        <w:rPr>
          <w:rFonts w:hint="eastAsia" w:ascii="宋体" w:hAnsi="宋体" w:eastAsia="宋体"/>
          <w:color w:val="auto"/>
          <w:sz w:val="24"/>
          <w:szCs w:val="24"/>
          <w:highlight w:val="none"/>
        </w:rPr>
        <w:t>文件制作等相关操作。</w:t>
      </w:r>
    </w:p>
    <w:p w14:paraId="64FDC30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2.请供应商登录滁州市公共资源交易中心网站查看参加本项目的程序。（具体操作步骤和程序请参见服务指南&gt;交易须知&gt;投标人填写投标信息、下载文件及网上提问操作手册）。</w:t>
      </w:r>
    </w:p>
    <w:p w14:paraId="4107F6A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0025ED6B">
      <w:pPr>
        <w:spacing w:line="360" w:lineRule="auto"/>
        <w:ind w:firstLine="435"/>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r>
        <w:rPr>
          <w:rFonts w:hint="eastAsia" w:ascii="宋体" w:hAnsi="宋体" w:eastAsia="宋体"/>
          <w:color w:val="auto"/>
          <w:sz w:val="24"/>
          <w:szCs w:val="24"/>
          <w:highlight w:val="none"/>
          <w:lang w:val="en-US" w:eastAsia="zh-CN"/>
        </w:rPr>
        <w:t>。</w:t>
      </w:r>
    </w:p>
    <w:p w14:paraId="18D1E069">
      <w:pPr>
        <w:spacing w:line="360" w:lineRule="auto"/>
        <w:ind w:firstLine="437"/>
        <w:outlineLvl w:val="1"/>
        <w:rPr>
          <w:b/>
          <w:bCs/>
          <w:color w:val="auto"/>
          <w:sz w:val="24"/>
          <w:szCs w:val="18"/>
          <w:highlight w:val="none"/>
        </w:rPr>
      </w:pPr>
      <w:r>
        <w:rPr>
          <w:rFonts w:hint="eastAsia"/>
          <w:b/>
          <w:color w:val="auto"/>
          <w:sz w:val="24"/>
          <w:highlight w:val="none"/>
          <w:lang w:val="en-US" w:eastAsia="zh-CN"/>
        </w:rPr>
        <w:t>八</w:t>
      </w:r>
      <w:r>
        <w:rPr>
          <w:rFonts w:hint="eastAsia" w:ascii="宋体" w:hAnsi="宋体" w:eastAsia="宋体"/>
          <w:b/>
          <w:color w:val="auto"/>
          <w:sz w:val="24"/>
          <w:highlight w:val="none"/>
        </w:rPr>
        <w:t>、</w:t>
      </w:r>
      <w:r>
        <w:rPr>
          <w:rFonts w:hint="eastAsia" w:ascii="宋体" w:hAnsi="宋体" w:eastAsia="宋体"/>
          <w:b/>
          <w:bCs/>
          <w:color w:val="auto"/>
          <w:sz w:val="24"/>
          <w:szCs w:val="18"/>
          <w:highlight w:val="none"/>
        </w:rPr>
        <w:t>对本次</w:t>
      </w:r>
      <w:r>
        <w:rPr>
          <w:rFonts w:hint="eastAsia"/>
          <w:b/>
          <w:bCs/>
          <w:color w:val="auto"/>
          <w:sz w:val="24"/>
          <w:szCs w:val="18"/>
          <w:highlight w:val="none"/>
          <w:lang w:val="en-US" w:eastAsia="zh-CN"/>
        </w:rPr>
        <w:t>采购</w:t>
      </w:r>
      <w:r>
        <w:rPr>
          <w:rFonts w:hint="eastAsia" w:ascii="宋体" w:hAnsi="宋体" w:eastAsia="宋体"/>
          <w:b/>
          <w:bCs/>
          <w:color w:val="auto"/>
          <w:sz w:val="24"/>
          <w:szCs w:val="18"/>
          <w:highlight w:val="none"/>
        </w:rPr>
        <w:t>提出询问，请按以下方式联系</w:t>
      </w:r>
    </w:p>
    <w:bookmarkEnd w:id="2"/>
    <w:bookmarkEnd w:id="3"/>
    <w:p w14:paraId="3F71EB18">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67DF06B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val="en-US" w:eastAsia="zh-CN"/>
        </w:rPr>
      </w:pPr>
      <w:r>
        <w:rPr>
          <w:rFonts w:hint="eastAsia" w:ascii="宋体" w:hAnsi="宋体" w:eastAsia="宋体" w:cs="宋体"/>
          <w:color w:val="auto"/>
          <w:sz w:val="24"/>
          <w:szCs w:val="24"/>
          <w:highlight w:val="none"/>
          <w:u w:val="none"/>
          <w:lang w:val="en-US" w:eastAsia="zh-CN"/>
        </w:rPr>
        <w:t>名称</w:t>
      </w:r>
      <w:r>
        <w:rPr>
          <w:rFonts w:hint="eastAsia" w:ascii="宋体" w:hAnsi="宋体" w:eastAsia="宋体"/>
          <w:color w:val="auto"/>
          <w:sz w:val="24"/>
          <w:szCs w:val="18"/>
          <w:highlight w:val="none"/>
          <w:u w:val="none"/>
        </w:rPr>
        <w:t>：滁州市重点工程建设管理处</w:t>
      </w:r>
    </w:p>
    <w:p w14:paraId="5180461D">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地址：滁州市琅琊西路81号</w:t>
      </w:r>
    </w:p>
    <w:p w14:paraId="0997BFD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w:t>
      </w:r>
      <w:r>
        <w:rPr>
          <w:rFonts w:hint="eastAsia"/>
          <w:color w:val="auto"/>
          <w:sz w:val="24"/>
          <w:szCs w:val="18"/>
          <w:highlight w:val="none"/>
          <w:u w:val="none"/>
          <w:lang w:val="en-US" w:eastAsia="zh-CN"/>
        </w:rPr>
        <w:t>顾莉</w:t>
      </w:r>
    </w:p>
    <w:p w14:paraId="365567D5">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color w:val="auto"/>
          <w:sz w:val="24"/>
          <w:szCs w:val="18"/>
          <w:highlight w:val="none"/>
          <w:u w:val="none"/>
          <w:lang w:eastAsia="zh-CN"/>
        </w:rPr>
        <w:t>0550-2599817</w:t>
      </w:r>
    </w:p>
    <w:p w14:paraId="1638E407">
      <w:pPr>
        <w:keepNext w:val="0"/>
        <w:keepLines w:val="0"/>
        <w:pageBreakBefore w:val="0"/>
        <w:widowControl w:val="0"/>
        <w:kinsoku/>
        <w:wordWrap/>
        <w:overflowPunct/>
        <w:topLinePunct w:val="0"/>
        <w:autoSpaceDE/>
        <w:autoSpaceDN/>
        <w:bidi w:val="0"/>
        <w:adjustRightInd/>
        <w:snapToGrid/>
        <w:spacing w:line="520" w:lineRule="exact"/>
        <w:ind w:firstLine="437"/>
        <w:textAlignment w:val="auto"/>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7F90D2A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名称</w:t>
      </w:r>
      <w:r>
        <w:rPr>
          <w:rFonts w:hint="eastAsia" w:ascii="宋体" w:hAnsi="宋体" w:eastAsia="宋体"/>
          <w:color w:val="auto"/>
          <w:sz w:val="24"/>
          <w:szCs w:val="18"/>
          <w:highlight w:val="none"/>
          <w:u w:val="none"/>
        </w:rPr>
        <w:t>：滁州市城投工程咨询管理有限公司</w:t>
      </w:r>
    </w:p>
    <w:p w14:paraId="308BFFD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rPr>
        <w:t>地</w:t>
      </w:r>
      <w:r>
        <w:rPr>
          <w:rFonts w:ascii="宋体" w:hAnsi="宋体" w:eastAsia="宋体"/>
          <w:color w:val="auto"/>
          <w:sz w:val="24"/>
          <w:szCs w:val="18"/>
          <w:highlight w:val="none"/>
          <w:u w:val="none"/>
        </w:rPr>
        <w:t>址：</w:t>
      </w:r>
      <w:r>
        <w:rPr>
          <w:rFonts w:hint="eastAsia"/>
          <w:color w:val="auto"/>
          <w:sz w:val="24"/>
          <w:szCs w:val="18"/>
          <w:highlight w:val="none"/>
          <w:u w:val="none"/>
          <w:lang w:eastAsia="zh-CN"/>
        </w:rPr>
        <w:t>滁州市龙蟠大道109号房产商务大厦6楼</w:t>
      </w:r>
    </w:p>
    <w:p w14:paraId="6289BC3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eastAsia="宋体"/>
          <w:color w:val="auto"/>
          <w:highlight w:val="none"/>
          <w:u w:val="none"/>
          <w:lang w:val="en-US" w:eastAsia="zh-CN"/>
        </w:rPr>
      </w:pPr>
      <w:r>
        <w:rPr>
          <w:rFonts w:hint="eastAsia" w:ascii="宋体" w:hAnsi="宋体" w:eastAsia="宋体"/>
          <w:color w:val="auto"/>
          <w:sz w:val="24"/>
          <w:szCs w:val="18"/>
          <w:highlight w:val="none"/>
          <w:u w:val="none"/>
          <w:lang w:val="en-US" w:eastAsia="zh-CN"/>
        </w:rPr>
        <w:t>联</w:t>
      </w:r>
      <w:r>
        <w:rPr>
          <w:rFonts w:hint="eastAsia"/>
          <w:color w:val="auto"/>
          <w:sz w:val="24"/>
          <w:szCs w:val="18"/>
          <w:highlight w:val="none"/>
          <w:u w:val="none"/>
          <w:lang w:val="en-US" w:eastAsia="zh-CN"/>
        </w:rPr>
        <w:t xml:space="preserve"> </w:t>
      </w:r>
      <w:r>
        <w:rPr>
          <w:rFonts w:hint="eastAsia" w:ascii="宋体" w:hAnsi="宋体" w:eastAsia="宋体"/>
          <w:color w:val="auto"/>
          <w:sz w:val="24"/>
          <w:szCs w:val="18"/>
          <w:highlight w:val="none"/>
          <w:u w:val="none"/>
          <w:lang w:val="en-US" w:eastAsia="zh-CN"/>
        </w:rPr>
        <w:t>系</w:t>
      </w:r>
      <w:r>
        <w:rPr>
          <w:rFonts w:hint="eastAsia"/>
          <w:color w:val="auto"/>
          <w:sz w:val="24"/>
          <w:szCs w:val="18"/>
          <w:highlight w:val="none"/>
          <w:u w:val="none"/>
          <w:lang w:val="en-US" w:eastAsia="zh-CN"/>
        </w:rPr>
        <w:t xml:space="preserve"> </w:t>
      </w:r>
      <w:r>
        <w:rPr>
          <w:rFonts w:hint="eastAsia" w:ascii="宋体" w:hAnsi="宋体" w:eastAsia="宋体"/>
          <w:color w:val="auto"/>
          <w:sz w:val="24"/>
          <w:szCs w:val="18"/>
          <w:highlight w:val="none"/>
          <w:u w:val="none"/>
          <w:lang w:val="en-US" w:eastAsia="zh-CN"/>
        </w:rPr>
        <w:t>人：</w:t>
      </w:r>
      <w:r>
        <w:rPr>
          <w:rFonts w:hint="eastAsia"/>
          <w:color w:val="auto"/>
          <w:sz w:val="24"/>
          <w:szCs w:val="18"/>
          <w:highlight w:val="none"/>
          <w:u w:val="none"/>
          <w:lang w:val="en-US" w:eastAsia="zh-CN"/>
        </w:rPr>
        <w:t>王芳</w:t>
      </w:r>
    </w:p>
    <w:p w14:paraId="040DF881">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w:t>
      </w:r>
      <w:r>
        <w:rPr>
          <w:rFonts w:hint="eastAsia" w:cs="宋体"/>
          <w:color w:val="auto"/>
          <w:sz w:val="24"/>
          <w:szCs w:val="24"/>
          <w:highlight w:val="none"/>
          <w:u w:val="none"/>
          <w:lang w:val="en-US" w:eastAsia="zh-CN"/>
        </w:rPr>
        <w:t>0550-3519519、18955055067</w:t>
      </w:r>
    </w:p>
    <w:p w14:paraId="26E273D6">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3.政府采购监督管理部门信息</w:t>
      </w:r>
    </w:p>
    <w:p w14:paraId="2172701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名称：滁州市公共资源交易监督管理局</w:t>
      </w:r>
    </w:p>
    <w:p w14:paraId="47EC9A6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地址：滁州市龙蟠大道109号房产商务大厦3楼</w:t>
      </w:r>
    </w:p>
    <w:p w14:paraId="564DE358">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联系方式：0550-38016</w:t>
      </w:r>
      <w:r>
        <w:rPr>
          <w:rFonts w:hint="eastAsia" w:cs="宋体"/>
          <w:color w:val="auto"/>
          <w:sz w:val="24"/>
          <w:szCs w:val="24"/>
          <w:highlight w:val="none"/>
          <w:u w:val="none"/>
          <w:lang w:val="en-US" w:eastAsia="zh-CN"/>
        </w:rPr>
        <w:t>01</w:t>
      </w:r>
    </w:p>
    <w:bookmarkEnd w:id="4"/>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17"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7"/>
    </w:p>
    <w:p w14:paraId="370FE04A">
      <w:pPr>
        <w:spacing w:line="360" w:lineRule="auto"/>
        <w:jc w:val="center"/>
        <w:outlineLvl w:val="1"/>
        <w:rPr>
          <w:rFonts w:asciiTheme="minorEastAsia" w:hAnsiTheme="minorEastAsia" w:eastAsiaTheme="minorEastAsia"/>
          <w:b/>
          <w:color w:val="auto"/>
          <w:sz w:val="24"/>
          <w:highlight w:val="none"/>
        </w:rPr>
      </w:pPr>
      <w:bookmarkStart w:id="18" w:name="_Toc12027"/>
      <w:bookmarkStart w:id="19"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8"/>
      <w:bookmarkEnd w:id="19"/>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50"/>
        <w:gridCol w:w="6173"/>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628ADB11">
            <w:pPr>
              <w:pStyle w:val="7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42" w:type="pct"/>
            <w:vAlign w:val="center"/>
          </w:tcPr>
          <w:p w14:paraId="006ABCD9">
            <w:pPr>
              <w:pStyle w:val="7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24" w:type="pct"/>
            <w:vAlign w:val="center"/>
          </w:tcPr>
          <w:p w14:paraId="64A1A7FA">
            <w:pPr>
              <w:pStyle w:val="7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213016A6">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42" w:type="pct"/>
            <w:vAlign w:val="center"/>
          </w:tcPr>
          <w:p w14:paraId="186EF350">
            <w:pPr>
              <w:pStyle w:val="77"/>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24" w:type="pct"/>
            <w:vAlign w:val="center"/>
          </w:tcPr>
          <w:p w14:paraId="3AFE9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02CE4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771579F3">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589C52CA">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360BD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14:paraId="47A89B4F">
            <w:pPr>
              <w:pStyle w:val="7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5116C3C4">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42" w:type="pct"/>
            <w:vAlign w:val="center"/>
          </w:tcPr>
          <w:p w14:paraId="11FAF766">
            <w:pPr>
              <w:pStyle w:val="7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24" w:type="pct"/>
            <w:vAlign w:val="center"/>
          </w:tcPr>
          <w:p w14:paraId="17961FE2">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rFonts w:hint="eastAsia"/>
                <w:b w:val="0"/>
                <w:color w:val="auto"/>
                <w:sz w:val="24"/>
                <w:highlight w:val="none"/>
                <w:u w:val="single"/>
                <w:lang w:val="en-US" w:eastAsia="zh-CN"/>
              </w:rPr>
              <w:t>7</w:t>
            </w:r>
            <w:r>
              <w:rPr>
                <w:b w:val="0"/>
                <w:color w:val="auto"/>
                <w:sz w:val="24"/>
                <w:highlight w:val="none"/>
              </w:rPr>
              <w:t>月</w:t>
            </w:r>
            <w:r>
              <w:rPr>
                <w:rFonts w:hint="eastAsia"/>
                <w:b w:val="0"/>
                <w:color w:val="auto"/>
                <w:sz w:val="24"/>
                <w:highlight w:val="none"/>
                <w:u w:val="single"/>
                <w:lang w:val="en-US" w:eastAsia="zh-CN"/>
              </w:rPr>
              <w:t>21</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00</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33" w:type="pct"/>
            <w:vAlign w:val="center"/>
          </w:tcPr>
          <w:p w14:paraId="576AC7EA">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42" w:type="pct"/>
            <w:vAlign w:val="center"/>
          </w:tcPr>
          <w:p w14:paraId="7026D976">
            <w:pPr>
              <w:pStyle w:val="7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24" w:type="pct"/>
            <w:vAlign w:val="center"/>
          </w:tcPr>
          <w:p w14:paraId="67D762E5">
            <w:pPr>
              <w:pStyle w:val="77"/>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w:t>
            </w:r>
            <w:r>
              <w:rPr>
                <w:rFonts w:hint="eastAsia"/>
                <w:b w:val="0"/>
                <w:color w:val="auto"/>
                <w:sz w:val="24"/>
                <w:highlight w:val="none"/>
                <w:lang w:val="en-US" w:eastAsia="zh-CN"/>
              </w:rPr>
              <w:t>/</w:t>
            </w:r>
            <w:r>
              <w:rPr>
                <w:b w:val="0"/>
                <w:color w:val="auto"/>
                <w:sz w:val="24"/>
                <w:highlight w:val="none"/>
              </w:rPr>
              <w:t>个包</w:t>
            </w:r>
          </w:p>
          <w:p w14:paraId="19006EF2">
            <w:pPr>
              <w:pStyle w:val="77"/>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33" w:type="pct"/>
            <w:vAlign w:val="center"/>
          </w:tcPr>
          <w:p w14:paraId="18640B59">
            <w:pPr>
              <w:pStyle w:val="7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42" w:type="pct"/>
            <w:vAlign w:val="center"/>
          </w:tcPr>
          <w:p w14:paraId="6CF7A031">
            <w:pPr>
              <w:pStyle w:val="7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24" w:type="pct"/>
            <w:vAlign w:val="center"/>
          </w:tcPr>
          <w:p w14:paraId="70AB614D">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6A6DDB7C">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42" w:type="pct"/>
            <w:vAlign w:val="center"/>
          </w:tcPr>
          <w:p w14:paraId="2B95BD20">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24" w:type="pct"/>
            <w:vAlign w:val="center"/>
          </w:tcPr>
          <w:p w14:paraId="530296D3">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76D2A6C5">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42" w:type="pct"/>
            <w:vAlign w:val="center"/>
          </w:tcPr>
          <w:p w14:paraId="1ADB9331">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24" w:type="pct"/>
            <w:vAlign w:val="center"/>
          </w:tcPr>
          <w:p w14:paraId="5209EDC1">
            <w:pPr>
              <w:pStyle w:val="77"/>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60 </w:t>
            </w:r>
            <w:r>
              <w:rPr>
                <w:rFonts w:hint="eastAsia"/>
                <w:b w:val="0"/>
                <w:color w:val="auto"/>
                <w:sz w:val="24"/>
                <w:highlight w:val="none"/>
                <w:u w:val="none"/>
              </w:rPr>
              <w:t>分钟内</w:t>
            </w:r>
            <w:r>
              <w:rPr>
                <w:rFonts w:hint="eastAsia" w:ascii="宋体" w:hAnsi="宋体" w:eastAsia="宋体" w:cs="宋体"/>
                <w:b w:val="0"/>
                <w:color w:val="auto"/>
                <w:sz w:val="24"/>
                <w:highlight w:val="none"/>
                <w:u w:val="none"/>
              </w:rPr>
              <w:t>（以本项目网上招投标系统解密倒计时为准）</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476CA974">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42" w:type="pct"/>
            <w:vAlign w:val="center"/>
          </w:tcPr>
          <w:p w14:paraId="24CC240D">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24" w:type="pct"/>
            <w:vAlign w:val="center"/>
          </w:tcPr>
          <w:p w14:paraId="35A7040F">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6327A479">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42" w:type="pct"/>
            <w:vAlign w:val="center"/>
          </w:tcPr>
          <w:p w14:paraId="1BE0F5A8">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77"/>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24" w:type="pct"/>
            <w:vAlign w:val="center"/>
          </w:tcPr>
          <w:p w14:paraId="0B988EFD">
            <w:pPr>
              <w:pStyle w:val="7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w:t>
            </w:r>
            <w:r>
              <w:rPr>
                <w:rFonts w:hint="eastAsia"/>
                <w:b w:val="0"/>
                <w:color w:val="auto"/>
                <w:sz w:val="24"/>
                <w:highlight w:val="none"/>
                <w:u w:val="single"/>
                <w:lang w:val="en-US" w:eastAsia="zh-CN"/>
              </w:rPr>
              <w:t>10</w:t>
            </w:r>
            <w:r>
              <w:rPr>
                <w:rFonts w:hint="eastAsia" w:ascii="宋体" w:hAnsi="宋体" w:eastAsia="宋体"/>
                <w:b w:val="0"/>
                <w:color w:val="auto"/>
                <w:sz w:val="24"/>
                <w:highlight w:val="none"/>
                <w:u w:val="single"/>
              </w:rPr>
              <w:t>%的扣除后参与评审</w:t>
            </w:r>
            <w:r>
              <w:rPr>
                <w:rFonts w:hint="eastAsia"/>
                <w:b w:val="0"/>
                <w:color w:val="auto"/>
                <w:sz w:val="24"/>
                <w:highlight w:val="none"/>
                <w:u w:val="single"/>
                <w:lang w:eastAsia="zh-CN"/>
              </w:rPr>
              <w:t>；其评审价=最终响应报价*（90%）</w:t>
            </w:r>
            <w:r>
              <w:rPr>
                <w:rFonts w:hint="eastAsia" w:ascii="宋体" w:hAnsi="宋体" w:eastAsia="宋体"/>
                <w:b w:val="0"/>
                <w:color w:val="auto"/>
                <w:sz w:val="24"/>
                <w:highlight w:val="none"/>
              </w:rPr>
              <w:t>。</w:t>
            </w:r>
          </w:p>
          <w:p w14:paraId="77AE2312">
            <w:pPr>
              <w:pStyle w:val="7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7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7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联合体投标的，小型、微型企业的协议合同金额占联合体协议合同总金额30%以上的，价格给予联合体4%的扣除后参与评审；其评审价=投标报价*96%；联合体各方均为小型、微型企业的，联合体视同为小型、微型企业，其评审价按（1）款执行</w:t>
            </w:r>
            <w:r>
              <w:rPr>
                <w:rFonts w:hint="eastAsia" w:ascii="宋体" w:hAnsi="宋体" w:eastAsia="宋体"/>
                <w:b w:val="0"/>
                <w:color w:val="auto"/>
                <w:sz w:val="24"/>
                <w:highlight w:val="none"/>
              </w:rPr>
              <w:t>。</w:t>
            </w:r>
          </w:p>
          <w:p w14:paraId="6EB6BD0E">
            <w:pPr>
              <w:pStyle w:val="7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Merge w:val="restart"/>
            <w:vAlign w:val="center"/>
          </w:tcPr>
          <w:p w14:paraId="51C34DB0">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42" w:type="pct"/>
            <w:vMerge w:val="restart"/>
            <w:vAlign w:val="center"/>
          </w:tcPr>
          <w:p w14:paraId="622C21A0">
            <w:pPr>
              <w:pStyle w:val="77"/>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24" w:type="pct"/>
            <w:vAlign w:val="center"/>
          </w:tcPr>
          <w:p w14:paraId="76178504">
            <w:pPr>
              <w:pStyle w:val="7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29C179CC">
            <w:pPr>
              <w:pStyle w:val="77"/>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Merge w:val="continue"/>
            <w:vAlign w:val="center"/>
          </w:tcPr>
          <w:p w14:paraId="6745B143">
            <w:pPr>
              <w:pStyle w:val="78"/>
              <w:pBdr>
                <w:bottom w:val="none" w:color="auto" w:sz="0" w:space="0"/>
              </w:pBdr>
              <w:tabs>
                <w:tab w:val="clear" w:pos="4153"/>
                <w:tab w:val="clear" w:pos="8306"/>
              </w:tabs>
              <w:adjustRightInd/>
              <w:spacing w:line="360" w:lineRule="auto"/>
              <w:textAlignment w:val="auto"/>
              <w:rPr>
                <w:bCs/>
                <w:color w:val="auto"/>
                <w:kern w:val="2"/>
                <w:highlight w:val="none"/>
              </w:rPr>
            </w:pPr>
          </w:p>
        </w:tc>
        <w:tc>
          <w:tcPr>
            <w:tcW w:w="942" w:type="pct"/>
            <w:vMerge w:val="continue"/>
            <w:vAlign w:val="center"/>
          </w:tcPr>
          <w:p w14:paraId="031DE47F">
            <w:pPr>
              <w:pStyle w:val="77"/>
              <w:widowControl w:val="0"/>
              <w:spacing w:before="0" w:beforeAutospacing="0" w:after="0" w:afterAutospacing="0" w:line="360" w:lineRule="auto"/>
              <w:jc w:val="both"/>
              <w:rPr>
                <w:b w:val="0"/>
                <w:color w:val="auto"/>
                <w:sz w:val="24"/>
                <w:highlight w:val="none"/>
              </w:rPr>
            </w:pPr>
          </w:p>
        </w:tc>
        <w:tc>
          <w:tcPr>
            <w:tcW w:w="3524" w:type="pct"/>
            <w:vAlign w:val="center"/>
          </w:tcPr>
          <w:p w14:paraId="3E2A567D">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77"/>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17847A9E">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42" w:type="pct"/>
            <w:vAlign w:val="center"/>
          </w:tcPr>
          <w:p w14:paraId="6A9A0D52">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24" w:type="pct"/>
            <w:vAlign w:val="center"/>
          </w:tcPr>
          <w:p w14:paraId="3D97A663">
            <w:pPr>
              <w:pStyle w:val="77"/>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610897A6">
            <w:pPr>
              <w:pStyle w:val="77"/>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E336721">
            <w:pPr>
              <w:pStyle w:val="77"/>
              <w:widowControl w:val="0"/>
              <w:spacing w:before="0" w:beforeAutospacing="0" w:after="0" w:afterAutospacing="0" w:line="360" w:lineRule="auto"/>
              <w:jc w:val="both"/>
              <w:rPr>
                <w:rFonts w:hint="eastAsia" w:eastAsia="宋体"/>
                <w:b w:val="0"/>
                <w:bCs w:val="0"/>
                <w:color w:val="auto"/>
                <w:sz w:val="24"/>
                <w:szCs w:val="24"/>
                <w:highlight w:val="none"/>
                <w:lang w:eastAsia="zh-CN"/>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b w:val="0"/>
                <w:color w:val="auto"/>
                <w:sz w:val="24"/>
                <w:highlight w:val="none"/>
                <w:u w:val="none"/>
                <w:lang w:eastAsia="zh-CN"/>
              </w:rPr>
              <w:t>。</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7060E769">
            <w:pPr>
              <w:pStyle w:val="7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42" w:type="pct"/>
            <w:vAlign w:val="center"/>
          </w:tcPr>
          <w:p w14:paraId="0E289BAD">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24" w:type="pct"/>
            <w:vAlign w:val="center"/>
          </w:tcPr>
          <w:p w14:paraId="3C6189A3">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7D8EA391">
            <w:pPr>
              <w:pStyle w:val="7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42" w:type="pct"/>
            <w:vAlign w:val="center"/>
          </w:tcPr>
          <w:p w14:paraId="1FE416F8">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24" w:type="pct"/>
            <w:vAlign w:val="center"/>
          </w:tcPr>
          <w:p w14:paraId="550D0936">
            <w:pPr>
              <w:pStyle w:val="77"/>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7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4B024883">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42" w:type="pct"/>
            <w:vAlign w:val="center"/>
          </w:tcPr>
          <w:p w14:paraId="2288C87E">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24" w:type="pct"/>
          </w:tcPr>
          <w:p w14:paraId="7111A7A9">
            <w:pPr>
              <w:spacing w:line="360" w:lineRule="auto"/>
              <w:rPr>
                <w:bCs/>
                <w:color w:val="auto"/>
                <w:sz w:val="24"/>
                <w:szCs w:val="28"/>
                <w:highlight w:val="none"/>
              </w:rPr>
            </w:pPr>
            <w:r>
              <w:rPr>
                <w:rFonts w:hint="eastAsia"/>
                <w:bCs/>
                <w:color w:val="auto"/>
                <w:sz w:val="24"/>
                <w:szCs w:val="28"/>
                <w:highlight w:val="none"/>
              </w:rPr>
              <w:t>（1）金额：</w:t>
            </w:r>
          </w:p>
          <w:p w14:paraId="6C0CE609">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7EC7D754">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w:t>
            </w:r>
            <w:r>
              <w:rPr>
                <w:bCs/>
                <w:color w:val="auto"/>
                <w:sz w:val="24"/>
                <w:szCs w:val="28"/>
                <w:highlight w:val="none"/>
              </w:rPr>
              <w:t>%</w:t>
            </w:r>
          </w:p>
          <w:p w14:paraId="3177661E">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u w:val="single"/>
                <w:lang w:val="en-US" w:eastAsia="zh-CN"/>
              </w:rPr>
              <w:t>/</w:t>
            </w:r>
            <w:r>
              <w:rPr>
                <w:rFonts w:hint="eastAsia"/>
                <w:bCs/>
                <w:color w:val="auto"/>
                <w:sz w:val="24"/>
                <w:szCs w:val="28"/>
                <w:highlight w:val="none"/>
                <w:u w:val="single"/>
              </w:rPr>
              <w:t xml:space="preserve">     </w:t>
            </w:r>
            <w:r>
              <w:rPr>
                <w:rFonts w:hint="eastAsia"/>
                <w:bCs/>
                <w:color w:val="auto"/>
                <w:sz w:val="24"/>
                <w:szCs w:val="28"/>
                <w:highlight w:val="none"/>
              </w:rPr>
              <w:t>元</w:t>
            </w:r>
          </w:p>
          <w:p w14:paraId="73F3B94F">
            <w:pPr>
              <w:spacing w:line="360" w:lineRule="auto"/>
              <w:rPr>
                <w:bCs/>
                <w:color w:val="auto"/>
                <w:sz w:val="24"/>
                <w:szCs w:val="28"/>
                <w:highlight w:val="none"/>
              </w:rPr>
            </w:pPr>
            <w:r>
              <w:rPr>
                <w:rFonts w:hint="eastAsia"/>
                <w:bCs/>
                <w:color w:val="auto"/>
                <w:sz w:val="24"/>
                <w:szCs w:val="28"/>
                <w:highlight w:val="none"/>
              </w:rPr>
              <w:t>（2）支付方式：</w:t>
            </w:r>
          </w:p>
          <w:p w14:paraId="2FCAB721">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0690B5BD">
            <w:pPr>
              <w:keepNext w:val="0"/>
              <w:keepLines w:val="0"/>
              <w:pageBreakBefore w:val="0"/>
              <w:numPr>
                <w:ilvl w:val="0"/>
                <w:numId w:val="0"/>
              </w:numPr>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收取单位：</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另行通知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kern w:val="0"/>
                <w:sz w:val="24"/>
                <w:szCs w:val="24"/>
                <w:highlight w:val="none"/>
              </w:rPr>
              <w:t xml:space="preserve">              </w:t>
            </w:r>
          </w:p>
          <w:p w14:paraId="04487469">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（4）收取账号：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另行通知</w:t>
            </w:r>
            <w:r>
              <w:rPr>
                <w:rFonts w:hint="eastAsia" w:ascii="宋体" w:hAnsi="宋体" w:eastAsia="宋体" w:cs="宋体"/>
                <w:bCs/>
                <w:color w:val="auto"/>
                <w:sz w:val="24"/>
                <w:szCs w:val="24"/>
                <w:highlight w:val="none"/>
                <w:u w:val="single"/>
              </w:rPr>
              <w:t xml:space="preserve"> </w:t>
            </w:r>
          </w:p>
          <w:p w14:paraId="7F524EB3">
            <w:pPr>
              <w:keepNext w:val="0"/>
              <w:keepLines w:val="0"/>
              <w:pageBreakBefore w:val="0"/>
              <w:suppressLineNumbers w:val="0"/>
              <w:kinsoku/>
              <w:overflowPunct/>
              <w:autoSpaceDE/>
              <w:autoSpaceDN/>
              <w:bidi w:val="0"/>
              <w:spacing w:before="0" w:beforeAutospacing="0" w:after="0" w:afterAutospacing="0" w:line="520" w:lineRule="exact"/>
              <w:ind w:left="0" w:right="0"/>
              <w:textAlignment w:val="auto"/>
              <w:rPr>
                <w:rFonts w:hint="eastAsia" w:ascii="宋体" w:hAnsi="宋体" w:eastAsia="宋体" w:cs="宋体"/>
                <w:color w:val="auto"/>
                <w:sz w:val="24"/>
                <w:szCs w:val="24"/>
                <w:highlight w:val="none"/>
                <w:u w:val="single" w:color="auto"/>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退还时间：</w:t>
            </w:r>
            <w:r>
              <w:rPr>
                <w:rFonts w:hint="eastAsia" w:ascii="宋体" w:hAnsi="宋体" w:eastAsia="宋体" w:cs="宋体"/>
                <w:bCs/>
                <w:color w:val="auto"/>
                <w:sz w:val="24"/>
                <w:szCs w:val="24"/>
                <w:highlight w:val="none"/>
                <w:u w:val="single"/>
                <w:lang w:val="en-US" w:eastAsia="zh-CN"/>
              </w:rPr>
              <w:t xml:space="preserve"> 履约保证金有效期满7日内。</w:t>
            </w:r>
          </w:p>
          <w:p w14:paraId="64C27A0E">
            <w:pPr>
              <w:spacing w:line="360" w:lineRule="auto"/>
              <w:rPr>
                <w:b/>
                <w:bCs/>
                <w:color w:val="auto"/>
                <w:sz w:val="24"/>
                <w:szCs w:val="24"/>
                <w:highlight w:val="none"/>
              </w:rPr>
            </w:pPr>
            <w:r>
              <w:rPr>
                <w:rFonts w:hint="eastAsia"/>
                <w:b/>
                <w:bCs/>
                <w:color w:val="auto"/>
                <w:sz w:val="24"/>
                <w:szCs w:val="24"/>
                <w:highlight w:val="none"/>
              </w:rPr>
              <w:t>注意事项：</w:t>
            </w:r>
          </w:p>
          <w:p w14:paraId="5FF0F573">
            <w:pPr>
              <w:spacing w:line="360" w:lineRule="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（1）以上各类机构出具的以担保函、保证保险承担责任的方式均须满足无条件见索即付条件。</w:t>
            </w:r>
          </w:p>
          <w:p w14:paraId="154C0BB1">
            <w:pPr>
              <w:pStyle w:val="77"/>
              <w:widowControl w:val="0"/>
              <w:spacing w:before="0" w:beforeAutospacing="0" w:after="0" w:afterAutospacing="0" w:line="360" w:lineRule="auto"/>
              <w:jc w:val="both"/>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4AE815A7">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42" w:type="pct"/>
            <w:vAlign w:val="center"/>
          </w:tcPr>
          <w:p w14:paraId="488350AC">
            <w:pPr>
              <w:pStyle w:val="7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24" w:type="pct"/>
            <w:vAlign w:val="center"/>
          </w:tcPr>
          <w:p w14:paraId="6B171853">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cs="宋体"/>
                <w:color w:val="auto"/>
                <w:spacing w:val="14"/>
                <w:sz w:val="24"/>
                <w:szCs w:val="24"/>
                <w:highlight w:val="none"/>
                <w:lang w:val="en-US" w:eastAsia="zh-CN"/>
              </w:rPr>
              <w:t>成交供应商</w:t>
            </w:r>
          </w:p>
          <w:p w14:paraId="7EA5A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Cs/>
                <w:color w:val="auto"/>
                <w:kern w:val="0"/>
                <w:sz w:val="24"/>
                <w:szCs w:val="24"/>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成交供应商</w:t>
            </w:r>
            <w:r>
              <w:rPr>
                <w:rFonts w:hint="eastAsia" w:ascii="宋体" w:hAnsi="宋体" w:eastAsia="宋体" w:cs="宋体"/>
                <w:color w:val="auto"/>
                <w:sz w:val="24"/>
                <w:szCs w:val="24"/>
                <w:highlight w:val="none"/>
                <w:u w:val="single"/>
              </w:rPr>
              <w:t>在获取成交通知书时一次性支付给代理机构</w:t>
            </w:r>
          </w:p>
          <w:p w14:paraId="49EBBD1C">
            <w:pPr>
              <w:pStyle w:val="50"/>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480" w:lineRule="atLeast"/>
              <w:ind w:left="0" w:right="0"/>
              <w:jc w:val="left"/>
              <w:rPr>
                <w:bCs/>
                <w:color w:val="auto"/>
                <w:sz w:val="24"/>
                <w:szCs w:val="28"/>
                <w:highlight w:val="none"/>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color w:val="auto"/>
                <w:kern w:val="0"/>
                <w:sz w:val="24"/>
                <w:szCs w:val="24"/>
                <w:highlight w:val="none"/>
                <w:lang w:val="en-US" w:eastAsia="zh-CN" w:bidi="ar-SA"/>
              </w:rPr>
              <w:t>收费标准：</w:t>
            </w:r>
            <w:r>
              <w:rPr>
                <w:rFonts w:hint="eastAsia" w:cs="@仿宋_GB2312"/>
                <w:b w:val="0"/>
                <w:bCs/>
                <w:color w:val="auto"/>
                <w:kern w:val="0"/>
                <w:sz w:val="24"/>
                <w:szCs w:val="28"/>
                <w:highlight w:val="none"/>
                <w:u w:val="single" w:color="auto"/>
                <w:lang w:val="en-US" w:eastAsia="zh-CN" w:bidi="ar-SA"/>
              </w:rPr>
              <w:t>代理</w:t>
            </w:r>
            <w:r>
              <w:rPr>
                <w:rFonts w:hint="eastAsia" w:ascii="宋体" w:hAnsi="宋体" w:eastAsia="宋体" w:cs="@仿宋_GB2312"/>
                <w:b w:val="0"/>
                <w:bCs/>
                <w:color w:val="auto"/>
                <w:kern w:val="0"/>
                <w:sz w:val="24"/>
                <w:szCs w:val="28"/>
                <w:highlight w:val="none"/>
                <w:u w:val="single" w:color="auto"/>
                <w:lang w:val="en-US" w:eastAsia="zh-CN" w:bidi="ar-SA"/>
              </w:rPr>
              <w:t>费</w:t>
            </w:r>
            <w:r>
              <w:rPr>
                <w:rFonts w:hint="eastAsia" w:cs="@仿宋_GB2312"/>
                <w:b w:val="0"/>
                <w:bCs/>
                <w:color w:val="auto"/>
                <w:kern w:val="0"/>
                <w:sz w:val="24"/>
                <w:szCs w:val="28"/>
                <w:highlight w:val="none"/>
                <w:u w:val="single" w:color="auto"/>
                <w:lang w:val="en-US" w:eastAsia="zh-CN" w:bidi="ar-SA"/>
              </w:rPr>
              <w:t>4877</w:t>
            </w:r>
            <w:r>
              <w:rPr>
                <w:rFonts w:hint="eastAsia" w:ascii="宋体" w:hAnsi="宋体" w:eastAsia="宋体" w:cs="@仿宋_GB2312"/>
                <w:b w:val="0"/>
                <w:bCs/>
                <w:color w:val="auto"/>
                <w:kern w:val="0"/>
                <w:sz w:val="24"/>
                <w:szCs w:val="28"/>
                <w:highlight w:val="none"/>
                <w:u w:val="single" w:color="auto"/>
                <w:lang w:val="en-US" w:eastAsia="zh-CN" w:bidi="ar-SA"/>
              </w:rPr>
              <w:t>元，参考《滁州市公共资源交易代理机构及从业人员管理暂行办法》滁公管〔2022〕5号标准，以最高限价计算。</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0F65D464">
            <w:pPr>
              <w:pStyle w:val="78"/>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42" w:type="pct"/>
            <w:vAlign w:val="center"/>
          </w:tcPr>
          <w:p w14:paraId="28F413C0">
            <w:pPr>
              <w:pStyle w:val="7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24" w:type="pct"/>
            <w:vAlign w:val="center"/>
          </w:tcPr>
          <w:p w14:paraId="45FF6AF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7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621548F1">
            <w:pPr>
              <w:pStyle w:val="7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42" w:type="pct"/>
            <w:vAlign w:val="center"/>
          </w:tcPr>
          <w:p w14:paraId="44E5FD33">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24" w:type="pct"/>
            <w:vAlign w:val="center"/>
          </w:tcPr>
          <w:p w14:paraId="7BD76FE2">
            <w:pPr>
              <w:pStyle w:val="77"/>
              <w:keepNext w:val="0"/>
              <w:keepLines w:val="0"/>
              <w:widowControl w:val="0"/>
              <w:suppressLineNumbers w:val="0"/>
              <w:spacing w:before="0" w:beforeAutospacing="0" w:after="0" w:afterAutospacing="0" w:line="360" w:lineRule="auto"/>
              <w:ind w:left="0" w:right="0"/>
              <w:jc w:val="both"/>
              <w:rPr>
                <w:rFonts w:hint="eastAsia" w:ascii="宋体" w:hAnsi="宋体" w:eastAsia="宋体"/>
                <w:b/>
                <w:bCs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bCs w:val="0"/>
                <w:color w:val="auto"/>
                <w:sz w:val="24"/>
                <w:highlight w:val="none"/>
                <w:u w:val="single"/>
                <w:lang w:val="en-US" w:eastAsia="zh-CN"/>
              </w:rPr>
              <w:t>如供应商对磋商文件有质疑，依据中华人民共和国财政部令第94号《政府采购质疑和投诉办法》规定提出质疑</w:t>
            </w:r>
            <w:r>
              <w:rPr>
                <w:rFonts w:hint="eastAsia"/>
                <w:b/>
                <w:bCs w:val="0"/>
                <w:color w:val="auto"/>
                <w:sz w:val="24"/>
                <w:highlight w:val="none"/>
                <w:u w:val="single"/>
                <w:lang w:val="en-US" w:eastAsia="zh-CN"/>
              </w:rPr>
              <w:t>；</w:t>
            </w:r>
          </w:p>
          <w:p w14:paraId="38331EF4">
            <w:pPr>
              <w:pStyle w:val="77"/>
              <w:keepNext w:val="0"/>
              <w:keepLines w:val="0"/>
              <w:widowControl w:val="0"/>
              <w:suppressLineNumbers w:val="0"/>
              <w:spacing w:before="0" w:beforeAutospacing="0" w:after="0" w:afterAutospacing="0" w:line="360" w:lineRule="auto"/>
              <w:ind w:left="0" w:right="0"/>
              <w:jc w:val="both"/>
              <w:rPr>
                <w:rFonts w:hint="eastAsia" w:ascii="宋体" w:hAnsi="宋体" w:eastAsia="宋体"/>
                <w:b/>
                <w:bCs w:val="0"/>
                <w:color w:val="auto"/>
                <w:sz w:val="24"/>
                <w:highlight w:val="none"/>
                <w:u w:val="single"/>
                <w:lang w:eastAsia="zh-CN"/>
              </w:rPr>
            </w:pPr>
            <w:r>
              <w:rPr>
                <w:rFonts w:hint="eastAsia" w:ascii="宋体" w:hAnsi="宋体" w:eastAsia="宋体"/>
                <w:b/>
                <w:bCs w:val="0"/>
                <w:color w:val="auto"/>
                <w:sz w:val="24"/>
                <w:highlight w:val="none"/>
                <w:u w:val="single"/>
                <w:lang w:val="en-US" w:eastAsia="zh-CN"/>
              </w:rPr>
              <w:t>供应商</w:t>
            </w:r>
            <w:r>
              <w:rPr>
                <w:rFonts w:hint="eastAsia" w:ascii="宋体" w:hAnsi="宋体" w:eastAsia="宋体"/>
                <w:b/>
                <w:bCs w:val="0"/>
                <w:color w:val="auto"/>
                <w:sz w:val="24"/>
                <w:highlight w:val="none"/>
                <w:u w:val="single"/>
              </w:rPr>
              <w:t>可以通过书面形式提出，也可以通过线上提出质疑</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通过线上向滁州市公共资源交易中心网电子交易系统提出质疑(具体操作步骤和程序请参见服务指南&gt;交易须知&gt;在线异议、质疑和投诉操作手册)</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。一份质疑函只能针对一个项目提出质疑，且针对同一采购程序环节的质疑应当</w:t>
            </w:r>
            <w:r>
              <w:rPr>
                <w:rFonts w:hint="eastAsia" w:ascii="宋体" w:hAnsi="宋体" w:eastAsia="宋体"/>
                <w:b/>
                <w:bCs w:val="0"/>
                <w:color w:val="auto"/>
                <w:sz w:val="24"/>
                <w:highlight w:val="none"/>
                <w:u w:val="single"/>
                <w:lang w:val="en-US" w:eastAsia="zh-CN"/>
              </w:rPr>
              <w:t>一</w:t>
            </w:r>
            <w:r>
              <w:rPr>
                <w:rFonts w:hint="eastAsia" w:ascii="宋体" w:hAnsi="宋体" w:eastAsia="宋体"/>
                <w:b/>
                <w:bCs w:val="0"/>
                <w:color w:val="auto"/>
                <w:sz w:val="24"/>
                <w:highlight w:val="none"/>
                <w:u w:val="single"/>
              </w:rPr>
              <w:t>次性提出</w:t>
            </w:r>
            <w:r>
              <w:rPr>
                <w:rFonts w:hint="eastAsia"/>
                <w:b/>
                <w:bCs w:val="0"/>
                <w:color w:val="auto"/>
                <w:sz w:val="24"/>
                <w:highlight w:val="none"/>
                <w:u w:val="single"/>
                <w:lang w:eastAsia="zh-CN"/>
              </w:rPr>
              <w:t>。</w:t>
            </w:r>
          </w:p>
          <w:p w14:paraId="37FC2A55">
            <w:pPr>
              <w:pStyle w:val="77"/>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滁州市重点工程建设管理处</w:t>
            </w:r>
            <w:r>
              <w:rPr>
                <w:rFonts w:hint="eastAsia" w:ascii="宋体" w:hAnsi="宋体" w:eastAsia="宋体"/>
                <w:bCs/>
                <w:color w:val="auto"/>
                <w:kern w:val="0"/>
                <w:sz w:val="24"/>
                <w:szCs w:val="28"/>
                <w:highlight w:val="none"/>
                <w:u w:val="single"/>
                <w:lang w:val="en-US" w:eastAsia="zh-CN"/>
              </w:rPr>
              <w:t>或滁州市城投工程咨询管理有限公司</w:t>
            </w:r>
          </w:p>
          <w:p w14:paraId="2F66C476">
            <w:pPr>
              <w:pStyle w:val="77"/>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lang w:val="en-US" w:eastAsia="zh-CN"/>
              </w:rPr>
            </w:pPr>
            <w:r>
              <w:rPr>
                <w:rFonts w:hint="default" w:ascii="宋体" w:hAnsi="宋体" w:eastAsia="宋体"/>
                <w:b w:val="0"/>
                <w:color w:val="auto"/>
                <w:sz w:val="24"/>
                <w:highlight w:val="none"/>
              </w:rPr>
              <w:t>联系电话：</w:t>
            </w:r>
            <w:r>
              <w:rPr>
                <w:rFonts w:hint="eastAsia"/>
                <w:bCs/>
                <w:color w:val="auto"/>
                <w:kern w:val="0"/>
                <w:sz w:val="24"/>
                <w:szCs w:val="28"/>
                <w:highlight w:val="none"/>
                <w:u w:val="single"/>
                <w:lang w:eastAsia="zh-CN"/>
              </w:rPr>
              <w:t>0550-2599817、0550-3519519、18955055067</w:t>
            </w:r>
          </w:p>
          <w:p w14:paraId="68ED590E">
            <w:pPr>
              <w:pStyle w:val="7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滁州市琅琊西路81号建设大厦4</w:t>
            </w:r>
            <w:r>
              <w:rPr>
                <w:rFonts w:hint="eastAsia" w:ascii="宋体" w:hAnsi="宋体" w:eastAsia="宋体"/>
                <w:bCs/>
                <w:color w:val="auto"/>
                <w:kern w:val="0"/>
                <w:sz w:val="24"/>
                <w:szCs w:val="28"/>
                <w:highlight w:val="none"/>
                <w:u w:val="single"/>
                <w:lang w:val="en-US" w:eastAsia="zh-CN"/>
              </w:rPr>
              <w:t>楼、</w:t>
            </w:r>
            <w:r>
              <w:rPr>
                <w:rFonts w:hint="eastAsia"/>
                <w:bCs/>
                <w:color w:val="auto"/>
                <w:kern w:val="0"/>
                <w:sz w:val="24"/>
                <w:szCs w:val="28"/>
                <w:highlight w:val="none"/>
                <w:u w:val="single"/>
                <w:lang w:eastAsia="zh-CN"/>
              </w:rPr>
              <w:t>滁州市龙蟠大道109号房产商务大厦6楼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2151567F">
            <w:pPr>
              <w:pStyle w:val="7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42" w:type="pct"/>
            <w:vAlign w:val="center"/>
          </w:tcPr>
          <w:p w14:paraId="7397BED6">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24" w:type="pct"/>
            <w:vAlign w:val="center"/>
          </w:tcPr>
          <w:p w14:paraId="283B4135">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1.特别提示：</w:t>
            </w:r>
          </w:p>
          <w:p w14:paraId="7D67FADE">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（1）供应商应填写投标信息并下载采购文件，否则无法上传响应文件。</w:t>
            </w:r>
          </w:p>
          <w:p w14:paraId="6A5F4774">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注：供应商如为联合体的，牵头人必须完善供应商信息，并在上传响应文件环节添加联合体参与信息。</w:t>
            </w:r>
          </w:p>
          <w:p w14:paraId="6048D496">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2）本项目采用电子招标投标，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磋商小组否决其磋商资格，责任自负。如有技术问题请联系0550-3801701，0512-58188516。</w:t>
            </w:r>
          </w:p>
          <w:p w14:paraId="79FF3F87">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（3）如果过程中出现采购文件更改，应以最后发布的招标答疑澄清文件中的模板制作本项目最新响应文件。</w:t>
            </w:r>
          </w:p>
          <w:p w14:paraId="7877FA3C">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 xml:space="preserve">（4）供应商应当用本单位CA数字证书制作响应文件，制作成功后进行响应文件上传。联合体参加磋商的，磋商文件下载、响应文件编制、电子签章、网上递交标书、解密等工作均由其牵头人负责办理，其他联合体成员方按磋商文件要求提供相关材料即可。 </w:t>
            </w:r>
          </w:p>
          <w:p w14:paraId="3A9B481C">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5DB23F97">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（6）请供应商注意加密响应文件CA数字证书的有效期，不在有效期的CA数字证书无法解密响应文件。</w:t>
            </w:r>
          </w:p>
          <w:p w14:paraId="7F61C257">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（7）供应商投标MAC地址一致，由磋商小组否决其磋商资格。</w:t>
            </w:r>
          </w:p>
          <w:p w14:paraId="298AD91D">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（8）供应商单方面出现其他供应商材料的，由磋商小组否决其磋商资格。</w:t>
            </w:r>
          </w:p>
          <w:p w14:paraId="629C7D5B">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9）评标时查询响应文件制作机器码、文件创建标识码及造价软件加密锁号。若存在响应文件制作机器码或创建标识码或造价软件加密锁号信息与其他供应商雷同的，由磋商小组否决其磋商资格，保证金不予退还，依法依规予以处理。</w:t>
            </w:r>
          </w:p>
          <w:p w14:paraId="6BA9BA6A">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（10）供应商联系人或联系电话相同的，由磋商小组否决其响应资格，并报告监管部门作不良行为处理和进一步调查。</w:t>
            </w:r>
          </w:p>
          <w:p w14:paraId="145E713C">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（11）供应商以联合体名义参与磋商的，其质疑投诉应当由联合体全体成员共同提出。联合体成员单独进行质疑投诉的，应当书面征得联合体其他成员同意，联合体成员之间投诉的除外。</w:t>
            </w:r>
          </w:p>
          <w:p w14:paraId="0124F256">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12）电子加密响应文件上传到系统后，需要供应商和采购代理公司到截止时间后共同解锁，不存在商务报价等投标信息通过系统泄密的风险；截止时间前，已上传的响应文件也可以撤回修改。集中到开标截止时间前上传电子加密响应文件，可能出现由于投标企业制作电子响应文件不熟练、网络拥堵等不可预知的情况而且无法及时解决，丧失投标机会，请各投标企业提前制作、上传电子加密响应文件，否则由于无法及时上传电子加密响应文件而无效响应的情况，责任自负！</w:t>
            </w:r>
          </w:p>
          <w:p w14:paraId="4DF6057B">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2.评审过程中的澄清、说明或补正：</w:t>
            </w:r>
          </w:p>
          <w:p w14:paraId="2AAF3B56">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（1）磋商小组通过网上招投标系统将需要澄清、说明或补正的内容以询标函的形式发送给供应商，供应商应安排专人登录网上招投标系统并保持在线状态，以便及时接收磋商小组可能发出的询标函。</w:t>
            </w:r>
          </w:p>
          <w:p w14:paraId="7404B555">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p w14:paraId="393ACA80">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3.同义词语：</w:t>
            </w:r>
          </w:p>
          <w:p w14:paraId="4ECE2FFC">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磋商文件第六章  响应文件格式、附件1“关于联合惩戒失信行为 加强信用查询管理的通知”等章节中 “招标人”、“投标人”，等同于“采购人”、“供应商”。</w:t>
            </w:r>
          </w:p>
          <w:p w14:paraId="0933E01E">
            <w:pPr>
              <w:pStyle w:val="77"/>
              <w:widowControl w:val="0"/>
              <w:spacing w:before="0" w:beforeAutospacing="0" w:after="0" w:afterAutospacing="0" w:line="360" w:lineRule="auto"/>
              <w:jc w:val="both"/>
              <w:rPr>
                <w:rFonts w:hint="eastAsia"/>
                <w:b w:val="0"/>
                <w:color w:val="auto"/>
                <w:sz w:val="24"/>
                <w:highlight w:val="none"/>
                <w:lang w:val="en-US" w:eastAsia="zh-CN"/>
              </w:rPr>
            </w:pPr>
            <w:r>
              <w:rPr>
                <w:rFonts w:hint="eastAsia"/>
                <w:b w:val="0"/>
                <w:color w:val="auto"/>
                <w:sz w:val="24"/>
                <w:highlight w:val="none"/>
                <w:lang w:val="en-US" w:eastAsia="zh-CN"/>
              </w:rPr>
              <w:t>4.落实政府采购支持节能产品、环境标志产品政策。</w:t>
            </w:r>
          </w:p>
          <w:p w14:paraId="3E51E8ED">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val="en-US" w:eastAsia="zh-CN"/>
              </w:rPr>
              <w:t>5.系统中提供的表格与采购文件中不一致时，以采购文件中提供的表格格式为准。</w:t>
            </w: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313A336F">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42" w:type="pct"/>
            <w:vAlign w:val="center"/>
          </w:tcPr>
          <w:p w14:paraId="3AFFEAEB">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24" w:type="pct"/>
            <w:vAlign w:val="center"/>
          </w:tcPr>
          <w:p w14:paraId="232E9704">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4BB55F86">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42" w:type="pct"/>
            <w:vAlign w:val="center"/>
          </w:tcPr>
          <w:p w14:paraId="396AD061">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24" w:type="pct"/>
            <w:vAlign w:val="center"/>
          </w:tcPr>
          <w:p w14:paraId="7B83370A">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2BAB9C1B">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38D344F3">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42" w:type="pct"/>
            <w:vAlign w:val="center"/>
          </w:tcPr>
          <w:p w14:paraId="4DE0687A">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24" w:type="pct"/>
            <w:vAlign w:val="center"/>
          </w:tcPr>
          <w:p w14:paraId="2EA85FC8">
            <w:pPr>
              <w:pStyle w:val="7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计划</w:t>
            </w:r>
            <w:r>
              <w:rPr>
                <w:rFonts w:ascii="宋体" w:hAnsi="宋体" w:eastAsia="宋体"/>
                <w:b w:val="0"/>
                <w:color w:val="auto"/>
                <w:sz w:val="24"/>
                <w:highlight w:val="none"/>
              </w:rPr>
              <w:t>工期：</w:t>
            </w:r>
            <w:r>
              <w:rPr>
                <w:rFonts w:hint="eastAsia" w:ascii="宋体" w:hAnsi="宋体" w:eastAsia="宋体"/>
                <w:b w:val="0"/>
                <w:color w:val="auto"/>
                <w:sz w:val="24"/>
                <w:highlight w:val="none"/>
              </w:rPr>
              <w:t>具备施工条件后60个日历天内完成并验收合格</w:t>
            </w:r>
          </w:p>
          <w:p w14:paraId="1102753E">
            <w:pPr>
              <w:pStyle w:val="77"/>
              <w:widowControl w:val="0"/>
              <w:spacing w:before="0" w:beforeAutospacing="0" w:after="0" w:afterAutospacing="0" w:line="360" w:lineRule="auto"/>
              <w:jc w:val="both"/>
              <w:rPr>
                <w:rFonts w:hint="eastAsia"/>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20" w:name="EB2a2e1a22d449405a860670c095486ab8"/>
            <w:r>
              <w:rPr>
                <w:rFonts w:hint="eastAsia"/>
                <w:b w:val="0"/>
                <w:color w:val="auto"/>
                <w:sz w:val="24"/>
                <w:highlight w:val="none"/>
              </w:rPr>
              <w:t>具体开工时间以开工令为准。</w:t>
            </w:r>
            <w:bookmarkEnd w:id="20"/>
          </w:p>
          <w:p w14:paraId="1EC2F4A0">
            <w:pPr>
              <w:pStyle w:val="7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供应商自报的承诺工期为考核标准。因供应商原因造成的工期延误，每推迟一天，按合同价款（扣除暂估价和暂列金）万分之二处以违约金。</w:t>
            </w:r>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6D3E6637">
            <w:pPr>
              <w:pStyle w:val="7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42" w:type="pct"/>
            <w:vAlign w:val="center"/>
          </w:tcPr>
          <w:p w14:paraId="2C25BF6E">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24" w:type="pct"/>
            <w:vAlign w:val="center"/>
          </w:tcPr>
          <w:p w14:paraId="0F84E49E">
            <w:pPr>
              <w:pStyle w:val="104"/>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0B95E801">
            <w:pPr>
              <w:pStyle w:val="7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42" w:type="pct"/>
            <w:vAlign w:val="center"/>
          </w:tcPr>
          <w:p w14:paraId="6FFC3E9C">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24" w:type="pct"/>
            <w:vAlign w:val="center"/>
          </w:tcPr>
          <w:p w14:paraId="28C69C41">
            <w:pPr>
              <w:pStyle w:val="77"/>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17746626">
            <w:pPr>
              <w:pStyle w:val="7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42" w:type="pct"/>
            <w:vAlign w:val="center"/>
          </w:tcPr>
          <w:p w14:paraId="3364FFF6">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24"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77"/>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37BC5DAE">
            <w:pPr>
              <w:pStyle w:val="7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42" w:type="pct"/>
            <w:vAlign w:val="center"/>
          </w:tcPr>
          <w:p w14:paraId="3B4C9F66">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24" w:type="pct"/>
            <w:vAlign w:val="center"/>
          </w:tcPr>
          <w:p w14:paraId="45B30E58">
            <w:pPr>
              <w:pStyle w:val="7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041BFB29">
            <w:pPr>
              <w:pStyle w:val="7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42" w:type="pct"/>
            <w:vAlign w:val="center"/>
          </w:tcPr>
          <w:p w14:paraId="5E6C73C3">
            <w:pPr>
              <w:pStyle w:val="7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24"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77"/>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43805B5C">
            <w:pPr>
              <w:pStyle w:val="7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42" w:type="pct"/>
            <w:vAlign w:val="center"/>
          </w:tcPr>
          <w:p w14:paraId="1506C3DA">
            <w:pPr>
              <w:pStyle w:val="7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24" w:type="pct"/>
            <w:vAlign w:val="center"/>
          </w:tcPr>
          <w:p w14:paraId="2C847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2"/>
                <w:sz w:val="24"/>
                <w:szCs w:val="24"/>
                <w:highlight w:val="none"/>
                <w:u w:val="single"/>
                <w:lang w:val="en-US" w:eastAsia="zh-CN"/>
              </w:rPr>
              <w:t>采购人</w:t>
            </w:r>
          </w:p>
          <w:p w14:paraId="06609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b w:val="0"/>
                <w:bCs/>
                <w:color w:val="auto"/>
                <w:kern w:val="0"/>
                <w:sz w:val="24"/>
                <w:szCs w:val="24"/>
                <w:highlight w:val="none"/>
                <w:u w:val="single"/>
                <w:lang w:val="en-US" w:eastAsia="zh-CN" w:bidi="ar-SA"/>
              </w:rPr>
              <w:t>双方约定为准</w:t>
            </w:r>
          </w:p>
          <w:p w14:paraId="038F21A9">
            <w:pPr>
              <w:pStyle w:val="77"/>
              <w:widowControl w:val="0"/>
              <w:spacing w:before="0" w:beforeAutospacing="0" w:after="0" w:afterAutospacing="0" w:line="360" w:lineRule="auto"/>
              <w:jc w:val="both"/>
              <w:rPr>
                <w:b w:val="0"/>
                <w:color w:val="auto"/>
                <w:sz w:val="24"/>
                <w:highlight w:val="none"/>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color w:val="auto"/>
                <w:kern w:val="0"/>
                <w:sz w:val="24"/>
                <w:szCs w:val="24"/>
                <w:highlight w:val="none"/>
                <w:lang w:val="en-US" w:eastAsia="zh-CN" w:bidi="ar-SA"/>
              </w:rPr>
              <w:t>收费标准：</w:t>
            </w:r>
            <w:r>
              <w:rPr>
                <w:rFonts w:hint="eastAsia" w:ascii="宋体" w:hAnsi="宋体" w:eastAsia="宋体" w:cs="宋体"/>
                <w:b w:val="0"/>
                <w:bCs/>
                <w:color w:val="auto"/>
                <w:kern w:val="0"/>
                <w:sz w:val="24"/>
                <w:szCs w:val="24"/>
                <w:highlight w:val="none"/>
                <w:u w:val="single"/>
                <w:lang w:val="en-US" w:eastAsia="zh-CN" w:bidi="ar-SA"/>
              </w:rPr>
              <w:t>双方约定为准</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3E6B2BA6">
            <w:pPr>
              <w:pStyle w:val="7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42" w:type="pct"/>
            <w:vAlign w:val="center"/>
          </w:tcPr>
          <w:p w14:paraId="096AB9F9">
            <w:pPr>
              <w:pStyle w:val="7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24"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7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7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p w14:paraId="75FB31B5">
            <w:pPr>
              <w:pStyle w:val="7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4、部分可提供线下政采贷的金融机构</w:t>
            </w:r>
          </w:p>
          <w:p w14:paraId="248EB71E">
            <w:pPr>
              <w:pStyle w:val="7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市本级</w:t>
            </w:r>
          </w:p>
          <w:p w14:paraId="77D1E7C2">
            <w:pPr>
              <w:pStyle w:val="7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金融机构名称：兴业银行滁州分行</w:t>
            </w:r>
            <w:bookmarkStart w:id="722" w:name="_GoBack"/>
            <w:bookmarkEnd w:id="722"/>
          </w:p>
          <w:p w14:paraId="702F0636">
            <w:pPr>
              <w:pStyle w:val="7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安徽省滁州市琅琊区丰乐大道1090号</w:t>
            </w:r>
          </w:p>
          <w:p w14:paraId="5195E028">
            <w:pPr>
              <w:pStyle w:val="7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俞冉：18256950224</w:t>
            </w:r>
          </w:p>
        </w:tc>
      </w:tr>
      <w:tr w14:paraId="05B9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3" w:type="pct"/>
            <w:vAlign w:val="center"/>
          </w:tcPr>
          <w:p w14:paraId="1A4B9FFC">
            <w:pPr>
              <w:pStyle w:val="7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30.11</w:t>
            </w:r>
          </w:p>
        </w:tc>
        <w:tc>
          <w:tcPr>
            <w:tcW w:w="942" w:type="pct"/>
            <w:vAlign w:val="center"/>
          </w:tcPr>
          <w:p w14:paraId="40D6488D">
            <w:pPr>
              <w:pStyle w:val="77"/>
              <w:keepNext w:val="0"/>
              <w:keepLines w:val="0"/>
              <w:widowControl w:val="0"/>
              <w:suppressLineNumbers w:val="0"/>
              <w:spacing w:before="0" w:beforeAutospacing="0" w:after="0" w:afterAutospacing="0" w:line="360" w:lineRule="auto"/>
              <w:ind w:left="0" w:leftChars="0" w:right="0" w:rightChars="0"/>
              <w:jc w:val="center"/>
              <w:rPr>
                <w:rFonts w:hint="eastAsia"/>
                <w:b w:val="0"/>
                <w:color w:val="auto"/>
                <w:sz w:val="24"/>
                <w:highlight w:val="none"/>
              </w:rPr>
            </w:pPr>
            <w:r>
              <w:rPr>
                <w:rFonts w:hint="eastAsia"/>
                <w:b w:val="0"/>
                <w:color w:val="auto"/>
                <w:sz w:val="24"/>
                <w:szCs w:val="24"/>
                <w:highlight w:val="none"/>
              </w:rPr>
              <w:t>现场管理</w:t>
            </w:r>
          </w:p>
        </w:tc>
        <w:tc>
          <w:tcPr>
            <w:tcW w:w="3524" w:type="pct"/>
            <w:vAlign w:val="center"/>
          </w:tcPr>
          <w:p w14:paraId="6E4944B9">
            <w:pPr>
              <w:pStyle w:val="77"/>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1、施工过程中，项目管理及施工人员以外的无关人员一律不得留宿施工现场，项目负责人负责管理及清理出场；</w:t>
            </w:r>
          </w:p>
          <w:p w14:paraId="00EA8DA9">
            <w:pPr>
              <w:pStyle w:val="77"/>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2、施工过程中，严格执行国家及地方针对环保、禁噪、防尘、防护等措施，必须满足当地行政主管部门相关规定及要求。</w:t>
            </w:r>
          </w:p>
          <w:p w14:paraId="421B1DA4">
            <w:pPr>
              <w:pStyle w:val="77"/>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3、施工场地及周边场地、道路、绿化、管线、围墙等，若被施工方损坏，施工方必须无偿按照原貌恢复。</w:t>
            </w:r>
          </w:p>
          <w:p w14:paraId="5615A589">
            <w:pPr>
              <w:pStyle w:val="77"/>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4、供应商自行勘察施工现场情况，因供应商未踏勘现场而造成的损失由供应商承担。</w:t>
            </w:r>
          </w:p>
          <w:p w14:paraId="197A2F84">
            <w:pPr>
              <w:pStyle w:val="77"/>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5、在工程建设过程中，出现质量、安全、进度、文明施工、扬尘污染、人员不在岗履职等违约行为的，发包人将给予违约处罚；如承包人拒不缴纳违约金的，发包人有权从履约保证金中直接扣除。</w:t>
            </w:r>
          </w:p>
          <w:p w14:paraId="724D262B">
            <w:pPr>
              <w:pStyle w:val="77"/>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6、项目经理部需在醒目位置公示经监理、业主审定批准的月进度计划表，否则，当月不支付当月工程进度款。</w:t>
            </w:r>
          </w:p>
          <w:p w14:paraId="3B68A967">
            <w:pPr>
              <w:pStyle w:val="77"/>
              <w:keepNext w:val="0"/>
              <w:keepLines w:val="0"/>
              <w:widowControl w:val="0"/>
              <w:suppressLineNumbers w:val="0"/>
              <w:spacing w:before="0" w:beforeAutospacing="0" w:after="0" w:afterAutospacing="0" w:line="360" w:lineRule="auto"/>
              <w:ind w:left="0" w:right="0"/>
              <w:jc w:val="both"/>
              <w:rPr>
                <w:rFonts w:hint="eastAsia" w:cs="Times New Roman"/>
                <w:b w:val="0"/>
                <w:bCs/>
                <w:color w:val="auto"/>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bidi="ar-SA"/>
              </w:rPr>
              <w:t>7、施工现场和取、弃土场内的施工便道、机械整平以及协调渣土、环保等相关部门办理相关手续、缴纳保证金及费用等由供应商自行承担，此部分费用包含在响应报价中。施工渣土、淤泥、建筑垃圾等弃置点需经相关部门批准，并报发包人备案后，方可施工，严禁违规倾倒堆存。否则，责任自负。</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18784"/>
      <w:bookmarkStart w:id="22"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1"/>
      <w:bookmarkEnd w:id="22"/>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color w:val="auto"/>
          <w:sz w:val="24"/>
          <w:highlight w:val="none"/>
        </w:rPr>
        <w:t>联合体参加磋商的，</w:t>
      </w:r>
      <w:r>
        <w:rPr>
          <w:rFonts w:hint="eastAsia"/>
          <w:b w:val="0"/>
          <w:color w:val="auto"/>
          <w:sz w:val="24"/>
          <w:highlight w:val="none"/>
        </w:rPr>
        <w:t>磋商文件获取</w:t>
      </w:r>
      <w:r>
        <w:rPr>
          <w:b w:val="0"/>
          <w:color w:val="auto"/>
          <w:sz w:val="24"/>
          <w:highlight w:val="none"/>
        </w:rPr>
        <w:t>手续由联合体</w:t>
      </w:r>
      <w:r>
        <w:rPr>
          <w:rFonts w:hint="eastAsia"/>
          <w:b w:val="0"/>
          <w:color w:val="auto"/>
          <w:sz w:val="24"/>
          <w:highlight w:val="none"/>
        </w:rPr>
        <w:t>中</w:t>
      </w:r>
      <w:r>
        <w:rPr>
          <w:b w:val="0"/>
          <w:color w:val="auto"/>
          <w:sz w:val="24"/>
          <w:highlight w:val="none"/>
        </w:rPr>
        <w:t>任一</w:t>
      </w:r>
      <w:r>
        <w:rPr>
          <w:rFonts w:hint="eastAsia"/>
          <w:b w:val="0"/>
          <w:color w:val="auto"/>
          <w:sz w:val="24"/>
          <w:highlight w:val="none"/>
        </w:rPr>
        <w:t>成员单位</w:t>
      </w:r>
      <w:r>
        <w:rPr>
          <w:b w:val="0"/>
          <w:color w:val="auto"/>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3" w:name="_Hlk16458572"/>
      <w:r>
        <w:rPr>
          <w:rFonts w:hint="eastAsia"/>
          <w:color w:val="auto"/>
          <w:sz w:val="24"/>
          <w:szCs w:val="18"/>
          <w:highlight w:val="none"/>
        </w:rPr>
        <w:t>安徽省政府采购网</w:t>
      </w:r>
      <w:bookmarkEnd w:id="23"/>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rPr>
        <w:t>。</w:t>
      </w:r>
      <w:bookmarkEnd w:id="24"/>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5A043B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.1响应文件的提交</w:t>
      </w:r>
    </w:p>
    <w:p w14:paraId="21556D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滁州市公共资源交易中心网，利用用户名或CA锁登录下载磋商文件(.czzf格式)后，在下载“响应文件制作工具”安装后，在线制作响应文件，制作好的响应文件格式有2种:第一种.cztf格式加密响应文件；第二种.ncztf格式是非加密响应文件。请供应商将第一种响应文件通过系统“上传响应文件”上传到系统中。</w:t>
      </w:r>
    </w:p>
    <w:p w14:paraId="08F68BE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（2）如果一个项目有多个标段，则需按标段下载对应标段磋商文件分别生成对应的响应文件，通过系统“上传响应文件”按标段分别上传到系统中。</w:t>
      </w:r>
    </w:p>
    <w:p w14:paraId="4841318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（3）请供应商通过系统下载“响应文件制作工具”制作响应文件，并利用CA锁进行上传响应文件，上传已加密的响应文件，务必通过此方式上传响应文件。</w:t>
      </w:r>
    </w:p>
    <w:p w14:paraId="0F1874B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（4）供应商在响应文件编制、签章、上传过程中如有任何操作的疑问请及时联系技术支持，电话：0550-3801701。</w:t>
      </w:r>
    </w:p>
    <w:p w14:paraId="5BDAAE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如果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 xml:space="preserve">14.3.4 </w:t>
      </w:r>
      <w:r>
        <w:rPr>
          <w:rFonts w:hint="eastAsia" w:asciiTheme="minorEastAsia" w:hAnsiTheme="minorEastAsia" w:eastAsiaTheme="minorEastAsia"/>
          <w:b/>
          <w:bCs/>
          <w:color w:val="auto"/>
          <w:sz w:val="24"/>
          <w:highlight w:val="none"/>
          <w:lang w:val="en-US" w:eastAsia="zh-CN"/>
        </w:rPr>
        <w:t>异常低价响应审查。</w:t>
      </w: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rFonts w:hint="eastAsia"/>
          <w:b/>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E9017B3">
      <w:pPr>
        <w:spacing w:line="360" w:lineRule="auto"/>
        <w:ind w:firstLine="437"/>
        <w:outlineLvl w:val="2"/>
        <w:rPr>
          <w:rFonts w:hint="eastAsia"/>
          <w:b/>
          <w:color w:val="auto"/>
          <w:sz w:val="24"/>
          <w:highlight w:val="none"/>
        </w:rPr>
      </w:pPr>
      <w:r>
        <w:rPr>
          <w:rFonts w:hint="eastAsia" w:ascii="宋体" w:hAnsi="宋体" w:eastAsia="宋体"/>
          <w:b/>
          <w:color w:val="auto"/>
          <w:sz w:val="24"/>
          <w:highlight w:val="none"/>
        </w:rPr>
        <w:t>本项目采用远程开标，具体操作方法详见服务指南&gt;交易须知&gt;开标大厅远程解密、质疑(异议)及回复以及评标过程中询标流程操作手册。</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hint="eastAsia" w:ascii="宋体" w:hAnsi="宋体" w:eastAsia="宋体" w:cs="宋体"/>
          <w:color w:val="auto"/>
          <w:sz w:val="24"/>
          <w:highlight w:val="none"/>
          <w:lang w:eastAsia="zh-CN"/>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本项目约定为两次报价</w:t>
      </w:r>
      <w:r>
        <w:rPr>
          <w:rFonts w:hint="eastAsia" w:ascii="宋体" w:hAnsi="宋体" w:eastAsia="宋体" w:cs="宋体"/>
          <w:color w:val="auto"/>
          <w:sz w:val="24"/>
          <w:highlight w:val="none"/>
          <w:lang w:eastAsia="zh-CN"/>
        </w:rPr>
        <w:t>）</w:t>
      </w:r>
    </w:p>
    <w:p w14:paraId="26F7F99B">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eastAsia="宋体" w:cs="宋体"/>
          <w:color w:val="auto"/>
          <w:sz w:val="24"/>
          <w:highlight w:val="none"/>
          <w:lang w:eastAsia="zh-CN"/>
        </w:rPr>
      </w:pPr>
      <w:r>
        <w:rPr>
          <w:rFonts w:hint="eastAsia" w:ascii="宋体" w:hAnsi="宋体" w:eastAsia="宋体" w:cs="Times New Roman"/>
          <w:b/>
          <w:color w:val="auto"/>
          <w:kern w:val="0"/>
          <w:sz w:val="24"/>
          <w:szCs w:val="20"/>
          <w:highlight w:val="none"/>
          <w:lang w:val="en-US" w:eastAsia="zh-CN" w:bidi="ar-SA"/>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供应商最后报价均不得高于磋商文件（公告）列明的项目预算、最高投标限价，否则其响应文件将被认定为响应无效。望各供应商务必全程在线，及时进行回复，否则，因此给其造成相关后果，自行承担。采用分项报价的项目，最后报价的各分项结合一次报价中的各项单价按总价同比例下浮，价款结算时按成交下浮比率进行调整。</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25"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5"/>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w:t>
      </w:r>
      <w:r>
        <w:rPr>
          <w:rFonts w:hint="eastAsia" w:asciiTheme="minorEastAsia" w:hAnsiTheme="minorEastAsia" w:eastAsiaTheme="minorEastAsia"/>
          <w:color w:val="auto"/>
          <w:sz w:val="24"/>
          <w:highlight w:val="none"/>
        </w:rPr>
        <w:t>主要成交标的的名称、施工范围、施工工期、项目经理、执业证书信息</w:t>
      </w:r>
      <w:r>
        <w:rPr>
          <w:rFonts w:asciiTheme="minorEastAsia" w:hAnsiTheme="minorEastAsia" w:eastAsiaTheme="minorEastAsia"/>
          <w:color w:val="auto"/>
          <w:sz w:val="24"/>
          <w:highlight w:val="none"/>
        </w:rPr>
        <w:t>，成交结果公告期限、评审专家名单以及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26"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26"/>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3EA12BB">
      <w:pPr>
        <w:spacing w:line="360" w:lineRule="auto"/>
        <w:ind w:firstLine="437"/>
        <w:outlineLvl w:val="2"/>
        <w:rPr>
          <w:rFonts w:hint="eastAsia"/>
          <w:b/>
          <w:color w:val="auto"/>
          <w:sz w:val="24"/>
          <w:highlight w:val="none"/>
        </w:rPr>
      </w:pPr>
      <w:r>
        <w:rPr>
          <w:rFonts w:hint="eastAsia"/>
          <w:b/>
          <w:color w:val="auto"/>
          <w:sz w:val="24"/>
          <w:highlight w:val="none"/>
        </w:rPr>
        <w:t>3</w:t>
      </w:r>
      <w:r>
        <w:rPr>
          <w:rFonts w:hint="eastAsia"/>
          <w:b/>
          <w:color w:val="auto"/>
          <w:sz w:val="24"/>
          <w:highlight w:val="none"/>
          <w:lang w:val="en-US" w:eastAsia="zh-CN"/>
        </w:rPr>
        <w:t>0</w:t>
      </w:r>
      <w:r>
        <w:rPr>
          <w:rFonts w:hint="eastAsia"/>
          <w:b/>
          <w:color w:val="auto"/>
          <w:sz w:val="24"/>
          <w:highlight w:val="none"/>
        </w:rPr>
        <w:t>.投诉</w:t>
      </w:r>
    </w:p>
    <w:p w14:paraId="6452016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olor w:val="auto"/>
          <w:sz w:val="24"/>
          <w:highlight w:val="none"/>
        </w:rPr>
      </w:pPr>
      <w:r>
        <w:rPr>
          <w:rFonts w:hint="eastAsia"/>
          <w:color w:val="auto"/>
          <w:sz w:val="24"/>
          <w:highlight w:val="none"/>
        </w:rPr>
        <w:t>30.1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1C7652FF">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olor w:val="auto"/>
          <w:sz w:val="24"/>
          <w:highlight w:val="none"/>
        </w:rPr>
      </w:pPr>
      <w:r>
        <w:rPr>
          <w:rFonts w:hint="eastAsia"/>
          <w:color w:val="auto"/>
          <w:sz w:val="24"/>
          <w:highlight w:val="none"/>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1B62FEF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color w:val="auto"/>
          <w:sz w:val="24"/>
          <w:highlight w:val="none"/>
        </w:rPr>
      </w:pPr>
      <w:r>
        <w:rPr>
          <w:rFonts w:hint="eastAsia"/>
          <w:color w:val="auto"/>
          <w:sz w:val="24"/>
          <w:highlight w:val="none"/>
        </w:rPr>
        <w:t>30.3政府采购监督管理部门在处理投诉事项期间，可以视具体情况书面通知采购人暂停采购活动，但暂停时间最长不得超过30日</w:t>
      </w:r>
      <w:r>
        <w:rPr>
          <w:rFonts w:hint="eastAsia"/>
          <w:color w:val="auto"/>
          <w:sz w:val="24"/>
          <w:highlight w:val="none"/>
          <w:lang w:eastAsia="zh-CN"/>
        </w:rPr>
        <w:t>。</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1</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27" w:name="_Toc30873"/>
      <w:r>
        <w:rPr>
          <w:rFonts w:hint="eastAsia" w:asciiTheme="minorEastAsia" w:hAnsiTheme="minorEastAsia" w:eastAsiaTheme="minorEastAsia"/>
          <w:b/>
          <w:color w:val="auto"/>
          <w:sz w:val="28"/>
          <w:highlight w:val="none"/>
        </w:rPr>
        <w:t>第三章  采购需求</w:t>
      </w:r>
      <w:bookmarkEnd w:id="27"/>
    </w:p>
    <w:tbl>
      <w:tblPr>
        <w:tblStyle w:val="10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6287" w:type="dxa"/>
            <w:vAlign w:val="center"/>
          </w:tcPr>
          <w:p w14:paraId="43749930">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rPr>
              <w:t>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6B5B62BB">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rPr>
              <w:t>时所报项目经理及项目部主要管理人员。确需更换时，须报采购人同意，更换后人员不得低于成交供应商谈判时所报人员资质和技术水平。采购人如认为有必要，可要求对上述人员中的部分人员作出更好的调整。</w:t>
            </w:r>
          </w:p>
          <w:p w14:paraId="08392B0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r>
              <w:rPr>
                <w:rFonts w:hint="eastAsia" w:cs="@仿宋_GB2312" w:asciiTheme="minorEastAsia" w:hAnsiTheme="minorEastAsia" w:eastAsiaTheme="minorEastAsia"/>
                <w:color w:val="auto"/>
                <w:kern w:val="2"/>
                <w:sz w:val="24"/>
                <w:szCs w:val="22"/>
                <w:highlight w:val="none"/>
                <w:lang w:eastAsia="zh-CN"/>
              </w:rPr>
              <w:t>。</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6287" w:type="dxa"/>
            <w:vAlign w:val="center"/>
          </w:tcPr>
          <w:p w14:paraId="3AE84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所有进场材料必须符合国家质量标准、环保标准；所有货物（包括零部件）须为全新的、未使用过的原装正品，并完全符合国家质量标准，提供厂家出具的合格证书、有国家强制性认证要求的产品须提供相应证书。承包人采购的所有设备及主要材料进场报监理单位审核，经发包人认可后方可进场</w:t>
            </w:r>
            <w:r>
              <w:rPr>
                <w:rFonts w:hint="eastAsia" w:cs="@仿宋_GB2312" w:asciiTheme="minorEastAsia" w:hAnsiTheme="minorEastAsia" w:eastAsiaTheme="minorEastAsia"/>
                <w:color w:val="auto"/>
                <w:kern w:val="2"/>
                <w:sz w:val="24"/>
                <w:szCs w:val="22"/>
                <w:highlight w:val="none"/>
                <w:lang w:eastAsia="zh-CN"/>
              </w:rPr>
              <w:t>。</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6287" w:type="dxa"/>
            <w:vAlign w:val="center"/>
          </w:tcPr>
          <w:p w14:paraId="7B2AA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供应商结合图纸和现场情况自行考虑</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717948F">
            <w:pPr>
              <w:numPr>
                <w:ilvl w:val="0"/>
                <w:numId w:val="0"/>
              </w:numPr>
              <w:spacing w:line="360" w:lineRule="auto"/>
              <w:rPr>
                <w:rFonts w:hint="eastAsia" w:eastAsia="@微软简标宋"/>
                <w:color w:val="auto"/>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5BD8340D">
            <w:pPr>
              <w:spacing w:line="360" w:lineRule="auto"/>
              <w:rPr>
                <w:rFonts w:hint="eastAsia" w:ascii="宋体" w:hAnsi="宋体" w:eastAsia="宋体"/>
                <w:color w:val="auto"/>
                <w:kern w:val="2"/>
                <w:sz w:val="24"/>
                <w:szCs w:val="18"/>
                <w:highlight w:val="none"/>
              </w:rPr>
            </w:pPr>
            <w:r>
              <w:rPr>
                <w:rFonts w:hint="eastAsia" w:cs="宋体"/>
                <w:color w:val="auto"/>
                <w:kern w:val="2"/>
                <w:sz w:val="24"/>
                <w:szCs w:val="24"/>
                <w:highlight w:val="none"/>
                <w:lang w:val="en-US" w:eastAsia="zh-CN"/>
              </w:rPr>
              <w:t>1、</w:t>
            </w:r>
            <w:r>
              <w:rPr>
                <w:rFonts w:ascii="宋体" w:hAnsi="宋体" w:eastAsia="宋体" w:cs="宋体"/>
                <w:color w:val="auto"/>
                <w:kern w:val="2"/>
                <w:sz w:val="24"/>
                <w:szCs w:val="24"/>
                <w:highlight w:val="none"/>
              </w:rPr>
              <w:t>政府采购政策（包括但不限于下列具体政策要求</w:t>
            </w:r>
            <w:r>
              <w:rPr>
                <w:rFonts w:hint="eastAsia" w:ascii="宋体" w:hAnsi="宋体" w:eastAsia="宋体" w:cs="宋体"/>
                <w:color w:val="auto"/>
                <w:kern w:val="2"/>
                <w:sz w:val="24"/>
                <w:szCs w:val="24"/>
                <w:highlight w:val="none"/>
                <w:lang w:eastAsia="zh-CN"/>
              </w:rPr>
              <w:t>）</w:t>
            </w:r>
            <w:r>
              <w:rPr>
                <w:rFonts w:hint="eastAsia" w:ascii="宋体" w:hAnsi="宋体" w:eastAsia="宋体"/>
                <w:color w:val="auto"/>
                <w:kern w:val="2"/>
                <w:sz w:val="24"/>
                <w:szCs w:val="18"/>
                <w:highlight w:val="none"/>
              </w:rPr>
              <w:t>：</w:t>
            </w:r>
          </w:p>
          <w:p w14:paraId="1C86B261">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7C6E060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0E6460F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见第一章《</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rPr>
              <w:t>邀请》</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CBC270C">
            <w:pPr>
              <w:pStyle w:val="77"/>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17BF0A28">
            <w:pPr>
              <w:spacing w:line="360" w:lineRule="auto"/>
              <w:jc w:val="left"/>
              <w:rPr>
                <w:rFonts w:hint="default" w:asciiTheme="minorEastAsia" w:hAnsiTheme="minorEastAsia" w:eastAsiaTheme="minorEastAsia"/>
                <w:color w:val="auto"/>
                <w:kern w:val="2"/>
                <w:sz w:val="24"/>
                <w:szCs w:val="22"/>
                <w:highlight w:val="none"/>
                <w:lang w:val="en-US"/>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val="en-US" w:eastAsia="zh-CN"/>
              </w:rPr>
              <w:t xml:space="preserve"> 2026年道路交通安全整治提升工程（一批次）</w:t>
            </w:r>
          </w:p>
          <w:p w14:paraId="511999CE">
            <w:pPr>
              <w:spacing w:line="360" w:lineRule="auto"/>
              <w:jc w:val="left"/>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lang w:val="en-US" w:eastAsia="zh-CN"/>
              </w:rPr>
              <w:t>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4448E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lang w:val="en-US" w:eastAsia="zh-CN"/>
              </w:rPr>
              <w:t>项目概况</w:t>
            </w:r>
          </w:p>
        </w:tc>
        <w:tc>
          <w:tcPr>
            <w:tcW w:w="6287" w:type="dxa"/>
            <w:vAlign w:val="center"/>
          </w:tcPr>
          <w:p w14:paraId="12DC8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Theme="minorEastAsia" w:hAnsiTheme="minorEastAsia" w:eastAsiaTheme="minorEastAsia"/>
                <w:color w:val="auto"/>
                <w:kern w:val="2"/>
                <w:sz w:val="24"/>
                <w:szCs w:val="22"/>
                <w:highlight w:val="none"/>
              </w:rPr>
            </w:pPr>
            <w:r>
              <w:rPr>
                <w:rFonts w:hint="eastAsia" w:ascii="宋体" w:hAnsi="宋体" w:eastAsia="宋体"/>
                <w:color w:val="auto"/>
                <w:kern w:val="2"/>
                <w:sz w:val="24"/>
                <w:szCs w:val="24"/>
                <w:highlight w:val="none"/>
                <w:lang w:val="en-US" w:eastAsia="zh-CN"/>
              </w:rPr>
              <w:t>本次招标范围为吾悦华府小区与吾悦广场交口、世纪大道（菱溪苑北门过街通道</w:t>
            </w:r>
            <w:r>
              <w:rPr>
                <w:rFonts w:hint="eastAsia"/>
                <w:color w:val="auto"/>
                <w:kern w:val="2"/>
                <w:sz w:val="24"/>
                <w:szCs w:val="24"/>
                <w:highlight w:val="none"/>
                <w:lang w:val="en-US" w:eastAsia="zh-CN"/>
              </w:rPr>
              <w:t>）</w:t>
            </w:r>
            <w:r>
              <w:rPr>
                <w:rFonts w:hint="eastAsia" w:ascii="宋体" w:hAnsi="宋体" w:eastAsia="宋体"/>
                <w:color w:val="auto"/>
                <w:kern w:val="2"/>
                <w:sz w:val="24"/>
                <w:szCs w:val="24"/>
                <w:highlight w:val="none"/>
                <w:lang w:val="en-US" w:eastAsia="zh-CN"/>
              </w:rPr>
              <w:t>、清流路与来安路交叉口3个交口</w:t>
            </w:r>
            <w:r>
              <w:rPr>
                <w:rFonts w:hint="eastAsia"/>
                <w:color w:val="auto"/>
                <w:kern w:val="2"/>
                <w:sz w:val="24"/>
                <w:szCs w:val="24"/>
                <w:highlight w:val="none"/>
                <w:lang w:val="en-US" w:eastAsia="zh-CN"/>
              </w:rPr>
              <w:t>改造</w:t>
            </w:r>
            <w:r>
              <w:rPr>
                <w:rFonts w:hint="eastAsia" w:ascii="宋体" w:hAnsi="宋体" w:eastAsia="宋体"/>
                <w:color w:val="auto"/>
                <w:kern w:val="2"/>
                <w:sz w:val="24"/>
                <w:szCs w:val="24"/>
                <w:highlight w:val="none"/>
                <w:lang w:val="en-US" w:eastAsia="zh-CN"/>
              </w:rPr>
              <w:t>，主要为交通监控提升改造及路面交通提升改造。</w:t>
            </w:r>
            <w:r>
              <w:rPr>
                <w:rFonts w:hint="eastAsia" w:asciiTheme="minorEastAsia" w:hAnsiTheme="minorEastAsia" w:eastAsiaTheme="minorEastAsia"/>
                <w:color w:val="auto"/>
                <w:kern w:val="2"/>
                <w:sz w:val="24"/>
                <w:szCs w:val="22"/>
                <w:highlight w:val="none"/>
                <w:lang w:val="en-US" w:eastAsia="zh-CN"/>
              </w:rPr>
              <w:t>详见施工图纸及工程量清单。</w:t>
            </w:r>
          </w:p>
        </w:tc>
      </w:tr>
      <w:tr w14:paraId="4885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FA03DCB">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9</w:t>
            </w:r>
          </w:p>
        </w:tc>
        <w:tc>
          <w:tcPr>
            <w:tcW w:w="1277" w:type="dxa"/>
            <w:vAlign w:val="center"/>
          </w:tcPr>
          <w:p w14:paraId="0F676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lang w:val="en-US" w:eastAsia="zh-CN"/>
              </w:rPr>
              <w:t>特别说明</w:t>
            </w:r>
          </w:p>
        </w:tc>
        <w:tc>
          <w:tcPr>
            <w:tcW w:w="6287" w:type="dxa"/>
            <w:vAlign w:val="center"/>
          </w:tcPr>
          <w:p w14:paraId="181D9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lang w:val="en-US" w:eastAsia="zh-CN"/>
              </w:rPr>
              <w:t>1.信号机需与滁州市交警部门现有交通信号控制系统中心平台兼容，实现实时管控。</w:t>
            </w:r>
          </w:p>
          <w:p w14:paraId="52243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lang w:val="en-US" w:eastAsia="zh-CN"/>
              </w:rPr>
              <w:t>2.本项目信号灯、电子警察等相关配套设备及系统，质保期为5年。</w:t>
            </w:r>
          </w:p>
          <w:p w14:paraId="429CD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eastAsiaTheme="minorEastAsia"/>
                <w:color w:val="auto"/>
                <w:kern w:val="2"/>
                <w:sz w:val="21"/>
                <w:szCs w:val="22"/>
                <w:highlight w:val="none"/>
                <w:lang w:val="en-US" w:eastAsia="zh-CN"/>
              </w:rPr>
            </w:pPr>
            <w:r>
              <w:rPr>
                <w:rFonts w:hint="eastAsia" w:asciiTheme="minorEastAsia" w:hAnsiTheme="minorEastAsia" w:eastAsiaTheme="minorEastAsia"/>
                <w:color w:val="auto"/>
                <w:kern w:val="2"/>
                <w:sz w:val="24"/>
                <w:szCs w:val="22"/>
                <w:highlight w:val="none"/>
                <w:lang w:val="en-US" w:eastAsia="zh-CN"/>
              </w:rPr>
              <w:t>3.本项目工程量清单中涉及要求提供第三方检测报告或功能产品彩页，中标人须在项目验收阶段按采购人要求按时提供有效的第三方检测报告或功能产品彩页。</w:t>
            </w:r>
          </w:p>
        </w:tc>
      </w:tr>
    </w:tbl>
    <w:p w14:paraId="02D7BCED">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28" w:name="_Toc11353"/>
      <w:r>
        <w:rPr>
          <w:rFonts w:hint="eastAsia" w:asciiTheme="minorEastAsia" w:hAnsiTheme="minorEastAsia" w:eastAsiaTheme="minorEastAsia"/>
          <w:b/>
          <w:color w:val="auto"/>
          <w:sz w:val="28"/>
          <w:highlight w:val="none"/>
        </w:rPr>
        <w:t>第四章  评审方法和标准</w:t>
      </w:r>
      <w:bookmarkEnd w:id="28"/>
    </w:p>
    <w:p w14:paraId="405AFB19">
      <w:pPr>
        <w:spacing w:line="360" w:lineRule="auto"/>
        <w:ind w:firstLine="437"/>
        <w:outlineLvl w:val="1"/>
        <w:rPr>
          <w:rFonts w:asciiTheme="minorEastAsia" w:hAnsiTheme="minorEastAsia" w:eastAsiaTheme="minorEastAsia"/>
          <w:b/>
          <w:color w:val="auto"/>
          <w:sz w:val="24"/>
          <w:highlight w:val="none"/>
        </w:rPr>
      </w:pPr>
      <w:bookmarkStart w:id="29" w:name="_Toc3679"/>
      <w:bookmarkStart w:id="30" w:name="_Toc31533"/>
      <w:r>
        <w:rPr>
          <w:rFonts w:hint="eastAsia" w:asciiTheme="minorEastAsia" w:hAnsiTheme="minorEastAsia" w:eastAsiaTheme="minorEastAsia"/>
          <w:b/>
          <w:color w:val="auto"/>
          <w:sz w:val="24"/>
          <w:highlight w:val="none"/>
        </w:rPr>
        <w:t>一、总则</w:t>
      </w:r>
      <w:bookmarkEnd w:id="29"/>
      <w:bookmarkEnd w:id="30"/>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31" w:name="_Toc16232"/>
      <w:bookmarkStart w:id="32" w:name="_Toc13405"/>
      <w:r>
        <w:rPr>
          <w:rFonts w:hint="eastAsia" w:asciiTheme="minorEastAsia" w:hAnsiTheme="minorEastAsia" w:eastAsiaTheme="minorEastAsia"/>
          <w:b/>
          <w:color w:val="auto"/>
          <w:sz w:val="24"/>
          <w:highlight w:val="none"/>
        </w:rPr>
        <w:t>二、评审方法</w:t>
      </w:r>
      <w:bookmarkEnd w:id="31"/>
      <w:bookmarkEnd w:id="32"/>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78"/>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268" w:type="pct"/>
            <w:tcBorders>
              <w:bottom w:val="single" w:color="auto" w:sz="4" w:space="0"/>
            </w:tcBorders>
            <w:vAlign w:val="center"/>
          </w:tcPr>
          <w:p w14:paraId="2B4144DE">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42E28D8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6474E787">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43E3C9B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5BDC6DC5">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center"/>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宋体"/>
                <w:color w:val="auto"/>
                <w:sz w:val="24"/>
                <w:szCs w:val="24"/>
                <w:highlight w:val="none"/>
              </w:rPr>
              <w:t>（若联合体参与，联合体各方均须提供）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524" w:type="pct"/>
            <w:vAlign w:val="center"/>
          </w:tcPr>
          <w:p w14:paraId="4B2B2C47">
            <w:pPr>
              <w:spacing w:line="360" w:lineRule="auto"/>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r>
              <w:rPr>
                <w:rFonts w:hint="eastAsia" w:ascii="宋体" w:hAnsi="宋体" w:eastAsia="宋体" w:cs="宋体"/>
                <w:color w:val="auto"/>
                <w:sz w:val="24"/>
                <w:szCs w:val="24"/>
                <w:highlight w:val="none"/>
              </w:rPr>
              <w:t>（若联合体参与，联合体各方均须提供）</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磋商邀请</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中信誉要求和</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center"/>
              <w:rPr>
                <w:rFonts w:hint="eastAsia" w:cs="Times New Roman"/>
                <w:color w:val="auto"/>
                <w:kern w:val="2"/>
                <w:sz w:val="24"/>
                <w:szCs w:val="22"/>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27C5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2D06D30">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4</w:t>
            </w:r>
          </w:p>
        </w:tc>
        <w:tc>
          <w:tcPr>
            <w:tcW w:w="796" w:type="pct"/>
            <w:vAlign w:val="center"/>
          </w:tcPr>
          <w:p w14:paraId="008BC1A8">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p>
        </w:tc>
        <w:tc>
          <w:tcPr>
            <w:tcW w:w="2268" w:type="pct"/>
            <w:vAlign w:val="center"/>
          </w:tcPr>
          <w:p w14:paraId="57D785C7">
            <w:pPr>
              <w:spacing w:after="50" w:line="360" w:lineRule="auto"/>
              <w:ind w:right="-10" w:rightChars="0"/>
              <w:jc w:val="both"/>
              <w:rPr>
                <w:rFonts w:ascii="Calibri" w:hAnsi="Calibri" w:cs="Times New Roman"/>
                <w:color w:val="auto"/>
                <w:kern w:val="2"/>
                <w:sz w:val="24"/>
                <w:szCs w:val="22"/>
                <w:highlight w:val="none"/>
              </w:rPr>
            </w:pPr>
            <w:r>
              <w:rPr>
                <w:rFonts w:hint="eastAsia" w:ascii="宋体" w:hAnsi="宋体" w:eastAsia="宋体" w:cs="宋体"/>
                <w:color w:val="auto"/>
                <w:spacing w:val="-2"/>
                <w:sz w:val="24"/>
                <w:szCs w:val="24"/>
                <w:highlight w:val="none"/>
                <w:lang w:val="en-US" w:eastAsia="zh-CN"/>
              </w:rPr>
              <w:t>联合体磋商的</w:t>
            </w:r>
            <w:r>
              <w:rPr>
                <w:rFonts w:hint="eastAsia" w:ascii="宋体" w:hAnsi="宋体" w:eastAsia="宋体" w:cs="宋体"/>
                <w:color w:val="auto"/>
                <w:spacing w:val="10"/>
                <w:kern w:val="2"/>
                <w:sz w:val="24"/>
                <w:szCs w:val="24"/>
                <w:highlight w:val="none"/>
                <w:lang w:val="en-US" w:eastAsia="zh-CN" w:bidi="ar-SA"/>
              </w:rPr>
              <w:t>详见</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1.5，且</w:t>
            </w:r>
            <w:r>
              <w:rPr>
                <w:rFonts w:hint="eastAsia" w:ascii="宋体" w:hAnsi="宋体" w:eastAsia="宋体" w:cs="宋体"/>
                <w:color w:val="auto"/>
                <w:spacing w:val="10"/>
                <w:kern w:val="2"/>
                <w:sz w:val="24"/>
                <w:szCs w:val="24"/>
                <w:highlight w:val="none"/>
                <w:lang w:val="en-US" w:eastAsia="zh-CN" w:bidi="ar-SA"/>
              </w:rPr>
              <w:t>提</w:t>
            </w:r>
            <w:r>
              <w:rPr>
                <w:rFonts w:ascii="宋体" w:hAnsi="宋体" w:eastAsia="宋体" w:cs="宋体"/>
                <w:color w:val="auto"/>
                <w:spacing w:val="10"/>
                <w:kern w:val="2"/>
                <w:sz w:val="24"/>
                <w:szCs w:val="24"/>
                <w:highlight w:val="none"/>
                <w:lang w:val="en-US" w:eastAsia="zh-CN" w:bidi="ar-SA"/>
              </w:rPr>
              <w:t>供《联合协议》。</w:t>
            </w:r>
          </w:p>
        </w:tc>
        <w:tc>
          <w:tcPr>
            <w:tcW w:w="1524" w:type="pct"/>
            <w:vAlign w:val="center"/>
          </w:tcPr>
          <w:p w14:paraId="450917D1">
            <w:pPr>
              <w:spacing w:after="50" w:line="360" w:lineRule="auto"/>
              <w:ind w:right="-10" w:rightChars="0"/>
              <w:jc w:val="center"/>
              <w:rPr>
                <w:rFonts w:hint="eastAsia" w:cs="Times New Roman"/>
                <w:color w:val="auto"/>
                <w:kern w:val="2"/>
                <w:sz w:val="24"/>
                <w:szCs w:val="22"/>
                <w:highlight w:val="none"/>
              </w:rPr>
            </w:pPr>
            <w:r>
              <w:rPr>
                <w:rFonts w:ascii="宋体" w:hAnsi="宋体" w:eastAsia="宋体" w:cs="宋体"/>
                <w:color w:val="auto"/>
                <w:spacing w:val="10"/>
                <w:kern w:val="2"/>
                <w:sz w:val="24"/>
                <w:szCs w:val="24"/>
                <w:highlight w:val="none"/>
                <w:lang w:val="en-US" w:eastAsia="zh-CN" w:bidi="ar-SA"/>
              </w:rPr>
              <w:t>《联合协议》</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（联合体各方均须盖章）</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508169DD">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pacing w:val="10"/>
                <w:sz w:val="24"/>
                <w:szCs w:val="24"/>
                <w:highlight w:val="none"/>
                <w:lang w:eastAsia="zh-CN"/>
              </w:rPr>
              <w:t>本项目的</w:t>
            </w:r>
            <w:r>
              <w:rPr>
                <w:rFonts w:ascii="宋体" w:hAnsi="宋体" w:eastAsia="宋体" w:cs="宋体"/>
                <w:color w:val="auto"/>
                <w:spacing w:val="10"/>
                <w:sz w:val="24"/>
                <w:szCs w:val="24"/>
                <w:highlight w:val="none"/>
              </w:rPr>
              <w:t>特定资格要求</w:t>
            </w:r>
          </w:p>
        </w:tc>
        <w:tc>
          <w:tcPr>
            <w:tcW w:w="2268" w:type="pct"/>
            <w:vAlign w:val="center"/>
          </w:tcPr>
          <w:p w14:paraId="0128CE7C">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color w:val="auto"/>
                <w:spacing w:val="10"/>
                <w:sz w:val="24"/>
                <w:szCs w:val="24"/>
                <w:highlight w:val="none"/>
              </w:rPr>
              <w:t>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524" w:type="pct"/>
            <w:vAlign w:val="center"/>
          </w:tcPr>
          <w:p w14:paraId="389442EA">
            <w:pPr>
              <w:spacing w:after="50" w:line="360" w:lineRule="auto"/>
              <w:ind w:right="-10" w:rightChars="0"/>
              <w:jc w:val="center"/>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eastAsia="宋体" w:cs="Times New Roman"/>
                <w:color w:val="auto"/>
                <w:kern w:val="2"/>
                <w:sz w:val="24"/>
                <w:szCs w:val="22"/>
                <w:highlight w:val="none"/>
                <w:lang w:eastAsia="zh-CN"/>
              </w:rPr>
            </w:pPr>
            <w:r>
              <w:rPr>
                <w:rFonts w:hint="eastAsia" w:cs="宋体"/>
                <w:color w:val="auto"/>
                <w:kern w:val="2"/>
                <w:sz w:val="24"/>
                <w:szCs w:val="24"/>
                <w:highlight w:val="none"/>
                <w:lang w:val="en-US" w:eastAsia="zh-CN"/>
              </w:rPr>
              <w:t>6</w:t>
            </w:r>
          </w:p>
        </w:tc>
        <w:tc>
          <w:tcPr>
            <w:tcW w:w="796" w:type="pct"/>
            <w:vAlign w:val="center"/>
          </w:tcPr>
          <w:p w14:paraId="0B0D1B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ascii="Calibri" w:hAnsi="Calibri" w:cs="Times New Roman"/>
                <w:color w:val="auto"/>
                <w:kern w:val="2"/>
                <w:sz w:val="24"/>
                <w:szCs w:val="24"/>
                <w:highlight w:val="none"/>
              </w:rPr>
            </w:pPr>
            <w:r>
              <w:rPr>
                <w:rFonts w:hint="eastAsia" w:ascii="宋体" w:hAnsi="宋体" w:eastAsia="宋体" w:cs="宋体"/>
                <w:color w:val="auto"/>
                <w:kern w:val="2"/>
                <w:sz w:val="24"/>
                <w:szCs w:val="24"/>
                <w:highlight w:val="none"/>
              </w:rPr>
              <w:t>授权书</w:t>
            </w:r>
          </w:p>
        </w:tc>
        <w:tc>
          <w:tcPr>
            <w:tcW w:w="2268" w:type="pct"/>
            <w:vAlign w:val="center"/>
          </w:tcPr>
          <w:p w14:paraId="08F70821">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both"/>
              <w:rPr>
                <w:rFonts w:ascii="Calibri" w:hAnsi="Calibri"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格式、填写要求符合磋商文件规定并加盖供应商电子签章</w:t>
            </w:r>
          </w:p>
        </w:tc>
        <w:tc>
          <w:tcPr>
            <w:tcW w:w="1524" w:type="pct"/>
            <w:vAlign w:val="center"/>
          </w:tcPr>
          <w:p w14:paraId="323B8D59">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center"/>
              <w:rPr>
                <w:rFonts w:hint="eastAsia"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法定代表人参加磋商的无需此件，提供身份证明即可。详见第六章响应文件格式。</w:t>
            </w: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eastAsia="宋体" w:cs="Times New Roman"/>
                <w:color w:val="auto"/>
                <w:kern w:val="2"/>
                <w:sz w:val="24"/>
                <w:szCs w:val="22"/>
                <w:highlight w:val="none"/>
                <w:lang w:eastAsia="zh-CN"/>
              </w:rPr>
            </w:pPr>
            <w:r>
              <w:rPr>
                <w:rFonts w:hint="eastAsia" w:cs="宋体"/>
                <w:color w:val="auto"/>
                <w:kern w:val="2"/>
                <w:sz w:val="24"/>
                <w:szCs w:val="24"/>
                <w:highlight w:val="none"/>
                <w:lang w:val="en-US" w:eastAsia="zh-CN"/>
              </w:rPr>
              <w:t>7</w:t>
            </w:r>
          </w:p>
        </w:tc>
        <w:tc>
          <w:tcPr>
            <w:tcW w:w="796" w:type="pct"/>
            <w:vAlign w:val="center"/>
          </w:tcPr>
          <w:p w14:paraId="626403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ascii="Calibri" w:hAnsi="Calibri"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响应函</w:t>
            </w:r>
          </w:p>
        </w:tc>
        <w:tc>
          <w:tcPr>
            <w:tcW w:w="2268" w:type="pct"/>
            <w:vAlign w:val="center"/>
          </w:tcPr>
          <w:p w14:paraId="793FCFF1">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both"/>
              <w:rPr>
                <w:rFonts w:ascii="Calibri" w:hAnsi="Calibri"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符合磋商文件要求。</w:t>
            </w:r>
          </w:p>
        </w:tc>
        <w:tc>
          <w:tcPr>
            <w:tcW w:w="1524" w:type="pct"/>
            <w:vAlign w:val="center"/>
          </w:tcPr>
          <w:p w14:paraId="7F9D6E43">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center"/>
              <w:rPr>
                <w:rFonts w:hint="eastAsia" w:cs="Times New Roman"/>
                <w:color w:val="auto"/>
                <w:kern w:val="2"/>
                <w:sz w:val="24"/>
                <w:szCs w:val="22"/>
                <w:highlight w:val="none"/>
              </w:rPr>
            </w:pPr>
            <w:r>
              <w:rPr>
                <w:rFonts w:hint="eastAsia" w:ascii="宋体" w:hAnsi="宋体" w:eastAsia="宋体" w:cs="宋体"/>
                <w:color w:val="auto"/>
                <w:spacing w:val="10"/>
                <w:sz w:val="24"/>
                <w:szCs w:val="24"/>
                <w:highlight w:val="none"/>
                <w:lang w:val="en-US" w:eastAsia="zh-CN"/>
              </w:rPr>
              <w:t>详见第六章响应文件格式</w:t>
            </w: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eastAsia="宋体" w:cs="Times New Roman"/>
                <w:color w:val="auto"/>
                <w:kern w:val="2"/>
                <w:sz w:val="24"/>
                <w:szCs w:val="22"/>
                <w:highlight w:val="none"/>
                <w:lang w:eastAsia="zh-CN"/>
              </w:rPr>
            </w:pPr>
            <w:r>
              <w:rPr>
                <w:rFonts w:hint="eastAsia" w:cs="宋体"/>
                <w:color w:val="auto"/>
                <w:sz w:val="24"/>
                <w:szCs w:val="24"/>
                <w:highlight w:val="none"/>
                <w:lang w:val="en-US" w:eastAsia="zh-CN"/>
              </w:rPr>
              <w:t>8</w:t>
            </w:r>
          </w:p>
        </w:tc>
        <w:tc>
          <w:tcPr>
            <w:tcW w:w="796" w:type="pct"/>
            <w:vAlign w:val="center"/>
          </w:tcPr>
          <w:p w14:paraId="318E1CD7">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tc>
        <w:tc>
          <w:tcPr>
            <w:tcW w:w="2268" w:type="pct"/>
            <w:vAlign w:val="center"/>
          </w:tcPr>
          <w:p w14:paraId="5B337567">
            <w:pPr>
              <w:keepNext w:val="0"/>
              <w:keepLines w:val="0"/>
              <w:pageBreakBefore w:val="0"/>
              <w:suppressLineNumbers w:val="0"/>
              <w:kinsoku/>
              <w:wordWrap/>
              <w:overflowPunct/>
              <w:topLinePunct w:val="0"/>
              <w:autoSpaceDE/>
              <w:autoSpaceDN/>
              <w:bidi w:val="0"/>
              <w:spacing w:before="0" w:beforeAutospacing="0" w:after="50" w:afterAutospacing="0" w:line="520" w:lineRule="exact"/>
              <w:ind w:left="0" w:leftChars="0" w:right="-10" w:rightChars="0"/>
              <w:jc w:val="both"/>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1524" w:type="pct"/>
            <w:vAlign w:val="center"/>
          </w:tcPr>
          <w:p w14:paraId="11A49F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eastAsia" w:cs="Times New Roman"/>
                <w:color w:val="auto"/>
                <w:kern w:val="2"/>
                <w:sz w:val="24"/>
                <w:szCs w:val="22"/>
                <w:highlight w:val="none"/>
              </w:rPr>
            </w:pPr>
            <w:r>
              <w:rPr>
                <w:rFonts w:hint="eastAsia" w:asciiTheme="minorEastAsia" w:hAnsiTheme="minorEastAsia" w:eastAsiaTheme="minorEastAsia"/>
                <w:color w:val="auto"/>
                <w:sz w:val="24"/>
                <w:highlight w:val="none"/>
              </w:rPr>
              <w:t>详见第六章响应文件格式。</w:t>
            </w:r>
          </w:p>
        </w:tc>
      </w:tr>
      <w:tr w14:paraId="5B36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C231E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9</w:t>
            </w:r>
          </w:p>
        </w:tc>
        <w:tc>
          <w:tcPr>
            <w:tcW w:w="1357" w:type="dxa"/>
            <w:vAlign w:val="center"/>
          </w:tcPr>
          <w:p w14:paraId="0E4AA98C">
            <w:pPr>
              <w:spacing w:after="50"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olor w:val="auto"/>
                <w:sz w:val="24"/>
                <w:szCs w:val="28"/>
                <w:highlight w:val="none"/>
              </w:rPr>
              <w:t>诚信响应承诺书</w:t>
            </w:r>
          </w:p>
        </w:tc>
        <w:tc>
          <w:tcPr>
            <w:tcW w:w="3867" w:type="dxa"/>
            <w:vAlign w:val="center"/>
          </w:tcPr>
          <w:p w14:paraId="67BD5669">
            <w:pPr>
              <w:spacing w:after="50" w:line="360" w:lineRule="auto"/>
              <w:ind w:right="-10" w:rightChars="0"/>
              <w:jc w:val="left"/>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szCs w:val="28"/>
                <w:highlight w:val="none"/>
              </w:rPr>
              <w:t>格式、填写要求符合磋商文件规定并加盖供应商电子签章</w:t>
            </w:r>
          </w:p>
        </w:tc>
        <w:tc>
          <w:tcPr>
            <w:tcW w:w="2599" w:type="dxa"/>
            <w:vAlign w:val="center"/>
          </w:tcPr>
          <w:p w14:paraId="5038C25F">
            <w:pPr>
              <w:spacing w:after="50" w:line="360" w:lineRule="auto"/>
              <w:ind w:right="-10" w:rightChars="0"/>
              <w:jc w:val="center"/>
              <w:rPr>
                <w:rFonts w:hint="eastAsia" w:cs="Times New Roman"/>
                <w:color w:val="auto"/>
                <w:kern w:val="2"/>
                <w:sz w:val="24"/>
                <w:szCs w:val="22"/>
                <w:highlight w:val="none"/>
              </w:rPr>
            </w:pPr>
            <w:r>
              <w:rPr>
                <w:rFonts w:hint="eastAsia" w:asciiTheme="minorEastAsia" w:hAnsiTheme="minorEastAsia" w:eastAsiaTheme="minorEastAsia"/>
                <w:color w:val="auto"/>
                <w:sz w:val="24"/>
                <w:szCs w:val="28"/>
                <w:highlight w:val="none"/>
              </w:rPr>
              <w:t>详见第六章响应文件格式。（若联合体参与，联合体各方均须提供）</w:t>
            </w:r>
          </w:p>
        </w:tc>
      </w:tr>
      <w:tr w14:paraId="787E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15F18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10" w:rightChars="0"/>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10</w:t>
            </w:r>
          </w:p>
        </w:tc>
        <w:tc>
          <w:tcPr>
            <w:tcW w:w="1357" w:type="dxa"/>
            <w:vAlign w:val="center"/>
          </w:tcPr>
          <w:p w14:paraId="3200B64B">
            <w:pPr>
              <w:spacing w:after="50"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olor w:val="auto"/>
                <w:sz w:val="24"/>
                <w:szCs w:val="28"/>
                <w:highlight w:val="none"/>
              </w:rPr>
              <w:t>诚信履约承诺函</w:t>
            </w:r>
          </w:p>
        </w:tc>
        <w:tc>
          <w:tcPr>
            <w:tcW w:w="3867" w:type="dxa"/>
            <w:vAlign w:val="center"/>
          </w:tcPr>
          <w:p w14:paraId="1BFA3A63">
            <w:pPr>
              <w:spacing w:after="50" w:line="360" w:lineRule="auto"/>
              <w:ind w:right="-10" w:rightChars="0"/>
              <w:jc w:val="left"/>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szCs w:val="28"/>
                <w:highlight w:val="none"/>
              </w:rPr>
              <w:t>格式、填写要求符合磋商文件规定并加盖供应商电子签章</w:t>
            </w:r>
          </w:p>
        </w:tc>
        <w:tc>
          <w:tcPr>
            <w:tcW w:w="2599" w:type="dxa"/>
            <w:vAlign w:val="center"/>
          </w:tcPr>
          <w:p w14:paraId="729BFA58">
            <w:pPr>
              <w:spacing w:after="50" w:line="360" w:lineRule="auto"/>
              <w:ind w:right="-10" w:rightChars="0"/>
              <w:jc w:val="center"/>
              <w:rPr>
                <w:rFonts w:hint="eastAsia" w:cs="Times New Roman"/>
                <w:color w:val="auto"/>
                <w:kern w:val="2"/>
                <w:sz w:val="24"/>
                <w:szCs w:val="22"/>
                <w:highlight w:val="none"/>
              </w:rPr>
            </w:pPr>
            <w:r>
              <w:rPr>
                <w:rFonts w:hint="eastAsia" w:asciiTheme="minorEastAsia" w:hAnsiTheme="minorEastAsia" w:eastAsiaTheme="minorEastAsia"/>
                <w:color w:val="auto"/>
                <w:sz w:val="24"/>
                <w:szCs w:val="28"/>
                <w:highlight w:val="none"/>
              </w:rPr>
              <w:t>详见第六章响应文件格式。（若联合体参与，联合体各方均须提供）</w:t>
            </w: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center"/>
              <w:rPr>
                <w:rFonts w:hint="eastAsia" w:ascii="Calibri" w:hAnsi="Calibri" w:cs="Times New Roman"/>
                <w:color w:val="auto"/>
                <w:kern w:val="2"/>
                <w:sz w:val="24"/>
                <w:szCs w:val="22"/>
                <w:highlight w:val="none"/>
              </w:rPr>
            </w:pPr>
          </w:p>
        </w:tc>
      </w:tr>
    </w:tbl>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74B57C9B">
      <w:pPr>
        <w:spacing w:line="360" w:lineRule="auto"/>
        <w:ind w:firstLine="435"/>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注：</w:t>
      </w:r>
      <w:r>
        <w:rPr>
          <w:rFonts w:hint="eastAsia" w:asciiTheme="minorEastAsia" w:hAnsiTheme="minorEastAsia" w:eastAsiaTheme="minorEastAsia"/>
          <w:b/>
          <w:bCs/>
          <w:color w:val="auto"/>
          <w:sz w:val="24"/>
          <w:highlight w:val="none"/>
        </w:rPr>
        <w:t>供应商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220DA5E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rPr>
        <w:t>供应商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（4）磋商小组基于专业判断，认为供应商报价过低，有可能影响产品质量或者不能诚信履约的其他情形。</w:t>
            </w:r>
          </w:p>
          <w:p w14:paraId="1F1C5BD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（2）上述报价均为供应商最后报价。</w:t>
            </w:r>
          </w:p>
        </w:tc>
        <w:tc>
          <w:tcPr>
            <w:tcW w:w="2260" w:type="dxa"/>
            <w:vAlign w:val="center"/>
          </w:tcPr>
          <w:p w14:paraId="4F4E35C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153DDD6B">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326F5DD3">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%。具体评分细则如下：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720"/>
        <w:gridCol w:w="4005"/>
        <w:gridCol w:w="1321"/>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349"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774"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技术资信分</w:t>
            </w:r>
          </w:p>
          <w:p w14:paraId="6DCFB4E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70</w:t>
            </w:r>
            <w:r>
              <w:rPr>
                <w:rFonts w:hint="eastAsia" w:ascii="宋体" w:hAnsi="宋体" w:eastAsia="宋体" w:cs="宋体"/>
                <w:color w:val="auto"/>
                <w:sz w:val="24"/>
                <w:szCs w:val="24"/>
                <w:highlight w:val="none"/>
              </w:rPr>
              <w:t>分）</w:t>
            </w:r>
          </w:p>
        </w:tc>
        <w:tc>
          <w:tcPr>
            <w:tcW w:w="4133" w:type="pct"/>
            <w:gridSpan w:val="3"/>
            <w:tcBorders>
              <w:top w:val="single" w:color="auto" w:sz="4" w:space="0"/>
              <w:left w:val="single" w:color="auto" w:sz="4" w:space="0"/>
              <w:bottom w:val="single" w:color="auto" w:sz="4" w:space="0"/>
              <w:right w:val="single" w:color="auto" w:sz="4" w:space="0"/>
            </w:tcBorders>
            <w:vAlign w:val="center"/>
          </w:tcPr>
          <w:p w14:paraId="790ED80C">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技术部分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36F05733">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5DE27A65">
            <w:pPr>
              <w:adjustRightInd w:val="0"/>
              <w:snapToGrid w:val="0"/>
              <w:spacing w:line="560" w:lineRule="exact"/>
              <w:rPr>
                <w:rFonts w:hint="eastAsia" w:ascii="宋体" w:hAnsi="宋体" w:eastAsia="宋体" w:cs="宋体"/>
                <w:color w:val="auto"/>
                <w:sz w:val="24"/>
                <w:szCs w:val="24"/>
                <w:highlight w:val="none"/>
                <w:lang w:val="zh-CN" w:eastAsia="zh-CN" w:bidi="ar-SA"/>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主要施工方法</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690D6401">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各主要分部施工方法优于项目实际，有详尽的施工技术方案，工艺先进、合理可行，能够高质高效的施工并确保安全得5分；各主要分部施工方法符合项目实际，施工技术方案基本完整，工艺符合施工需求、能指导具体施工并确保安全得3分；各主要分部施工方法符合项目实际，施工技术方案普通，工艺普通、能够指导具体施工得1分。不合格的或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7508B90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2E3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57F3D774">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6D850305">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拟投入的主要施工机械、设备计划</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3F33E294">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投入的施工机械、设备、机具有详细计划且计划周密，设备数量充足、选型配置、进场数量、时间合理、满足施工需要得5分；投入的施工机械、设备、机具有计划且计划较周密，设备数量适中、选型配置、进场数量、时间较合理、基本满足施工需要得3分；投入的施工机械、设备、机具基本满足要求、选型配置、进场数量、时间基本合理得1分。不合格的或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38FE4F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4E04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576D53BB">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96CBDAA">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劳动力安排计划</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23EDE308">
            <w:pPr>
              <w:adjustRightInd w:val="0"/>
              <w:snapToGrid w:val="0"/>
              <w:spacing w:line="5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根据供应商提供的劳动力安排计划进行评审：</w:t>
            </w:r>
          </w:p>
          <w:p w14:paraId="74FD93BA">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各主要施工工序应有详细周密的劳动力安排计划明细，有各工种劳动力安排计划，计划完整周密，劳动力投入经济高效，优于施工需要的得5分；各主要施工工序有劳动力安排计划且计划完整，劳动力投入合理，能够满足施工需要的得3分；各主要施工工序有基础的劳动力安排计划，但关键内容缺失，部分存在不足，有待提升的得1分；不合格的或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72223EB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0321921B">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69CE528F">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确保工程质量的技术组织措施</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79A47A4F">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施工项目有专门的质量技术管理班子和制度，且人员配备合理，制度健全，主要工序应有质量技术保证措施和手段，自控体系完善，能有效的保证技术质量，优于质量标准得5分；施工项目有专门的质量技术管理班子和制度，且人员配备适中，制度完整，主要工序应有质量技术保证措施和手段，能够保证技术质量，达到承诺的质量标准得3分；施工项目专门的质量技术管理班子和制度，有人员配备，有制度，部分存在不足的得1分。不合格的或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448253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180A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28143254">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4449F3CD">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确保安全生产的技术组织措施</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7D35C6CA">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施工项目有专门的安全管理人员和制度，且人员配备充足，制度健全，各道工序安全技术措施针对性强，符合实际且满足有关安全技术标准要求。现场防火、社会治安安全措施得力得5分；施工项目有专门的安全管理人员和制度，且人员配备适中，制度完整，各道工序安全技术措施完善，基本满足项目需求得3分；施工项目有专门的安全管理人员和制度，人员配备少，制度欠缺，部分存在不足的得1分。不合格的或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3B8A41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6F4D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06B7DFD7">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0842E5B">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确保工期的技术组织措施</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3EE7F7A6">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在施工工艺、施工方法、材料选用、劳动力安排、技术等方面有保证工期的具体措施且措施得当。有控制工期的施工进度计划。有施工总进度表或施工网络图，各项计划图表编制完善，符合本项目施工实际要求的，得5分；在施工工艺、施工方法、材料选用、劳动力安排、技术等方面有保证工期的措施。有控制工期的施工进度计划。有施工总进度表或施工网络图，各项计划图表编制完善，安排符合本项目施工部分需求的，得3分；在施工工艺、施工方法、材料选用、劳动力安排、技术等方面有保证工期的措施。有控制工期的施工进度计划的，部分存在不足的得1分。不合格的或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3575EC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2A15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4603C22A">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6CC1A4B6">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确保文明施工的技术组织措施</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3659C261">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针对本工程特点，有现场文明施工计划，环境保护措施。各项措施周全、具体、有效。有具体实现现场文明施工目标的承诺得5分；针对本工程特点，有现场文明施工计划，环境保护措施的得3分；针对本工程特点，有现场文明施工计划，环境保护措施，但部分存在不足的得1分。不合格的或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10624EB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36EC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1A23647D">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19876E3C">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重点及保证措施</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5AEE74B5">
            <w:pPr>
              <w:adjustRightInd w:val="0"/>
              <w:snapToGrid w:val="0"/>
              <w:spacing w:line="5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根据供应商提供的重点及保证措施进行评审：</w:t>
            </w:r>
          </w:p>
          <w:p w14:paraId="131E9BB0">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针对本工程特点，列出本工程的重点，并且有具体的保证措施。各项措施周全、具体、有效，有针对性的得5分；针对本工程特点，列出本工程的重点，并且有具体的保证措施。各项措施内容清晰、完善的得3分；针对本工程特点，列出本工程的重点，并且有具体的保证措施，但缺项或关键点缺失或出现非专门针对本项目特性内容的得1分；不合格的或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18E3B45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6E8B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0CE2A189">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3EF5D72">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新技术、新工艺、新方法</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26D9862E">
            <w:pPr>
              <w:adjustRightInd w:val="0"/>
              <w:snapToGrid w:val="0"/>
              <w:spacing w:line="5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根据供应商提供的新技术、新工艺、新方法进行评审：</w:t>
            </w:r>
          </w:p>
          <w:p w14:paraId="0D94D43E">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针对本工程特点，能提出新技术、新工艺、新方法且合理有效、能节省资金且保证项目质量的得5分；针对本工程特点，能提出新技术、新工艺、新方法，内容清晰、完善的得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分；针对本工程特点，有一定的新技术、新工艺、新方法，但内容简单、有待完善的得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分；不合格的或未提供的不得分。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4A9155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66AA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7C50A017">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26D3C73D">
            <w:pPr>
              <w:adjustRightInd w:val="0"/>
              <w:snapToGrid w:val="0"/>
              <w:spacing w:line="560" w:lineRule="exact"/>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合理化建议</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144A91AE">
            <w:pPr>
              <w:adjustRightInd w:val="0"/>
              <w:snapToGrid w:val="0"/>
              <w:spacing w:line="5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针对本工程特点，列出对本工程的建议，建议科学合理并且有具体的保证措施。各项措施周全、具体、有效，有针对性的得5分；针对本工程特点，列出本工程的建议，建议合理并有具体的保证措施。各项措施内容清晰、完善的得3分；针对本工程特点，列出本工程的建议，建议并有具体的保证措施。但缺项或关键点缺失或出现非专门针对本项目特性内容的得1分。不合格的或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1F6140E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2DDF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356CEB22">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4E4620B">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缺陷期服务</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3E5E94E8">
            <w:pPr>
              <w:adjustRightInd w:val="0"/>
              <w:snapToGrid w:val="0"/>
              <w:spacing w:line="5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根据供应商提供的缺陷期服务进行评审：</w:t>
            </w:r>
          </w:p>
          <w:p w14:paraId="700E9D15">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有详细的施工缺陷责任期服务计划，包括但不限于维修、响应时间、人员安排等。各项服务周全、具体、有效的得5分；有详细的施工缺陷责任期服务计划，提供保障措施的得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分；有详细的施工缺陷责任期服务计划，但内容简单，部分内容缺项或关键点缺失的得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分；不合格的或未提供的不得分。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64209A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0F4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0ABB71DF">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7EA14C11">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应急预案及突发事件处理和投诉受理方案</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3EC429AB">
            <w:pPr>
              <w:adjustRightInd w:val="0"/>
              <w:snapToGrid w:val="0"/>
              <w:spacing w:line="5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各供应商提供的针对本项目实际情况制定的应急预案、针对恶劣天气、市民、市长热线投诉、媒体曝光等受理处置建立制度及相应措施进行评审，应急预案包括：应急服务保障措施、应急服务响应时间、应急设备车辆保障、重大或突发事件的人员配合、控制失误及其他相关服务等。</w:t>
            </w:r>
          </w:p>
          <w:p w14:paraId="4248D393">
            <w:pPr>
              <w:adjustRightInd w:val="0"/>
              <w:snapToGrid w:val="0"/>
              <w:spacing w:line="5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完善，应急响应时间安排合理，应急设备及应急服务人员配备充足，突发情况应急处理控制措施完整可行的得5分；应急响应时间安排合理，应急设备及应急服务人员配备可行，可以完成突发情况应急处理得3分；</w:t>
            </w:r>
          </w:p>
          <w:p w14:paraId="44BFDEC8">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方案简单，应急响应时间、应急设备及应急服务人员配备勉强满足项目需求且出现非专门针对本项目特性内容，方案有待改善的得1分；未提供不得分。</w:t>
            </w:r>
          </w:p>
        </w:tc>
        <w:tc>
          <w:tcPr>
            <w:tcW w:w="774" w:type="pct"/>
            <w:tcBorders>
              <w:top w:val="single" w:color="auto" w:sz="4" w:space="0"/>
              <w:left w:val="single" w:color="auto" w:sz="4" w:space="0"/>
              <w:bottom w:val="single" w:color="auto" w:sz="4" w:space="0"/>
              <w:right w:val="single" w:color="auto" w:sz="4" w:space="0"/>
            </w:tcBorders>
            <w:vAlign w:val="center"/>
          </w:tcPr>
          <w:p w14:paraId="48398E1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30E5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1EF604F1">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4CBC6F38">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资料的整理方案</w:t>
            </w:r>
          </w:p>
        </w:tc>
        <w:tc>
          <w:tcPr>
            <w:tcW w:w="2349" w:type="pct"/>
            <w:tcBorders>
              <w:top w:val="single" w:color="auto" w:sz="4" w:space="0"/>
              <w:left w:val="single" w:color="auto" w:sz="4" w:space="0"/>
              <w:bottom w:val="single" w:color="auto" w:sz="4" w:space="0"/>
              <w:right w:val="single" w:color="auto" w:sz="4" w:space="0"/>
            </w:tcBorders>
            <w:shd w:val="clear" w:color="auto" w:fill="auto"/>
            <w:vAlign w:val="center"/>
          </w:tcPr>
          <w:p w14:paraId="1D54B27C">
            <w:pPr>
              <w:adjustRightInd w:val="0"/>
              <w:snapToGrid w:val="0"/>
              <w:spacing w:line="5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根据各供应商提供的施工过程中现场资料留存，质保期内出现的管理资料收集整理方案等进行综合评审：</w:t>
            </w:r>
          </w:p>
          <w:p w14:paraId="431835A8">
            <w:pPr>
              <w:adjustRightInd w:val="0"/>
              <w:snapToGrid w:val="0"/>
              <w:spacing w:line="5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方案覆盖全面、要点突出，内容完整详实，表述清晰，本项目实际需求适应度相契合，利于项目实施的得5分；</w:t>
            </w:r>
          </w:p>
          <w:p w14:paraId="19643118">
            <w:pPr>
              <w:adjustRightInd w:val="0"/>
              <w:snapToGrid w:val="0"/>
              <w:spacing w:line="56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方案覆盖全面、要点明确，与本项目实际需求匹配，符合项目实施要求的得3分；方案覆盖不全，要点未突出、具体细节有待完善的得1分；未提供的不得分。</w:t>
            </w:r>
          </w:p>
        </w:tc>
        <w:tc>
          <w:tcPr>
            <w:tcW w:w="774" w:type="pct"/>
            <w:tcBorders>
              <w:top w:val="single" w:color="auto" w:sz="4" w:space="0"/>
              <w:left w:val="single" w:color="auto" w:sz="4" w:space="0"/>
              <w:bottom w:val="single" w:color="auto" w:sz="4" w:space="0"/>
              <w:right w:val="single" w:color="auto" w:sz="4" w:space="0"/>
            </w:tcBorders>
            <w:vAlign w:val="center"/>
          </w:tcPr>
          <w:p w14:paraId="7055BF1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505E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736ACA80">
            <w:pPr>
              <w:spacing w:line="360" w:lineRule="auto"/>
              <w:ind w:firstLine="435"/>
              <w:jc w:val="center"/>
              <w:rPr>
                <w:rFonts w:hint="eastAsia" w:ascii="宋体" w:hAnsi="宋体" w:eastAsia="宋体" w:cs="宋体"/>
                <w:b/>
                <w:bCs/>
                <w:color w:val="auto"/>
                <w:sz w:val="24"/>
                <w:szCs w:val="24"/>
                <w:highlight w:val="none"/>
              </w:rPr>
            </w:pPr>
          </w:p>
        </w:tc>
        <w:tc>
          <w:tcPr>
            <w:tcW w:w="4133" w:type="pct"/>
            <w:gridSpan w:val="3"/>
            <w:tcBorders>
              <w:top w:val="single" w:color="auto" w:sz="4" w:space="0"/>
              <w:left w:val="single" w:color="auto" w:sz="4" w:space="0"/>
              <w:bottom w:val="single" w:color="auto" w:sz="4" w:space="0"/>
              <w:right w:val="single" w:color="auto" w:sz="4" w:space="0"/>
            </w:tcBorders>
            <w:vAlign w:val="center"/>
          </w:tcPr>
          <w:p w14:paraId="555CA5B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资信部分</w:t>
            </w:r>
          </w:p>
        </w:tc>
      </w:tr>
      <w:tr w14:paraId="6D18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0134C759">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2C29B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业绩</w:t>
            </w:r>
          </w:p>
        </w:tc>
        <w:tc>
          <w:tcPr>
            <w:tcW w:w="2349" w:type="pct"/>
            <w:tcBorders>
              <w:top w:val="single" w:color="auto" w:sz="4" w:space="0"/>
              <w:left w:val="single" w:color="auto" w:sz="4" w:space="0"/>
              <w:bottom w:val="single" w:color="auto" w:sz="4" w:space="0"/>
              <w:right w:val="single" w:color="auto" w:sz="4" w:space="0"/>
            </w:tcBorders>
            <w:vAlign w:val="center"/>
          </w:tcPr>
          <w:p w14:paraId="021E4513">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自2021年</w:t>
            </w:r>
            <w:r>
              <w:rPr>
                <w:rFonts w:hint="eastAsia" w:cs="宋体"/>
                <w:bCs/>
                <w:color w:val="auto"/>
                <w:sz w:val="24"/>
                <w:szCs w:val="24"/>
                <w:highlight w:val="none"/>
                <w:lang w:val="en-US" w:eastAsia="zh-CN"/>
              </w:rPr>
              <w:t>7</w:t>
            </w:r>
            <w:r>
              <w:rPr>
                <w:rFonts w:hint="eastAsia" w:ascii="宋体" w:hAnsi="宋体" w:eastAsia="宋体" w:cs="宋体"/>
                <w:bCs/>
                <w:color w:val="auto"/>
                <w:sz w:val="24"/>
                <w:szCs w:val="24"/>
                <w:highlight w:val="none"/>
                <w:lang w:val="en-US" w:eastAsia="zh-CN"/>
              </w:rPr>
              <w:t>月1日至投标截止时间止，每提供1个工程施工业绩（且同时具有信号灯和高清电子警察施工内容的）得2分；其他的不得分，本条最高得4分。</w:t>
            </w:r>
          </w:p>
          <w:p w14:paraId="606B3AF5">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注：</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提供以下证明材料扫描件：合同关键页（包括但不限于封面页、内容页</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如合同中无法体现项目类型等内容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须另外提供</w:t>
            </w:r>
            <w:r>
              <w:rPr>
                <w:rFonts w:hint="eastAsia" w:ascii="宋体" w:hAnsi="宋体" w:eastAsia="宋体" w:cs="宋体"/>
                <w:bCs/>
                <w:color w:val="auto"/>
                <w:sz w:val="24"/>
                <w:szCs w:val="24"/>
                <w:highlight w:val="none"/>
              </w:rPr>
              <w:t>加盖业主单位公章的证明材料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业绩时间以</w:t>
            </w:r>
            <w:r>
              <w:rPr>
                <w:rFonts w:hint="eastAsia" w:ascii="宋体" w:hAnsi="宋体" w:eastAsia="宋体" w:cs="宋体"/>
                <w:bCs/>
                <w:color w:val="auto"/>
                <w:sz w:val="24"/>
                <w:szCs w:val="24"/>
                <w:highlight w:val="none"/>
                <w:lang w:eastAsia="zh-CN"/>
              </w:rPr>
              <w:t>合同签订时间为准。</w:t>
            </w:r>
          </w:p>
          <w:p w14:paraId="0788E13F">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）提供的项目业绩只计算评标分值对应的项目数量（</w:t>
            </w:r>
            <w:r>
              <w:rPr>
                <w:rFonts w:hint="eastAsia" w:ascii="宋体" w:hAnsi="宋体" w:eastAsia="宋体" w:cs="宋体"/>
                <w:bCs/>
                <w:color w:val="auto"/>
                <w:sz w:val="24"/>
                <w:szCs w:val="24"/>
                <w:highlight w:val="none"/>
                <w:lang w:val="en-US" w:eastAsia="zh-CN"/>
              </w:rPr>
              <w:t>2个</w:t>
            </w:r>
            <w:r>
              <w:rPr>
                <w:rFonts w:hint="eastAsia" w:ascii="宋体" w:hAnsi="宋体" w:eastAsia="宋体" w:cs="宋体"/>
                <w:bCs/>
                <w:color w:val="auto"/>
                <w:sz w:val="24"/>
                <w:szCs w:val="24"/>
                <w:highlight w:val="none"/>
                <w:lang w:eastAsia="zh-CN"/>
              </w:rPr>
              <w:t>），按照排列顺序从首个业绩开始评审至对应数量（2个），超出部分不进行评审。对应数量（2个）内业绩不符合磋商文件要求不得分的，不再补充评审超出部分业绩。如：提供</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个业绩即得满分的，按照响应文件排序评审第一、</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项业绩，其余超出部分不再评审。</w:t>
            </w:r>
          </w:p>
        </w:tc>
        <w:tc>
          <w:tcPr>
            <w:tcW w:w="774" w:type="pct"/>
            <w:tcBorders>
              <w:top w:val="single" w:color="auto" w:sz="4" w:space="0"/>
              <w:left w:val="single" w:color="auto" w:sz="4" w:space="0"/>
              <w:bottom w:val="single" w:color="auto" w:sz="4" w:space="0"/>
              <w:right w:val="single" w:color="auto" w:sz="4" w:space="0"/>
            </w:tcBorders>
            <w:vAlign w:val="center"/>
          </w:tcPr>
          <w:p w14:paraId="6BDF33D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163D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1101A2FA">
            <w:pPr>
              <w:spacing w:line="360" w:lineRule="auto"/>
              <w:ind w:firstLine="435"/>
              <w:jc w:val="center"/>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507B43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人员配备</w:t>
            </w:r>
          </w:p>
        </w:tc>
        <w:tc>
          <w:tcPr>
            <w:tcW w:w="2349" w:type="pct"/>
            <w:tcBorders>
              <w:top w:val="single" w:color="auto" w:sz="4" w:space="0"/>
              <w:left w:val="single" w:color="auto" w:sz="4" w:space="0"/>
              <w:bottom w:val="single" w:color="auto" w:sz="4" w:space="0"/>
              <w:right w:val="single" w:color="auto" w:sz="4" w:space="0"/>
            </w:tcBorders>
            <w:vAlign w:val="top"/>
          </w:tcPr>
          <w:p w14:paraId="338EB2D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供应商拟派项目技术负责人（不可与项目负责人为同一人）具有</w:t>
            </w:r>
            <w:r>
              <w:rPr>
                <w:rFonts w:hint="eastAsia" w:ascii="宋体" w:hAnsi="宋体"/>
                <w:color w:val="auto"/>
                <w:sz w:val="24"/>
                <w:highlight w:val="none"/>
              </w:rPr>
              <w:t>市政公用工程（或机电工程）相关专业高级（或以上）职称证书的得1分；其他的不得分，本条最高得1分。</w:t>
            </w:r>
          </w:p>
          <w:p w14:paraId="248A08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注：响应文件中提供有效的职称证书和持有社保部门出具的本单位为其缴纳的投标前近三个月内任意一月的社保证明或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提供承诺已为其缴纳社保的承诺书（格式自拟）。</w:t>
            </w:r>
          </w:p>
        </w:tc>
        <w:tc>
          <w:tcPr>
            <w:tcW w:w="774" w:type="pct"/>
            <w:tcBorders>
              <w:top w:val="single" w:color="auto" w:sz="4" w:space="0"/>
              <w:left w:val="single" w:color="auto" w:sz="4" w:space="0"/>
              <w:bottom w:val="single" w:color="auto" w:sz="4" w:space="0"/>
              <w:right w:val="single" w:color="auto" w:sz="4" w:space="0"/>
            </w:tcBorders>
            <w:vAlign w:val="center"/>
          </w:tcPr>
          <w:p w14:paraId="3AEBF84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tcBorders>
              <w:left w:val="single" w:color="auto" w:sz="4" w:space="0"/>
              <w:right w:val="single" w:color="auto" w:sz="4" w:space="0"/>
            </w:tcBorders>
            <w:vAlign w:val="center"/>
          </w:tcPr>
          <w:p w14:paraId="5CDC8C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3DC3A02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c>
          <w:tcPr>
            <w:tcW w:w="4133"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价格分统一采用低价优先法，即满足磋商文件要求且最后报价最低的供应商的价格（如有扣除为扣除后价格）为磋商基准价，其价格分为满分</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分。其他供应商的价格分统一按照下列公式计算：</w:t>
            </w:r>
          </w:p>
          <w:p w14:paraId="3A14FEF6">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磋商报价得分＝（磋商基准价/最后磋商报价（如有扣除为扣除后价格））×</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％×100</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D3116F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r>
        <w:rPr>
          <w:rFonts w:hint="eastAsia" w:asciiTheme="minorEastAsia" w:hAnsiTheme="minorEastAsia" w:eastAsiaTheme="minorEastAsia"/>
          <w:color w:val="auto"/>
          <w:sz w:val="24"/>
          <w:highlight w:val="none"/>
          <w:lang w:eastAsia="zh-CN"/>
        </w:rPr>
        <w:t>。</w:t>
      </w:r>
    </w:p>
    <w:p w14:paraId="03F70957">
      <w:pPr>
        <w:spacing w:line="360" w:lineRule="auto"/>
        <w:ind w:firstLine="435"/>
        <w:rPr>
          <w:rFonts w:hint="eastAsia" w:ascii="宋体" w:hAnsi="宋体" w:eastAsia="宋体" w:cs="Times New Roman"/>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三、无效响应条款</w:t>
      </w:r>
    </w:p>
    <w:p w14:paraId="59671F6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3.1响应文件有下列情形之一的,其响应文件拒收:</w:t>
      </w:r>
    </w:p>
    <w:p w14:paraId="3845958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(1)未在响应文件递交截止时间前通过网上招标投标系统递交有效电子响应文件的，系统不予接收，其将被拒绝。</w:t>
      </w:r>
    </w:p>
    <w:p w14:paraId="6C17D14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3687B91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3.2供应商有下列情形之一的,资格审查后其作无效响应处理：</w:t>
      </w:r>
    </w:p>
    <w:p w14:paraId="2286D83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（1）供应商为本项目提供采购代理服务的；</w:t>
      </w:r>
    </w:p>
    <w:p w14:paraId="4B078FA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（2）供应商与在本项目代理机构存在相互任职或工作的；</w:t>
      </w:r>
    </w:p>
    <w:p w14:paraId="3024EA4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（3）与采购人存在利害关系可能影响采购公正性的法人、其他组织或者个人；</w:t>
      </w:r>
    </w:p>
    <w:p w14:paraId="5964A4E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（4）竞争性谈判公告写明专门面向中小企业采购，供应商提供的货物非中小企业制造的；</w:t>
      </w:r>
    </w:p>
    <w:p w14:paraId="1856EDF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（5）要求供应商以联合体形式参加采购活动，供应商非联合体或者联合协议中中小企业合同金额未达到应当达到的比例；</w:t>
      </w:r>
    </w:p>
    <w:p w14:paraId="1F8C990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（6）要求获得采购合同的供应商向中小企业分包，供应商未提供分包意向协议或者分包意向协议中中小企业合同金额未达到应当达到的比例；</w:t>
      </w:r>
    </w:p>
    <w:p w14:paraId="187A873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（7）无法查看并检验电子响应文件中相关资料的；</w:t>
      </w:r>
    </w:p>
    <w:p w14:paraId="261AE39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（8）联合体参与未提交联合体协议的；</w:t>
      </w:r>
    </w:p>
    <w:p w14:paraId="1CBF62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（9）责令停产停业的；</w:t>
      </w:r>
    </w:p>
    <w:p w14:paraId="16039E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（10）暂停或者取消参与政府采购项目资格的；</w:t>
      </w:r>
    </w:p>
    <w:p w14:paraId="46CC8AB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（11）单位负责人为同一人或者存在直接控股、管理关系的不同单位的；</w:t>
      </w:r>
    </w:p>
    <w:p w14:paraId="7B1479D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（12）供应商基本资格条件和特定资格条件中有一项及以上不符合要求的；</w:t>
      </w:r>
    </w:p>
    <w:p w14:paraId="4D6D5B2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13）谈判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754F0F6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（14）其它情形按无效响应处理，并经公共资源交易监督部门核准的；</w:t>
      </w:r>
    </w:p>
    <w:p w14:paraId="22B2806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（15）供应商响应MAC地址</w:t>
      </w:r>
      <w:r>
        <w:rPr>
          <w:rFonts w:hint="eastAsia" w:cs="宋体"/>
          <w:color w:val="auto"/>
          <w:kern w:val="0"/>
          <w:sz w:val="24"/>
          <w:szCs w:val="24"/>
          <w:highlight w:val="none"/>
          <w:lang w:val="en-US" w:eastAsia="zh-CN" w:bidi="ar"/>
        </w:rPr>
        <w:t>一致，</w:t>
      </w:r>
      <w:r>
        <w:rPr>
          <w:rFonts w:hint="eastAsia" w:ascii="宋体" w:hAnsi="宋体" w:eastAsia="宋体" w:cs="宋体"/>
          <w:color w:val="auto"/>
          <w:kern w:val="0"/>
          <w:sz w:val="24"/>
          <w:szCs w:val="24"/>
          <w:highlight w:val="none"/>
          <w:lang w:val="en-US" w:eastAsia="zh-CN" w:bidi="ar"/>
        </w:rPr>
        <w:t>由磋商小组否决其响应</w:t>
      </w:r>
      <w:r>
        <w:rPr>
          <w:rFonts w:hint="eastAsia" w:cs="宋体"/>
          <w:color w:val="auto"/>
          <w:kern w:val="0"/>
          <w:sz w:val="24"/>
          <w:szCs w:val="24"/>
          <w:highlight w:val="none"/>
          <w:lang w:val="en-US" w:eastAsia="zh-CN" w:bidi="ar"/>
        </w:rPr>
        <w:t>资格</w:t>
      </w:r>
      <w:r>
        <w:rPr>
          <w:rFonts w:hint="eastAsia" w:ascii="宋体" w:hAnsi="宋体" w:eastAsia="宋体" w:cs="宋体"/>
          <w:color w:val="auto"/>
          <w:kern w:val="0"/>
          <w:sz w:val="24"/>
          <w:szCs w:val="24"/>
          <w:highlight w:val="none"/>
          <w:lang w:val="en-US" w:eastAsia="zh-CN" w:bidi="ar"/>
        </w:rPr>
        <w:t>；</w:t>
      </w:r>
    </w:p>
    <w:p w14:paraId="0D0D802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（16）供应商单方面出现其他供应商材料的</w:t>
      </w:r>
      <w:r>
        <w:rPr>
          <w:rFonts w:hint="eastAsia" w:ascii="宋体" w:hAnsi="宋体" w:eastAsia="宋体" w:cs="宋体"/>
          <w:b w:val="0"/>
          <w:bCs/>
          <w:color w:val="auto"/>
          <w:kern w:val="2"/>
          <w:sz w:val="24"/>
          <w:szCs w:val="24"/>
          <w:highlight w:val="none"/>
          <w:lang w:val="en-US" w:eastAsia="zh-CN" w:bidi="ar"/>
        </w:rPr>
        <w:t>（组成联合体响应的除外）</w:t>
      </w:r>
      <w:r>
        <w:rPr>
          <w:rFonts w:hint="eastAsia" w:ascii="宋体" w:hAnsi="宋体" w:eastAsia="宋体" w:cs="宋体"/>
          <w:color w:val="auto"/>
          <w:kern w:val="0"/>
          <w:sz w:val="24"/>
          <w:szCs w:val="24"/>
          <w:highlight w:val="none"/>
          <w:lang w:val="en-US" w:eastAsia="zh-CN" w:bidi="ar"/>
        </w:rPr>
        <w:t>；</w:t>
      </w:r>
    </w:p>
    <w:p w14:paraId="74DDFB6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w:t>
      </w:r>
      <w:r>
        <w:rPr>
          <w:rFonts w:hint="eastAsia"/>
          <w:b w:val="0"/>
          <w:color w:val="auto"/>
          <w:sz w:val="24"/>
          <w:highlight w:val="none"/>
          <w:lang w:val="en-US" w:eastAsia="zh-CN"/>
        </w:rPr>
        <w:t>供应商联系人或联系电话相同的，由磋商小组否决其响应资格，并报告监管部门作不良行为处理和进一步调查；</w:t>
      </w:r>
    </w:p>
    <w:p w14:paraId="04B476F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（18）竞争性</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公告未写明允许采购进口产品，供应商所投产品为进口产品的；</w:t>
      </w:r>
    </w:p>
    <w:p w14:paraId="1A123EB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）磋商文件规定的其它无效情形。</w:t>
      </w:r>
    </w:p>
    <w:p w14:paraId="5AF49B5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3.3 供应商有下列情形之一的,符合性审查后其按无效响应处理：</w:t>
      </w:r>
    </w:p>
    <w:p w14:paraId="51DCC7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（1）响应文件签章不全，经磋商小组一致认定对响应内容有实质性影响并经公共资源交易监督部门核准的；</w:t>
      </w:r>
    </w:p>
    <w:p w14:paraId="0DDC93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（2）未按规定的格式填写导致实质性内容不全以及实质上不响应，或者关键字迹模糊、无法辨认；经公共资源交易监督部门核准的；</w:t>
      </w:r>
    </w:p>
    <w:p w14:paraId="15AE1A0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（3）同一供应商提交两个或以上不同的响应文件或者报价，但磋商文件规定提交备选方案的除外；</w:t>
      </w:r>
    </w:p>
    <w:p w14:paraId="287F057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（4）响应文件没有对磋商文件的实质性要求和条件作出响应；</w:t>
      </w:r>
    </w:p>
    <w:p w14:paraId="5F0CF64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（5）报价超出规定的最高限价或公布的采购预算的或供应商的报价各项单价高于磋商文件给定的单价最高限价；</w:t>
      </w:r>
    </w:p>
    <w:p w14:paraId="29FC50E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（6）不按磋商小组要求澄清、说明或补正的，或者磋商小组根据磋商文件的规定对响应文件的计算错误进行修正后，供应商不接受修正的报价的。</w:t>
      </w:r>
    </w:p>
    <w:p w14:paraId="5A34820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（7）其它情形，经磋商小组提出按无效响应处理，并经公共资源交易监督部门核准的；</w:t>
      </w:r>
    </w:p>
    <w:p w14:paraId="6D9AA3B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（8）响应文件含有采购人不能接受的附加条件的；</w:t>
      </w:r>
    </w:p>
    <w:p w14:paraId="75660A8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（9）磋商文件规定的其它无效响应情形。</w:t>
      </w:r>
    </w:p>
    <w:p w14:paraId="6F37D2E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3.4 供应商有下列情形之一的, 详细评审后其按无效响应处理：</w:t>
      </w:r>
    </w:p>
    <w:p w14:paraId="3EE63A4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（1）产品不符合必须强制执行的国家标准的；</w:t>
      </w:r>
    </w:p>
    <w:p w14:paraId="21FAB8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（2）供应商有串通、弄虚作假、行贿等违法行为；</w:t>
      </w:r>
    </w:p>
    <w:p w14:paraId="64FAA66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（3）响应文件含有违反国家法律、法规的内容，或附有采购人不能接受的条件的；</w:t>
      </w:r>
    </w:p>
    <w:p w14:paraId="13E4AD1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）拒不确认磋商小组评审修正的响应无效；</w:t>
      </w:r>
    </w:p>
    <w:p w14:paraId="283C09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）其它情形，经磋商小组提出按无效响应处理，并经公共资源交易监督部门核准的；</w:t>
      </w:r>
    </w:p>
    <w:p w14:paraId="27619A9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磋商文件</w:t>
      </w:r>
      <w:r>
        <w:rPr>
          <w:rFonts w:hint="eastAsia" w:ascii="宋体" w:hAnsi="宋体" w:eastAsia="宋体" w:cs="宋体"/>
          <w:color w:val="auto"/>
          <w:kern w:val="0"/>
          <w:sz w:val="24"/>
          <w:szCs w:val="24"/>
          <w:highlight w:val="none"/>
          <w:lang w:val="en-US" w:eastAsia="zh-CN" w:bidi="ar"/>
        </w:rPr>
        <w:t>规定的其它无效响应情形。</w:t>
      </w:r>
    </w:p>
    <w:p w14:paraId="276597EF">
      <w:pPr>
        <w:widowControl/>
        <w:jc w:val="left"/>
        <w:rPr>
          <w:rFonts w:asciiTheme="minorEastAsia" w:hAnsiTheme="minorEastAsia" w:eastAsiaTheme="minorEastAsia"/>
          <w:color w:val="auto"/>
          <w:sz w:val="24"/>
          <w:highlight w:val="none"/>
        </w:rPr>
      </w:pPr>
    </w:p>
    <w:p w14:paraId="662F48F4">
      <w:pPr>
        <w:rPr>
          <w:rFonts w:hint="eastAsia" w:asciiTheme="minorEastAsia" w:hAnsiTheme="minorEastAsia" w:eastAsiaTheme="minorEastAsia"/>
          <w:b/>
          <w:color w:val="auto"/>
          <w:sz w:val="28"/>
          <w:highlight w:val="none"/>
        </w:rPr>
      </w:pPr>
      <w:bookmarkStart w:id="33" w:name="_Toc31277"/>
      <w:r>
        <w:rPr>
          <w:rFonts w:hint="eastAsia" w:asciiTheme="minorEastAsia" w:hAnsiTheme="minorEastAsia" w:eastAsiaTheme="minorEastAsia"/>
          <w:b/>
          <w:color w:val="auto"/>
          <w:sz w:val="28"/>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3"/>
    </w:p>
    <w:p w14:paraId="49F3A8B4">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34" w:name="_Toc28799376"/>
      <w:bookmarkStart w:id="35" w:name="_Toc9907"/>
      <w:bookmarkStart w:id="36" w:name="_Toc130919120"/>
      <w:r>
        <w:rPr>
          <w:rFonts w:hint="eastAsia" w:cs="宋体"/>
          <w:b/>
          <w:bCs/>
          <w:color w:val="auto"/>
          <w:sz w:val="21"/>
          <w:szCs w:val="21"/>
          <w:highlight w:val="none"/>
        </w:rPr>
        <w:t>第一节  合同协议书</w:t>
      </w:r>
      <w:bookmarkEnd w:id="34"/>
      <w:bookmarkEnd w:id="35"/>
      <w:bookmarkEnd w:id="36"/>
    </w:p>
    <w:p w14:paraId="5E320625">
      <w:pPr>
        <w:spacing w:line="360" w:lineRule="auto"/>
        <w:rPr>
          <w:rFonts w:hint="default" w:eastAsia="宋体" w:cs="宋体"/>
          <w:b/>
          <w:color w:val="auto"/>
          <w:sz w:val="24"/>
          <w:szCs w:val="24"/>
          <w:highlight w:val="none"/>
          <w:u w:val="single"/>
          <w:lang w:val="en-US" w:eastAsia="zh-CN"/>
        </w:rPr>
      </w:pPr>
      <w:r>
        <w:rPr>
          <w:rFonts w:hint="eastAsia" w:cs="宋体"/>
          <w:b/>
          <w:color w:val="auto"/>
          <w:sz w:val="24"/>
          <w:szCs w:val="24"/>
          <w:highlight w:val="none"/>
        </w:rPr>
        <w:t>发包人（全称）：</w:t>
      </w:r>
      <w:r>
        <w:rPr>
          <w:rFonts w:hint="eastAsia" w:cs="宋体"/>
          <w:b/>
          <w:color w:val="auto"/>
          <w:sz w:val="24"/>
          <w:szCs w:val="24"/>
          <w:highlight w:val="none"/>
          <w:u w:val="single"/>
          <w:lang w:val="en-US" w:eastAsia="zh-CN"/>
        </w:rPr>
        <w:t>滁州市重点工程建设管理处</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lang w:val="en-US" w:eastAsia="zh-CN"/>
        </w:rPr>
        <w:t xml:space="preserve"> 2026年道路交通安全整治提升工程（一批次）</w:t>
      </w:r>
      <w:r>
        <w:rPr>
          <w:rFonts w:hint="eastAsia" w:cs="宋体"/>
          <w:color w:val="auto"/>
          <w:sz w:val="21"/>
          <w:szCs w:val="21"/>
          <w:highlight w:val="none"/>
        </w:rPr>
        <w:t>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lang w:val="en-US" w:eastAsia="zh-CN"/>
        </w:rPr>
        <w:t xml:space="preserve"> 2026年道路交通安全整治提升工程（一批次）</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lang w:val="en-US" w:eastAsia="zh-CN"/>
        </w:rPr>
        <w:t>滁州市内，采购人指定地点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滁发改审批【2026】</w:t>
      </w:r>
      <w:r>
        <w:rPr>
          <w:rFonts w:hint="eastAsia" w:cs="宋体"/>
          <w:color w:val="auto"/>
          <w:sz w:val="21"/>
          <w:szCs w:val="21"/>
          <w:highlight w:val="none"/>
          <w:u w:val="single"/>
          <w:lang w:val="en-US" w:eastAsia="zh-CN"/>
        </w:rPr>
        <w:t>39</w:t>
      </w:r>
      <w:r>
        <w:rPr>
          <w:rFonts w:hint="eastAsia" w:cs="宋体"/>
          <w:color w:val="auto"/>
          <w:sz w:val="21"/>
          <w:szCs w:val="21"/>
          <w:highlight w:val="none"/>
          <w:u w:val="single"/>
        </w:rPr>
        <w:t xml:space="preserve">号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lang w:val="en-US" w:eastAsia="zh-CN"/>
        </w:rPr>
        <w:t>财政资金</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w:t>
      </w:r>
      <w:r>
        <w:rPr>
          <w:rFonts w:hint="eastAsia" w:ascii="宋体" w:cs="宋体"/>
          <w:color w:val="auto"/>
          <w:sz w:val="21"/>
          <w:szCs w:val="21"/>
          <w:highlight w:val="none"/>
          <w:u w:val="single"/>
        </w:rPr>
        <w:t>以施工图纸及工程量清单内容为准</w:t>
      </w:r>
      <w:r>
        <w:rPr>
          <w:rFonts w:hint="eastAsia" w:cs="宋体"/>
          <w:color w:val="auto"/>
          <w:sz w:val="21"/>
          <w:szCs w:val="21"/>
          <w:highlight w:val="none"/>
          <w:u w:val="single"/>
        </w:rPr>
        <w:t xml:space="preserve"> </w:t>
      </w:r>
      <w:r>
        <w:rPr>
          <w:rFonts w:hint="eastAsia" w:cs="宋体"/>
          <w:bCs/>
          <w:color w:val="auto"/>
          <w:sz w:val="21"/>
          <w:szCs w:val="21"/>
          <w:highlight w:val="none"/>
        </w:rPr>
        <w:t>。</w:t>
      </w:r>
    </w:p>
    <w:p w14:paraId="2BA699E4">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0068FF6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32C3B2CC">
      <w:pPr>
        <w:snapToGrid w:val="0"/>
        <w:spacing w:line="360" w:lineRule="auto"/>
        <w:ind w:firstLine="407" w:firstLineChars="193"/>
        <w:rPr>
          <w:rFonts w:cs="宋体"/>
          <w:color w:val="auto"/>
          <w:sz w:val="21"/>
          <w:szCs w:val="21"/>
          <w:highlight w:val="none"/>
        </w:rPr>
      </w:pPr>
      <w:r>
        <w:rPr>
          <w:rFonts w:hint="eastAsia" w:ascii="宋体" w:hAnsi="宋体" w:cs="宋体"/>
          <w:b/>
          <w:bCs/>
          <w:color w:val="auto"/>
          <w:sz w:val="21"/>
          <w:szCs w:val="21"/>
          <w:highlight w:val="none"/>
          <w:u w:val="single"/>
        </w:rPr>
        <w:t>施工图纸和工程量清单载明的施工内容及施工过程中的变更调整内容（如施工图纸和工程量清单不一致，由</w:t>
      </w:r>
      <w:r>
        <w:rPr>
          <w:rFonts w:hint="eastAsia" w:ascii="宋体" w:hAnsi="宋体" w:cs="宋体"/>
          <w:b/>
          <w:bCs/>
          <w:color w:val="auto"/>
          <w:sz w:val="21"/>
          <w:szCs w:val="21"/>
          <w:highlight w:val="none"/>
          <w:u w:val="single"/>
          <w:lang w:eastAsia="zh-CN"/>
        </w:rPr>
        <w:t>采购人</w:t>
      </w:r>
      <w:r>
        <w:rPr>
          <w:rFonts w:hint="eastAsia" w:ascii="宋体" w:hAnsi="宋体" w:cs="宋体"/>
          <w:b/>
          <w:bCs/>
          <w:color w:val="auto"/>
          <w:sz w:val="21"/>
          <w:szCs w:val="21"/>
          <w:highlight w:val="none"/>
          <w:u w:val="single"/>
        </w:rPr>
        <w:t>负责解释</w:t>
      </w:r>
      <w:r>
        <w:rPr>
          <w:rFonts w:hint="eastAsia" w:ascii="宋体" w:hAnsi="宋体" w:cs="宋体"/>
          <w:color w:val="auto"/>
          <w:sz w:val="21"/>
          <w:szCs w:val="21"/>
          <w:highlight w:val="none"/>
          <w:u w:val="single"/>
        </w:rPr>
        <w:t>）</w:t>
      </w:r>
      <w:r>
        <w:rPr>
          <w:rFonts w:hint="eastAsia" w:cs="宋体"/>
          <w:color w:val="auto"/>
          <w:sz w:val="21"/>
          <w:szCs w:val="21"/>
          <w:highlight w:val="none"/>
          <w:u w:val="single"/>
        </w:rPr>
        <w:t></w:t>
      </w:r>
      <w:r>
        <w:rPr>
          <w:rFonts w:hint="eastAsia" w:cs="宋体"/>
          <w:color w:val="auto"/>
          <w:sz w:val="21"/>
          <w:szCs w:val="21"/>
          <w:highlight w:val="none"/>
        </w:rPr>
        <w:t>。</w:t>
      </w:r>
    </w:p>
    <w:p w14:paraId="53E3F618">
      <w:pPr>
        <w:snapToGrid w:val="0"/>
        <w:spacing w:line="360" w:lineRule="auto"/>
        <w:ind w:firstLine="422" w:firstLineChars="200"/>
        <w:rPr>
          <w:rFonts w:cs="宋体"/>
          <w:b/>
          <w:color w:val="auto"/>
          <w:sz w:val="21"/>
          <w:szCs w:val="21"/>
          <w:highlight w:val="none"/>
        </w:rPr>
      </w:pPr>
      <w:bookmarkStart w:id="37" w:name="_Toc351203482"/>
      <w:r>
        <w:rPr>
          <w:rFonts w:hint="eastAsia" w:cs="宋体"/>
          <w:b/>
          <w:color w:val="auto"/>
          <w:sz w:val="21"/>
          <w:szCs w:val="21"/>
          <w:highlight w:val="none"/>
        </w:rPr>
        <w:t>二、合同工期</w:t>
      </w:r>
      <w:bookmarkEnd w:id="37"/>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工期总日历天数：具备施工条件后</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个日历天内完成并验收合格。工期总日历天数与根据前述计划开竣工日期计算的工期天数不一致的，以工期总日历天数为准。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38" w:name="_Toc351203483"/>
      <w:r>
        <w:rPr>
          <w:rFonts w:hint="eastAsia" w:cs="宋体"/>
          <w:b/>
          <w:color w:val="auto"/>
          <w:sz w:val="21"/>
          <w:szCs w:val="21"/>
          <w:highlight w:val="none"/>
        </w:rPr>
        <w:t>三、质量标准</w:t>
      </w:r>
      <w:bookmarkEnd w:id="38"/>
    </w:p>
    <w:p w14:paraId="4FEA0B68">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0C75C531">
      <w:pPr>
        <w:snapToGrid w:val="0"/>
        <w:spacing w:line="360" w:lineRule="auto"/>
        <w:ind w:firstLine="422" w:firstLineChars="200"/>
        <w:rPr>
          <w:rFonts w:cs="宋体"/>
          <w:b/>
          <w:color w:val="auto"/>
          <w:sz w:val="21"/>
          <w:szCs w:val="21"/>
          <w:highlight w:val="none"/>
        </w:rPr>
      </w:pPr>
      <w:bookmarkStart w:id="39" w:name="_Toc351203484"/>
      <w:r>
        <w:rPr>
          <w:rFonts w:hint="eastAsia" w:cs="宋体"/>
          <w:b/>
          <w:color w:val="auto"/>
          <w:sz w:val="21"/>
          <w:szCs w:val="21"/>
          <w:highlight w:val="none"/>
        </w:rPr>
        <w:t>四、签约合同价与合同价格形式</w:t>
      </w:r>
      <w:bookmarkEnd w:id="39"/>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5E0595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6A1C6D5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（1）安全文明施工费：</w:t>
      </w:r>
    </w:p>
    <w:p w14:paraId="097C8F65">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10434C5">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（2）材料和工程设备暂估价金额：</w:t>
      </w:r>
    </w:p>
    <w:p w14:paraId="274819E3">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157C4F6">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（3）专业工程暂估价金额：</w:t>
      </w:r>
    </w:p>
    <w:p w14:paraId="4BCBC09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1330170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（4）暂列金额：</w:t>
      </w:r>
    </w:p>
    <w:p w14:paraId="5E4F407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 xml:space="preserve">单价合同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D9B6F7">
      <w:pPr>
        <w:snapToGrid w:val="0"/>
        <w:spacing w:line="360" w:lineRule="auto"/>
        <w:ind w:firstLine="422" w:firstLineChars="200"/>
        <w:rPr>
          <w:rFonts w:cs="宋体"/>
          <w:b/>
          <w:color w:val="auto"/>
          <w:sz w:val="21"/>
          <w:szCs w:val="21"/>
          <w:highlight w:val="none"/>
        </w:rPr>
      </w:pPr>
      <w:bookmarkStart w:id="40" w:name="_Toc351203485"/>
      <w:r>
        <w:rPr>
          <w:rFonts w:hint="eastAsia" w:cs="宋体"/>
          <w:b/>
          <w:color w:val="auto"/>
          <w:sz w:val="21"/>
          <w:szCs w:val="21"/>
          <w:highlight w:val="none"/>
        </w:rPr>
        <w:t>五、</w:t>
      </w:r>
      <w:bookmarkEnd w:id="40"/>
      <w:r>
        <w:rPr>
          <w:rFonts w:hint="eastAsia" w:cs="宋体"/>
          <w:b/>
          <w:color w:val="auto"/>
          <w:sz w:val="21"/>
          <w:szCs w:val="21"/>
          <w:highlight w:val="none"/>
        </w:rPr>
        <w:t>项目经理</w:t>
      </w:r>
    </w:p>
    <w:p w14:paraId="2A709A0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2B30C429">
      <w:pPr>
        <w:snapToGrid w:val="0"/>
        <w:spacing w:line="360" w:lineRule="auto"/>
        <w:ind w:firstLine="422" w:firstLineChars="200"/>
        <w:rPr>
          <w:rFonts w:cs="宋体"/>
          <w:b/>
          <w:color w:val="auto"/>
          <w:sz w:val="21"/>
          <w:szCs w:val="21"/>
          <w:highlight w:val="none"/>
        </w:rPr>
      </w:pPr>
      <w:bookmarkStart w:id="41" w:name="_Toc351203486"/>
      <w:r>
        <w:rPr>
          <w:rFonts w:hint="eastAsia" w:cs="宋体"/>
          <w:b/>
          <w:color w:val="auto"/>
          <w:sz w:val="21"/>
          <w:szCs w:val="21"/>
          <w:highlight w:val="none"/>
        </w:rPr>
        <w:t>六、合同文件构成</w:t>
      </w:r>
      <w:bookmarkEnd w:id="41"/>
    </w:p>
    <w:p w14:paraId="38F8F55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6893480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63599AB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68DB866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1C29D6C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1D2C807D">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3286428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06A70FB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5CA2903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22" w:firstLineChars="200"/>
        <w:rPr>
          <w:rFonts w:cs="宋体"/>
          <w:b/>
          <w:color w:val="auto"/>
          <w:sz w:val="21"/>
          <w:szCs w:val="21"/>
          <w:highlight w:val="none"/>
        </w:rPr>
      </w:pPr>
      <w:bookmarkStart w:id="42" w:name="_Toc351203487"/>
      <w:r>
        <w:rPr>
          <w:rFonts w:hint="eastAsia" w:cs="宋体"/>
          <w:b/>
          <w:color w:val="auto"/>
          <w:sz w:val="21"/>
          <w:szCs w:val="21"/>
          <w:highlight w:val="none"/>
        </w:rPr>
        <w:t>七、承诺</w:t>
      </w:r>
      <w:bookmarkEnd w:id="42"/>
    </w:p>
    <w:p w14:paraId="3C0684C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2D79D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36089B8A">
      <w:pPr>
        <w:snapToGrid w:val="0"/>
        <w:spacing w:line="360" w:lineRule="auto"/>
        <w:ind w:firstLine="422" w:firstLineChars="200"/>
        <w:rPr>
          <w:rFonts w:cs="宋体"/>
          <w:b/>
          <w:color w:val="auto"/>
          <w:sz w:val="21"/>
          <w:szCs w:val="21"/>
          <w:highlight w:val="none"/>
        </w:rPr>
      </w:pPr>
      <w:bookmarkStart w:id="43" w:name="_Toc351203488"/>
      <w:r>
        <w:rPr>
          <w:rFonts w:hint="eastAsia" w:cs="宋体"/>
          <w:b/>
          <w:color w:val="auto"/>
          <w:sz w:val="21"/>
          <w:szCs w:val="21"/>
          <w:highlight w:val="none"/>
        </w:rPr>
        <w:t>八、词语含义</w:t>
      </w:r>
      <w:bookmarkEnd w:id="43"/>
    </w:p>
    <w:p w14:paraId="078D4EE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4BA85040">
      <w:pPr>
        <w:snapToGrid w:val="0"/>
        <w:spacing w:line="360" w:lineRule="auto"/>
        <w:ind w:firstLine="422" w:firstLineChars="200"/>
        <w:rPr>
          <w:rFonts w:cs="宋体"/>
          <w:b/>
          <w:color w:val="auto"/>
          <w:sz w:val="21"/>
          <w:szCs w:val="21"/>
          <w:highlight w:val="none"/>
        </w:rPr>
      </w:pPr>
      <w:bookmarkStart w:id="44" w:name="_Toc351203489"/>
      <w:r>
        <w:rPr>
          <w:rFonts w:hint="eastAsia" w:cs="宋体"/>
          <w:b/>
          <w:color w:val="auto"/>
          <w:sz w:val="21"/>
          <w:szCs w:val="21"/>
          <w:highlight w:val="none"/>
        </w:rPr>
        <w:t>九、签订时间</w:t>
      </w:r>
      <w:bookmarkEnd w:id="44"/>
    </w:p>
    <w:p w14:paraId="1BBA3B2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2026</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FA9ECD4">
      <w:pPr>
        <w:snapToGrid w:val="0"/>
        <w:spacing w:line="360" w:lineRule="auto"/>
        <w:ind w:firstLine="422" w:firstLineChars="200"/>
        <w:rPr>
          <w:rFonts w:cs="宋体"/>
          <w:b/>
          <w:color w:val="auto"/>
          <w:sz w:val="21"/>
          <w:szCs w:val="21"/>
          <w:highlight w:val="none"/>
        </w:rPr>
      </w:pPr>
      <w:bookmarkStart w:id="45" w:name="_Toc351203490"/>
      <w:r>
        <w:rPr>
          <w:rFonts w:hint="eastAsia" w:cs="宋体"/>
          <w:b/>
          <w:color w:val="auto"/>
          <w:sz w:val="21"/>
          <w:szCs w:val="21"/>
          <w:highlight w:val="none"/>
        </w:rPr>
        <w:t>十、签订地点</w:t>
      </w:r>
      <w:bookmarkEnd w:id="45"/>
    </w:p>
    <w:p w14:paraId="78484F9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滁州市重点工程建设管理处</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080D867E">
      <w:pPr>
        <w:snapToGrid w:val="0"/>
        <w:spacing w:line="360" w:lineRule="auto"/>
        <w:ind w:firstLine="422" w:firstLineChars="200"/>
        <w:rPr>
          <w:rFonts w:cs="宋体"/>
          <w:b/>
          <w:color w:val="auto"/>
          <w:sz w:val="21"/>
          <w:szCs w:val="21"/>
          <w:highlight w:val="none"/>
        </w:rPr>
      </w:pPr>
      <w:bookmarkStart w:id="46" w:name="_Toc351203491"/>
      <w:r>
        <w:rPr>
          <w:rFonts w:hint="eastAsia" w:cs="宋体"/>
          <w:b/>
          <w:color w:val="auto"/>
          <w:sz w:val="21"/>
          <w:szCs w:val="21"/>
          <w:highlight w:val="none"/>
        </w:rPr>
        <w:t>十一、补充协议</w:t>
      </w:r>
      <w:bookmarkEnd w:id="46"/>
    </w:p>
    <w:p w14:paraId="369C62EE">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1D1D0E9C">
      <w:pPr>
        <w:snapToGrid w:val="0"/>
        <w:spacing w:line="360" w:lineRule="auto"/>
        <w:ind w:firstLine="422" w:firstLineChars="200"/>
        <w:rPr>
          <w:rFonts w:cs="宋体"/>
          <w:b/>
          <w:color w:val="auto"/>
          <w:sz w:val="21"/>
          <w:szCs w:val="21"/>
          <w:highlight w:val="none"/>
        </w:rPr>
      </w:pPr>
      <w:bookmarkStart w:id="47" w:name="_Toc351203492"/>
      <w:r>
        <w:rPr>
          <w:rFonts w:hint="eastAsia" w:cs="宋体"/>
          <w:b/>
          <w:color w:val="auto"/>
          <w:sz w:val="21"/>
          <w:szCs w:val="21"/>
          <w:highlight w:val="none"/>
        </w:rPr>
        <w:t>十二、合同生效</w:t>
      </w:r>
      <w:bookmarkEnd w:id="47"/>
    </w:p>
    <w:p w14:paraId="703C1B8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ascii="宋体" w:cs="宋体"/>
          <w:color w:val="auto"/>
          <w:sz w:val="21"/>
          <w:szCs w:val="21"/>
          <w:highlight w:val="none"/>
          <w:u w:val="single"/>
        </w:rPr>
        <w:t>双方签字盖章后</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6AE152EB">
      <w:pPr>
        <w:snapToGrid w:val="0"/>
        <w:spacing w:line="360" w:lineRule="auto"/>
        <w:ind w:firstLine="422" w:firstLineChars="200"/>
        <w:rPr>
          <w:rFonts w:cs="宋体"/>
          <w:b/>
          <w:color w:val="auto"/>
          <w:sz w:val="21"/>
          <w:szCs w:val="21"/>
          <w:highlight w:val="none"/>
        </w:rPr>
      </w:pPr>
      <w:bookmarkStart w:id="48" w:name="_Toc351203493"/>
      <w:r>
        <w:rPr>
          <w:rFonts w:hint="eastAsia" w:cs="宋体"/>
          <w:b/>
          <w:color w:val="auto"/>
          <w:sz w:val="21"/>
          <w:szCs w:val="21"/>
          <w:highlight w:val="none"/>
        </w:rPr>
        <w:t>十三、合同份数</w:t>
      </w:r>
      <w:bookmarkEnd w:id="48"/>
    </w:p>
    <w:p w14:paraId="15ACB66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lang w:val="en-US" w:eastAsia="zh-CN"/>
        </w:rPr>
        <w:t>捌</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lang w:val="en-US" w:eastAsia="zh-CN"/>
        </w:rPr>
        <w:t>肆</w:t>
      </w:r>
      <w:r>
        <w:rPr>
          <w:rFonts w:hint="eastAsia" w:cs="宋体"/>
          <w:bCs/>
          <w:color w:val="auto"/>
          <w:sz w:val="21"/>
          <w:szCs w:val="21"/>
          <w:highlight w:val="none"/>
        </w:rPr>
        <w:t>份，承包人执</w:t>
      </w:r>
      <w:r>
        <w:rPr>
          <w:rFonts w:hint="eastAsia" w:cs="宋体"/>
          <w:bCs/>
          <w:color w:val="auto"/>
          <w:sz w:val="21"/>
          <w:szCs w:val="21"/>
          <w:highlight w:val="none"/>
          <w:u w:val="single"/>
          <w:lang w:val="en-US" w:eastAsia="zh-CN"/>
        </w:rPr>
        <w:t>肆</w:t>
      </w:r>
      <w:r>
        <w:rPr>
          <w:rFonts w:hint="eastAsia" w:cs="宋体"/>
          <w:bCs/>
          <w:color w:val="auto"/>
          <w:sz w:val="21"/>
          <w:szCs w:val="21"/>
          <w:highlight w:val="none"/>
        </w:rPr>
        <w:t>份。</w:t>
      </w:r>
    </w:p>
    <w:p w14:paraId="04D1839C">
      <w:pPr>
        <w:snapToGrid w:val="0"/>
        <w:spacing w:line="360" w:lineRule="auto"/>
        <w:rPr>
          <w:rFonts w:cs="宋体"/>
          <w:bCs/>
          <w:color w:val="auto"/>
          <w:sz w:val="21"/>
          <w:szCs w:val="21"/>
          <w:highlight w:val="none"/>
        </w:rPr>
      </w:pPr>
    </w:p>
    <w:p w14:paraId="54BD6FD6">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738047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92CDDF">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2FBE54">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A62067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6192EF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45639F9">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4F50E9E">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7183DE9">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213C51D">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E7DE15C">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455CFD0F">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45EE7E7F">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49" w:name="_Toc30550"/>
      <w:bookmarkStart w:id="50" w:name="_Toc28799377"/>
      <w:bookmarkStart w:id="51" w:name="_Toc130919121"/>
      <w:r>
        <w:rPr>
          <w:rFonts w:hint="eastAsia" w:ascii="等线" w:hAnsi="等线" w:eastAsia="等线" w:cs="@仿宋_GB2312"/>
          <w:b/>
          <w:color w:val="auto"/>
          <w:kern w:val="2"/>
          <w:sz w:val="24"/>
          <w:highlight w:val="none"/>
        </w:rPr>
        <w:t>第二节  通用合同条款</w:t>
      </w:r>
      <w:bookmarkEnd w:id="49"/>
      <w:bookmarkEnd w:id="50"/>
      <w:bookmarkEnd w:id="51"/>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2" w:name="_Toc28799378"/>
      <w:bookmarkStart w:id="53" w:name="_Toc130919122"/>
      <w:bookmarkStart w:id="54" w:name="_Toc31931"/>
      <w:r>
        <w:rPr>
          <w:rFonts w:hint="eastAsia" w:ascii="等线" w:hAnsi="等线" w:eastAsia="等线" w:cs="@仿宋_GB2312"/>
          <w:b/>
          <w:color w:val="auto"/>
          <w:kern w:val="2"/>
          <w:sz w:val="24"/>
          <w:highlight w:val="none"/>
        </w:rPr>
        <w:t>第三节  专用合同条款</w:t>
      </w:r>
      <w:bookmarkEnd w:id="52"/>
      <w:bookmarkEnd w:id="53"/>
      <w:bookmarkEnd w:id="54"/>
    </w:p>
    <w:p w14:paraId="0971EF87">
      <w:pPr>
        <w:snapToGrid w:val="0"/>
        <w:spacing w:before="312" w:beforeLines="100" w:after="312" w:afterLines="100" w:line="360" w:lineRule="auto"/>
        <w:jc w:val="center"/>
        <w:outlineLvl w:val="2"/>
        <w:rPr>
          <w:rFonts w:cs="宋体"/>
          <w:color w:val="auto"/>
          <w:sz w:val="21"/>
          <w:szCs w:val="21"/>
          <w:highlight w:val="none"/>
        </w:rPr>
      </w:pPr>
      <w:bookmarkStart w:id="55" w:name="_Toc351203633"/>
      <w:r>
        <w:rPr>
          <w:rFonts w:hint="eastAsia" w:cs="宋体"/>
          <w:color w:val="auto"/>
          <w:sz w:val="21"/>
          <w:szCs w:val="21"/>
          <w:highlight w:val="none"/>
        </w:rPr>
        <w:t>专用合同条款数据表</w:t>
      </w:r>
    </w:p>
    <w:p w14:paraId="7A3B92A1">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5E9E63D">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F9112B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1012FD7F">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u w:val="single"/>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rPr>
              <w:t xml:space="preserve"> </w:t>
            </w:r>
            <w:r>
              <w:rPr>
                <w:rFonts w:hint="eastAsia" w:ascii="宋体" w:cs="宋体"/>
                <w:color w:val="auto"/>
                <w:sz w:val="20"/>
                <w:szCs w:val="21"/>
                <w:highlight w:val="none"/>
                <w:u w:val="single"/>
              </w:rPr>
              <w:t>财政资金，不需提供</w:t>
            </w:r>
            <w:r>
              <w:rPr>
                <w:rFonts w:hint="eastAsia" w:cs="宋体"/>
                <w:bCs/>
                <w:color w:val="auto"/>
                <w:sz w:val="21"/>
                <w:szCs w:val="21"/>
                <w:highlight w:val="none"/>
                <w:u w:val="single"/>
              </w:rPr>
              <w:t xml:space="preserve">  </w:t>
            </w:r>
          </w:p>
          <w:p w14:paraId="77C60AF3">
            <w:pPr>
              <w:keepNext w:val="0"/>
              <w:keepLines w:val="0"/>
              <w:suppressLineNumbers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r>
              <w:rPr>
                <w:rFonts w:hint="eastAsia" w:ascii="宋体" w:cs="宋体"/>
                <w:color w:val="auto"/>
                <w:sz w:val="20"/>
                <w:szCs w:val="21"/>
                <w:highlight w:val="none"/>
                <w:u w:val="single"/>
              </w:rPr>
              <w:t>财政资金，不需提供</w:t>
            </w:r>
            <w:r>
              <w:rPr>
                <w:rFonts w:hint="eastAsia" w:cs="宋体"/>
                <w:bCs/>
                <w:color w:val="auto"/>
                <w:sz w:val="21"/>
                <w:szCs w:val="21"/>
                <w:highlight w:val="none"/>
                <w:u w:val="single"/>
              </w:rPr>
              <w:t xml:space="preserve"> </w:t>
            </w:r>
          </w:p>
          <w:p w14:paraId="03B7943F">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rFonts w:hint="eastAsia" w:ascii="宋体" w:cs="宋体"/>
                <w:color w:val="auto"/>
                <w:sz w:val="20"/>
                <w:szCs w:val="21"/>
                <w:highlight w:val="none"/>
                <w:u w:val="single"/>
              </w:rPr>
              <w:t>财政资金，不需提供</w:t>
            </w:r>
            <w:r>
              <w:rPr>
                <w:rFonts w:hint="eastAsia" w:cs="宋体"/>
                <w:bCs/>
                <w:color w:val="auto"/>
                <w:sz w:val="21"/>
                <w:szCs w:val="21"/>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2B9E80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475D6D37">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4A2022C">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36EFB139">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F991DB0">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77CE71F5">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9766E2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4541F85">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20</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5FE07B1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0DE36AE4">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是</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670FF49">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E6BD334">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2</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7541A5D">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履约保证金提交期限的要求：签订合同前。</w:t>
            </w:r>
          </w:p>
          <w:p w14:paraId="497622F6">
            <w:pPr>
              <w:snapToGrid w:val="0"/>
              <w:spacing w:line="360" w:lineRule="auto"/>
              <w:rPr>
                <w:rFonts w:cs="宋体"/>
                <w:bCs/>
                <w:color w:val="auto"/>
                <w:kern w:val="2"/>
                <w:sz w:val="21"/>
                <w:szCs w:val="21"/>
                <w:highlight w:val="non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 xml:space="preserve"> 履约保证金有效期满7日内  </w:t>
            </w:r>
            <w:r>
              <w:rPr>
                <w:rFonts w:hint="eastAsia" w:cs="宋体"/>
                <w:bCs/>
                <w:color w:val="auto"/>
                <w:sz w:val="21"/>
                <w:szCs w:val="21"/>
                <w:highlight w:val="none"/>
              </w:rPr>
              <w:t>。</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2"/>
              </w:numPr>
              <w:snapToGrid w:val="0"/>
              <w:spacing w:line="360" w:lineRule="auto"/>
              <w:jc w:val="center"/>
              <w:rPr>
                <w:rFonts w:cs="宋体"/>
                <w:bCs/>
                <w:color w:val="auto"/>
                <w:sz w:val="21"/>
                <w:szCs w:val="21"/>
                <w:highlight w:val="none"/>
              </w:rPr>
            </w:pPr>
          </w:p>
        </w:tc>
        <w:tc>
          <w:tcPr>
            <w:tcW w:w="1111" w:type="dxa"/>
            <w:vAlign w:val="center"/>
          </w:tcPr>
          <w:p w14:paraId="1BCF6ED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5C0F339D">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ascii="宋体" w:hAnsi="宋体" w:eastAsia="宋体" w:cs="宋体"/>
                <w:bCs/>
                <w:color w:val="auto"/>
                <w:sz w:val="21"/>
                <w:szCs w:val="21"/>
                <w:highlight w:val="none"/>
                <w:u w:val="single"/>
              </w:rPr>
              <w:t>工程质量必须达到国家工程施工质量验收合格标准</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D29CB07">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227072B">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42F846BA">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57D0AF9">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D37B22E">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90B6EA0">
            <w:pPr>
              <w:snapToGrid w:val="0"/>
              <w:spacing w:line="360" w:lineRule="auto"/>
              <w:rPr>
                <w:rFonts w:hint="eastAsia" w:eastAsia="宋体" w:cs="宋体"/>
                <w:bCs/>
                <w:color w:val="auto"/>
                <w:sz w:val="21"/>
                <w:szCs w:val="21"/>
                <w:highlight w:val="none"/>
                <w:lang w:val="en-US" w:eastAsia="zh-CN"/>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u w:val="none"/>
                <w:lang w:eastAsia="zh-CN"/>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0049A58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6A47EE31">
            <w:pPr>
              <w:keepNext w:val="0"/>
              <w:keepLines w:val="0"/>
              <w:suppressLineNumbers w:val="0"/>
              <w:snapToGrid w:val="0"/>
              <w:spacing w:before="0" w:beforeAutospacing="0" w:after="0" w:afterAutospacing="0" w:line="360" w:lineRule="auto"/>
              <w:ind w:left="0" w:right="0"/>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因承包人原因造成工期延误，逾期竣工违约金的计算方法为：</w:t>
            </w:r>
            <w:r>
              <w:rPr>
                <w:rFonts w:hint="eastAsia"/>
                <w:color w:val="auto"/>
                <w:sz w:val="21"/>
                <w:szCs w:val="21"/>
                <w:highlight w:val="none"/>
                <w:u w:val="single"/>
                <w:shd w:val="clear" w:color="auto" w:fill="auto"/>
                <w:lang w:val="en-US" w:eastAsia="zh-CN"/>
              </w:rPr>
              <w:t>每推迟一天，按合同价款（扣除暂估价和暂列金）万分之二处以违约金；</w:t>
            </w:r>
            <w:r>
              <w:rPr>
                <w:rFonts w:hint="eastAsia" w:cs="宋体"/>
                <w:color w:val="auto"/>
                <w:sz w:val="21"/>
                <w:szCs w:val="21"/>
                <w:highlight w:val="none"/>
                <w:u w:val="single"/>
                <w:lang w:val="en-US" w:eastAsia="zh-CN"/>
              </w:rPr>
              <w:t>月工程量未完成的当期不得请款，当月未完成的工程量纳入下月一并完成，完不成的仍不予请款，依此类推</w:t>
            </w:r>
            <w:r>
              <w:rPr>
                <w:rFonts w:hint="eastAsia" w:cs="宋体"/>
                <w:bCs/>
                <w:color w:val="auto"/>
                <w:kern w:val="2"/>
                <w:sz w:val="21"/>
                <w:szCs w:val="21"/>
                <w:highlight w:val="none"/>
              </w:rPr>
              <w:t>。</w:t>
            </w:r>
          </w:p>
          <w:p w14:paraId="12E39C25">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因承包人原因造成工期延误，逾期竣工违约金的上限：</w:t>
            </w:r>
            <w:r>
              <w:rPr>
                <w:rFonts w:hint="eastAsia" w:cs="宋体"/>
                <w:bCs/>
                <w:color w:val="auto"/>
                <w:kern w:val="2"/>
                <w:sz w:val="21"/>
                <w:szCs w:val="21"/>
                <w:highlight w:val="none"/>
                <w:u w:val="single"/>
                <w:lang w:val="en-US" w:eastAsia="zh-CN"/>
              </w:rPr>
              <w:t>合同价的2%</w:t>
            </w:r>
            <w:r>
              <w:rPr>
                <w:rFonts w:hint="eastAsia" w:cs="宋体"/>
                <w:bCs/>
                <w:color w:val="auto"/>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2E6D1CF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21553DC4">
            <w:pPr>
              <w:snapToGrid w:val="0"/>
              <w:spacing w:line="360" w:lineRule="auto"/>
              <w:rPr>
                <w:rFonts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D7B3E1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1B3A1E9E">
            <w:pPr>
              <w:pStyle w:val="33"/>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u w:val="single"/>
                <w:lang w:val="en-US" w:eastAsia="zh-CN"/>
              </w:rPr>
              <w:t>不调整</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2"/>
              </w:numPr>
              <w:snapToGrid w:val="0"/>
              <w:spacing w:line="360" w:lineRule="auto"/>
              <w:jc w:val="center"/>
              <w:rPr>
                <w:rFonts w:cs="宋体"/>
                <w:bCs/>
                <w:color w:val="auto"/>
                <w:sz w:val="21"/>
                <w:szCs w:val="21"/>
                <w:highlight w:val="none"/>
              </w:rPr>
            </w:pPr>
          </w:p>
        </w:tc>
        <w:tc>
          <w:tcPr>
            <w:tcW w:w="1111" w:type="dxa"/>
            <w:vAlign w:val="center"/>
          </w:tcPr>
          <w:p w14:paraId="06DF458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392C4112">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合同价格形式</w:t>
            </w:r>
          </w:p>
          <w:p w14:paraId="4AF89F39">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(1)单价合同。</w:t>
            </w:r>
          </w:p>
          <w:p w14:paraId="3DC9B560">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综合单价包含的风险范围：</w:t>
            </w:r>
            <w:r>
              <w:rPr>
                <w:rFonts w:hint="eastAsia" w:cs="宋体"/>
                <w:color w:val="auto"/>
                <w:sz w:val="21"/>
                <w:szCs w:val="21"/>
                <w:highlight w:val="none"/>
                <w:u w:val="single"/>
                <w:lang w:val="en-US" w:eastAsia="zh-CN"/>
              </w:rPr>
              <w:t>各种因素引起的不属于本合同调价范围的市场材料价格、人工、机械使用费以及管理费、利润的变化等</w:t>
            </w:r>
            <w:r>
              <w:rPr>
                <w:rFonts w:hint="eastAsia" w:cs="宋体"/>
                <w:bCs/>
                <w:color w:val="auto"/>
                <w:sz w:val="21"/>
                <w:szCs w:val="21"/>
                <w:highlight w:val="none"/>
                <w:u w:val="single"/>
              </w:rPr>
              <w:t>。</w:t>
            </w:r>
          </w:p>
          <w:p w14:paraId="31619DC3">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不考虑</w:t>
            </w:r>
            <w:r>
              <w:rPr>
                <w:rFonts w:hint="eastAsia" w:cs="宋体"/>
                <w:bCs/>
                <w:color w:val="auto"/>
                <w:sz w:val="21"/>
                <w:szCs w:val="21"/>
                <w:highlight w:val="none"/>
              </w:rPr>
              <w:t>。</w:t>
            </w:r>
          </w:p>
          <w:p w14:paraId="6A1F3097">
            <w:pPr>
              <w:pStyle w:val="33"/>
              <w:keepNext w:val="0"/>
              <w:keepLines w:val="0"/>
              <w:suppressLineNumbers w:val="0"/>
              <w:tabs>
                <w:tab w:val="clear" w:pos="4153"/>
                <w:tab w:val="clear" w:pos="8306"/>
              </w:tabs>
              <w:spacing w:before="0" w:beforeAutospacing="0" w:after="0" w:afterAutospacing="0" w:line="360" w:lineRule="auto"/>
              <w:ind w:left="0" w:right="0"/>
              <w:rPr>
                <w:rFonts w:hint="eastAsia"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ascii="宋体" w:hAnsi="宋体" w:cs="宋体"/>
                <w:bCs/>
                <w:color w:val="auto"/>
                <w:sz w:val="21"/>
                <w:szCs w:val="21"/>
                <w:highlight w:val="none"/>
                <w:u w:val="single"/>
              </w:rPr>
              <w:t>结算价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合同价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工程变更造价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分部分项工程量清单工程量误差造价</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政策性调整造价±措施项目调整造价－暂列金额</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1.09</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w:t>
            </w:r>
            <w:r>
              <w:rPr>
                <w:rFonts w:hint="eastAsia" w:ascii="宋体" w:hAnsi="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rPr>
              <w:t>合理工程索赔</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F1092AF">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国家法律、法规、规章和政策发生变化及由政府定价或政府指导价管理的原材料等价格风险由发包人承担。</w:t>
            </w:r>
          </w:p>
          <w:p w14:paraId="11F87078">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(2)总价合同。</w:t>
            </w:r>
          </w:p>
          <w:p w14:paraId="1F0CFE83">
            <w:pPr>
              <w:pStyle w:val="33"/>
              <w:keepNext w:val="0"/>
              <w:keepLines w:val="0"/>
              <w:suppressLineNumbers w:val="0"/>
              <w:tabs>
                <w:tab w:val="clear" w:pos="4153"/>
                <w:tab w:val="clear" w:pos="8306"/>
              </w:tabs>
              <w:spacing w:before="0" w:beforeAutospacing="0" w:after="0" w:afterAutospacing="0" w:line="360" w:lineRule="auto"/>
              <w:ind w:left="0" w:right="0"/>
              <w:rPr>
                <w:rFonts w:hint="eastAsia" w:cs="宋体"/>
                <w:bCs/>
                <w:color w:val="auto"/>
                <w:sz w:val="21"/>
                <w:szCs w:val="21"/>
                <w:highlight w:val="none"/>
                <w:u w:val="single"/>
                <w:lang w:val="en-US" w:eastAsia="zh-CN"/>
              </w:rPr>
            </w:pPr>
            <w:r>
              <w:rPr>
                <w:rFonts w:hint="eastAsia" w:cs="宋体"/>
                <w:bCs/>
                <w:color w:val="auto"/>
                <w:sz w:val="21"/>
                <w:szCs w:val="21"/>
                <w:highlight w:val="none"/>
              </w:rPr>
              <w:t>总价包含的风险范围：</w:t>
            </w:r>
            <w:r>
              <w:rPr>
                <w:rFonts w:hint="eastAsia" w:cs="宋体"/>
                <w:bCs/>
                <w:color w:val="auto"/>
                <w:sz w:val="21"/>
                <w:szCs w:val="21"/>
                <w:highlight w:val="none"/>
                <w:u w:val="single"/>
                <w:lang w:val="en-US" w:eastAsia="zh-CN"/>
              </w:rPr>
              <w:t>/。</w:t>
            </w:r>
          </w:p>
          <w:p w14:paraId="4C07C789">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B7E0379">
            <w:pPr>
              <w:pStyle w:val="33"/>
              <w:keepNext w:val="0"/>
              <w:keepLines w:val="0"/>
              <w:suppressLineNumbers w:val="0"/>
              <w:tabs>
                <w:tab w:val="clear" w:pos="4153"/>
                <w:tab w:val="clear" w:pos="8306"/>
              </w:tabs>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F6AFF3D">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7958559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596FF81B">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预付款的支付</w:t>
            </w:r>
          </w:p>
          <w:p w14:paraId="7C547DFF">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rPr>
            </w:pPr>
            <w:r>
              <w:rPr>
                <w:rFonts w:hint="eastAsia" w:cs="宋体"/>
                <w:bCs/>
                <w:color w:val="auto"/>
                <w:sz w:val="21"/>
                <w:szCs w:val="21"/>
                <w:highlight w:val="none"/>
              </w:rPr>
              <w:t>预付款支付比例或金额：</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40% </w:t>
            </w:r>
            <w:r>
              <w:rPr>
                <w:rFonts w:hint="eastAsia" w:cs="宋体"/>
                <w:bCs/>
                <w:color w:val="auto"/>
                <w:sz w:val="21"/>
                <w:szCs w:val="21"/>
                <w:highlight w:val="none"/>
                <w:u w:val="single"/>
              </w:rPr>
              <w:t xml:space="preserve"> </w:t>
            </w:r>
          </w:p>
          <w:p w14:paraId="74C9B043">
            <w:pPr>
              <w:keepNext w:val="0"/>
              <w:keepLines w:val="0"/>
              <w:suppressLineNumbers w:val="0"/>
              <w:adjustRightInd w:val="0"/>
              <w:snapToGrid w:val="0"/>
              <w:spacing w:before="0" w:beforeAutospacing="0" w:after="0" w:afterAutospacing="0" w:line="360" w:lineRule="auto"/>
              <w:ind w:left="0" w:right="0"/>
              <w:rPr>
                <w:rFonts w:hint="default" w:cs="宋体"/>
                <w:bCs/>
                <w:color w:val="auto"/>
                <w:sz w:val="21"/>
                <w:szCs w:val="21"/>
                <w:highlight w:val="none"/>
                <w:lang w:val="en-US"/>
              </w:rPr>
            </w:pPr>
            <w:r>
              <w:rPr>
                <w:rFonts w:hint="eastAsia" w:cs="宋体"/>
                <w:bCs/>
                <w:color w:val="auto"/>
                <w:sz w:val="21"/>
                <w:szCs w:val="21"/>
                <w:highlight w:val="none"/>
              </w:rPr>
              <w:t>预付款支付期限：</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合同签订具备实施条件后支付合同价的40%预付款 </w:t>
            </w:r>
          </w:p>
          <w:p w14:paraId="50C85867">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预付款扣回的方式：</w:t>
            </w:r>
            <w:r>
              <w:rPr>
                <w:rFonts w:hint="eastAsia" w:cs="宋体"/>
                <w:bCs/>
                <w:color w:val="auto"/>
                <w:sz w:val="21"/>
                <w:szCs w:val="21"/>
                <w:highlight w:val="none"/>
                <w:u w:val="single"/>
                <w:lang w:val="en-US" w:eastAsia="zh-CN"/>
              </w:rPr>
              <w:t>付款时扣除</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C27AF3A">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31625DDD">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32DF92E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预付款支付前</w:t>
            </w:r>
            <w:r>
              <w:rPr>
                <w:rFonts w:hint="eastAsia" w:cs="宋体"/>
                <w:bCs/>
                <w:color w:val="auto"/>
                <w:sz w:val="21"/>
                <w:szCs w:val="21"/>
                <w:highlight w:val="none"/>
                <w:u w:val="single"/>
              </w:rPr>
              <w:t xml:space="preserve"> </w:t>
            </w:r>
          </w:p>
          <w:p w14:paraId="1DF866BA">
            <w:pPr>
              <w:adjustRightInd w:val="0"/>
              <w:snapToGrid w:val="0"/>
              <w:spacing w:line="360" w:lineRule="auto"/>
              <w:rPr>
                <w:rFonts w:cs="宋体"/>
                <w:bCs/>
                <w:color w:val="auto"/>
                <w:kern w:val="2"/>
                <w:sz w:val="21"/>
                <w:szCs w:val="21"/>
                <w:highlight w:val="none"/>
              </w:rPr>
            </w:pPr>
            <w:r>
              <w:rPr>
                <w:rFonts w:hint="eastAsia" w:cs="宋体"/>
                <w:bCs/>
                <w:color w:val="auto"/>
                <w:sz w:val="21"/>
                <w:szCs w:val="21"/>
                <w:highlight w:val="none"/>
              </w:rPr>
              <w:t>预付款担保的形式为：</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保函（见索即付）</w:t>
            </w:r>
            <w:r>
              <w:rPr>
                <w:rFonts w:hint="eastAsia" w:cs="宋体"/>
                <w:bCs/>
                <w:color w:val="auto"/>
                <w:sz w:val="21"/>
                <w:szCs w:val="21"/>
                <w:highlight w:val="none"/>
                <w:u w:val="single"/>
              </w:rPr>
              <w:t xml:space="preserve">  </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2BB10B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4FA26CCC">
            <w:pPr>
              <w:adjustRightInd w:val="0"/>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付款周期</w:t>
            </w:r>
          </w:p>
          <w:p w14:paraId="09052D1B">
            <w:pPr>
              <w:adjustRightInd w:val="0"/>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关于付款周期的约定：合同签订具备实施条件后支付合同价的40%预付款（预付款支付前，中标人须提供同等金额预付款等额保函（见索即付））；按已完成进度计划合格工程量的85%支付进度款；工程完工后付至合格工程量价款的90%；竣工验收合格取得验收报告后，付至合格工程量价款的95%；完成竣工结算审计后付至结算总造价的98%，剩余2%作为工程质量保证金。</w:t>
            </w:r>
          </w:p>
          <w:p w14:paraId="26A02B2B">
            <w:pPr>
              <w:adjustRightInd w:val="0"/>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特别提示：</w:t>
            </w:r>
          </w:p>
          <w:p w14:paraId="69A4D999">
            <w:pPr>
              <w:adjustRightInd w:val="0"/>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付费时间:每次付款前提条件为中标单位同意建设单位在政府资金调度会批准且发票送达后完成支付。</w:t>
            </w:r>
          </w:p>
          <w:p w14:paraId="45C9B61D">
            <w:pPr>
              <w:adjustRightInd w:val="0"/>
              <w:snapToGrid w:val="0"/>
              <w:spacing w:line="360" w:lineRule="auto"/>
              <w:rPr>
                <w:rFonts w:hint="eastAsia" w:cs="宋体"/>
                <w:bCs/>
                <w:color w:val="auto"/>
                <w:sz w:val="21"/>
                <w:szCs w:val="21"/>
                <w:highlight w:val="none"/>
                <w:u w:val="single"/>
                <w:lang w:val="en-US" w:eastAsia="zh-CN"/>
              </w:rPr>
            </w:pPr>
            <w:r>
              <w:rPr>
                <w:rFonts w:hint="eastAsia" w:cs="宋体"/>
                <w:bCs/>
                <w:color w:val="auto"/>
                <w:sz w:val="21"/>
                <w:szCs w:val="21"/>
                <w:highlight w:val="none"/>
                <w:lang w:val="en-US" w:eastAsia="zh-CN"/>
              </w:rPr>
              <w:t>质量保证金支持保函（银行保函、担保机构担保、保证保险）使用。采用保函的，保函有效期须与工程缺陷责任期截止时间保持一致。</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6A9BDD6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60DAD093">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 xml:space="preserve">  </w:t>
            </w:r>
            <w:r>
              <w:rPr>
                <w:rFonts w:hint="eastAsia" w:ascii="宋体" w:hAnsi="宋体" w:cs="宋体"/>
                <w:b/>
                <w:bCs/>
                <w:color w:val="auto"/>
                <w:sz w:val="21"/>
                <w:szCs w:val="21"/>
                <w:highlight w:val="none"/>
                <w:u w:val="single"/>
              </w:rPr>
              <w:t>两年，从验收合格之日起计算</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339900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550CAAA9">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质量保证金可采用以下任意一种方式：</w:t>
            </w:r>
          </w:p>
          <w:p w14:paraId="06CD5EB2">
            <w:pPr>
              <w:adjustRightInd w:val="0"/>
              <w:snapToGrid w:val="0"/>
              <w:spacing w:line="360" w:lineRule="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p>
          <w:p w14:paraId="5F81EFF8">
            <w:pPr>
              <w:adjustRightInd w:val="0"/>
              <w:snapToGrid w:val="0"/>
              <w:spacing w:line="360" w:lineRule="auto"/>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p>
          <w:p w14:paraId="586FCD85">
            <w:pPr>
              <w:adjustRightInd w:val="0"/>
              <w:snapToGrid w:val="0"/>
              <w:spacing w:line="360" w:lineRule="auto"/>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lang w:val="en-US" w:eastAsia="zh-CN"/>
              </w:rPr>
              <w:t>详见工程款</w:t>
            </w:r>
            <w:r>
              <w:rPr>
                <w:rFonts w:hint="eastAsia" w:ascii="宋体" w:cs="宋体"/>
                <w:color w:val="auto"/>
                <w:kern w:val="0"/>
                <w:sz w:val="21"/>
                <w:szCs w:val="21"/>
                <w:highlight w:val="none"/>
                <w:u w:val="single"/>
                <w:shd w:val="clear" w:color="auto" w:fill="auto"/>
              </w:rPr>
              <w:t>支付方式</w:t>
            </w:r>
            <w:r>
              <w:rPr>
                <w:rFonts w:hint="eastAsia" w:cs="宋体"/>
                <w:color w:val="auto"/>
                <w:sz w:val="21"/>
                <w:szCs w:val="21"/>
                <w:highlight w:val="none"/>
                <w:u w:val="single"/>
              </w:rPr>
              <w:t>。</w:t>
            </w:r>
          </w:p>
          <w:p w14:paraId="5A880F90">
            <w:pPr>
              <w:pStyle w:val="5"/>
              <w:snapToGrid w:val="0"/>
              <w:spacing w:line="360" w:lineRule="auto"/>
              <w:rPr>
                <w:rFonts w:cs="宋体"/>
                <w:bCs w:val="0"/>
                <w:color w:val="auto"/>
                <w:kern w:val="2"/>
                <w:sz w:val="21"/>
                <w:szCs w:val="21"/>
                <w:highlight w:val="none"/>
              </w:rPr>
            </w:pPr>
            <w:r>
              <w:rPr>
                <w:rFonts w:hint="eastAsia" w:cs="宋体"/>
                <w:bCs w:val="0"/>
                <w:color w:val="auto"/>
                <w:sz w:val="21"/>
                <w:szCs w:val="21"/>
                <w:highlight w:val="none"/>
              </w:rPr>
              <w:t>注：以现金形式提交质量保证金的（含从工程款中以扣留方式提交的），同时退还银行同期活期存款利息。</w:t>
            </w:r>
          </w:p>
        </w:tc>
      </w:tr>
    </w:tbl>
    <w:p w14:paraId="37F7689A">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56" w:name="_Toc296890984"/>
      <w:bookmarkStart w:id="57" w:name="_Toc296891196"/>
      <w:bookmarkStart w:id="58" w:name="_Toc296346657"/>
      <w:bookmarkStart w:id="59" w:name="_Toc292559866"/>
      <w:bookmarkStart w:id="60" w:name="_Toc297048342"/>
      <w:bookmarkStart w:id="61" w:name="_Toc296503156"/>
      <w:bookmarkStart w:id="62" w:name="_Toc297120456"/>
      <w:bookmarkStart w:id="63" w:name="_Toc296347155"/>
      <w:bookmarkStart w:id="64" w:name="_Toc292559361"/>
      <w:bookmarkStart w:id="65" w:name="_Toc296944495"/>
      <w:r>
        <w:rPr>
          <w:rFonts w:hint="eastAsia" w:cs="宋体"/>
          <w:color w:val="auto"/>
          <w:sz w:val="21"/>
          <w:szCs w:val="21"/>
          <w:highlight w:val="none"/>
        </w:rPr>
        <w:t>. 一般约定</w:t>
      </w:r>
    </w:p>
    <w:bookmarkEnd w:id="56"/>
    <w:bookmarkEnd w:id="57"/>
    <w:bookmarkEnd w:id="58"/>
    <w:bookmarkEnd w:id="59"/>
    <w:bookmarkEnd w:id="60"/>
    <w:bookmarkEnd w:id="61"/>
    <w:bookmarkEnd w:id="62"/>
    <w:bookmarkEnd w:id="63"/>
    <w:bookmarkEnd w:id="64"/>
    <w:bookmarkEnd w:id="65"/>
    <w:p w14:paraId="51BB6936">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1.1 词语定义与解释</w:t>
      </w:r>
    </w:p>
    <w:p w14:paraId="0CC7848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1.1.1 合同</w:t>
      </w:r>
    </w:p>
    <w:p w14:paraId="67BCFF1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本项目</w:t>
      </w:r>
      <w:r>
        <w:rPr>
          <w:rFonts w:hint="eastAsia" w:cs="宋体"/>
          <w:color w:val="auto"/>
          <w:sz w:val="21"/>
          <w:szCs w:val="21"/>
          <w:highlight w:val="none"/>
          <w:u w:val="single"/>
          <w:lang w:val="en-US" w:eastAsia="zh-CN"/>
        </w:rPr>
        <w:t>磋商</w:t>
      </w:r>
      <w:r>
        <w:rPr>
          <w:rFonts w:hint="eastAsia" w:ascii="宋体" w:hAnsi="宋体" w:eastAsia="宋体" w:cs="宋体"/>
          <w:color w:val="auto"/>
          <w:sz w:val="21"/>
          <w:szCs w:val="21"/>
          <w:highlight w:val="none"/>
          <w:u w:val="single"/>
        </w:rPr>
        <w:t>文件、在合同订立及履行过程中形成的与合同有关的文件均构成合同文件组成部分</w:t>
      </w:r>
      <w:r>
        <w:rPr>
          <w:rFonts w:hint="eastAsia" w:cs="宋体"/>
          <w:color w:val="auto"/>
          <w:sz w:val="21"/>
          <w:szCs w:val="21"/>
          <w:highlight w:val="none"/>
          <w:u w:val="single"/>
          <w:lang w:eastAsia="zh-CN"/>
        </w:rPr>
        <w:t>。</w:t>
      </w:r>
      <w:r>
        <w:rPr>
          <w:rFonts w:hint="eastAsia" w:cs="宋体"/>
          <w:color w:val="auto"/>
          <w:sz w:val="21"/>
          <w:szCs w:val="21"/>
          <w:highlight w:val="none"/>
          <w:u w:val="single"/>
        </w:rPr>
        <w:t></w:t>
      </w:r>
    </w:p>
    <w:p w14:paraId="7331E02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1.1.2 合同当事人及其他相关方</w:t>
      </w:r>
    </w:p>
    <w:p w14:paraId="5140E64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1.1.2.4 监理人：</w:t>
      </w:r>
    </w:p>
    <w:p w14:paraId="3390DE7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ADE3A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87C63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A223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F5A7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ED44C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1.1.2.5 设计人：</w:t>
      </w:r>
    </w:p>
    <w:p w14:paraId="6D6C353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w:t>
      </w:r>
      <w:r>
        <w:rPr>
          <w:rFonts w:hint="eastAsia"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rPr>
        <w:t>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E7829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w:t>
      </w:r>
      <w:r>
        <w:rPr>
          <w:rFonts w:hint="eastAsia"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rPr>
        <w:t>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0F02D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w:t>
      </w:r>
      <w:r>
        <w:rPr>
          <w:rFonts w:hint="eastAsia"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rPr>
        <w:t>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4F7D8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详见</w:t>
      </w:r>
      <w:r>
        <w:rPr>
          <w:rFonts w:hint="eastAsia"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rPr>
        <w:t>合同</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w:t>
      </w:r>
      <w:r>
        <w:rPr>
          <w:rFonts w:hint="eastAsia" w:cs="宋体"/>
          <w:color w:val="auto"/>
          <w:sz w:val="21"/>
          <w:szCs w:val="21"/>
          <w:highlight w:val="none"/>
        </w:rPr>
        <w:t>；</w:t>
      </w:r>
    </w:p>
    <w:p w14:paraId="389EDE8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详见</w:t>
      </w:r>
      <w:r>
        <w:rPr>
          <w:rFonts w:hint="eastAsia"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rPr>
        <w:t>合同</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w:t>
      </w:r>
    </w:p>
    <w:p w14:paraId="262D345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 工程和设备</w:t>
      </w:r>
    </w:p>
    <w:p w14:paraId="6C99020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见施工图纸并现场确定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DFD24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见施工图纸</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A5278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现场确定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11B266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 xml:space="preserve">1.3 法律 </w:t>
      </w:r>
    </w:p>
    <w:p w14:paraId="56E9760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457C2DC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1.4 标准和规范</w:t>
      </w:r>
    </w:p>
    <w:p w14:paraId="0FC25CF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中华人民共和国住房和城乡建设部等部门及省、市发布的有关文件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8DF97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承包人自备国内现行适用的标准、规范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15A6D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7030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084B0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按现行规范执行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4F683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634A820A">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ascii="宋体" w:cs="宋体"/>
          <w:color w:val="auto"/>
          <w:sz w:val="21"/>
          <w:szCs w:val="21"/>
          <w:highlight w:val="none"/>
          <w:u w:val="single"/>
        </w:rPr>
        <w:t>（1）合同协议书；（2）</w:t>
      </w:r>
      <w:r>
        <w:rPr>
          <w:rFonts w:hint="eastAsia" w:ascii="宋体" w:cs="宋体"/>
          <w:color w:val="auto"/>
          <w:sz w:val="21"/>
          <w:szCs w:val="21"/>
          <w:highlight w:val="none"/>
          <w:u w:val="single"/>
          <w:lang w:val="en-US" w:eastAsia="zh-CN"/>
        </w:rPr>
        <w:t>成交</w:t>
      </w:r>
      <w:r>
        <w:rPr>
          <w:rFonts w:hint="eastAsia" w:ascii="宋体" w:cs="宋体"/>
          <w:color w:val="auto"/>
          <w:sz w:val="21"/>
          <w:szCs w:val="21"/>
          <w:highlight w:val="none"/>
          <w:u w:val="single"/>
        </w:rPr>
        <w:t>通知书；（3）确认函及其附录；（4）</w:t>
      </w:r>
      <w:r>
        <w:rPr>
          <w:rFonts w:hint="eastAsia" w:ascii="宋体" w:cs="宋体"/>
          <w:color w:val="auto"/>
          <w:sz w:val="21"/>
          <w:szCs w:val="21"/>
          <w:highlight w:val="none"/>
          <w:u w:val="single"/>
          <w:lang w:val="en-US" w:eastAsia="zh-CN"/>
        </w:rPr>
        <w:t>磋商</w:t>
      </w:r>
      <w:r>
        <w:rPr>
          <w:rFonts w:hint="eastAsia" w:ascii="宋体" w:cs="宋体"/>
          <w:color w:val="auto"/>
          <w:sz w:val="21"/>
          <w:szCs w:val="21"/>
          <w:highlight w:val="none"/>
          <w:u w:val="single"/>
          <w:lang w:eastAsia="zh-CN"/>
        </w:rPr>
        <w:t>文件</w:t>
      </w:r>
      <w:r>
        <w:rPr>
          <w:rFonts w:hint="eastAsia" w:ascii="宋体" w:cs="宋体"/>
          <w:color w:val="auto"/>
          <w:sz w:val="21"/>
          <w:szCs w:val="21"/>
          <w:highlight w:val="none"/>
          <w:u w:val="single"/>
        </w:rPr>
        <w:t>；（5）专用合同条款及其附件；（6）通用合同条款；（7）技术标准和要求；（8）图纸；（9）已标价工程量清单或预算书；（10）其他合同文件</w:t>
      </w:r>
      <w:r>
        <w:rPr>
          <w:rFonts w:hint="eastAsia" w:ascii="宋体" w:cs="宋体"/>
          <w:color w:val="auto"/>
          <w:sz w:val="21"/>
          <w:szCs w:val="21"/>
          <w:highlight w:val="none"/>
          <w:u w:val="single"/>
          <w:lang w:eastAsia="zh-CN"/>
        </w:rPr>
        <w:t>。</w:t>
      </w:r>
      <w:r>
        <w:rPr>
          <w:rFonts w:hint="eastAsia" w:cs="宋体"/>
          <w:color w:val="auto"/>
          <w:sz w:val="21"/>
          <w:szCs w:val="21"/>
          <w:highlight w:val="none"/>
          <w:u w:val="single"/>
        </w:rPr>
        <w:t xml:space="preserve"> </w:t>
      </w:r>
    </w:p>
    <w:p w14:paraId="04743C76">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130B84A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1.6.1 图纸的提供和交底</w:t>
      </w:r>
    </w:p>
    <w:p w14:paraId="085A233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开工前14天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C24A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w:t>
      </w:r>
      <w:r>
        <w:rPr>
          <w:rFonts w:hint="eastAsia" w:cs="宋体"/>
          <w:color w:val="auto"/>
          <w:sz w:val="21"/>
          <w:szCs w:val="21"/>
          <w:highlight w:val="none"/>
          <w:u w:val="single"/>
          <w:lang w:val="en-US" w:eastAsia="zh-CN"/>
        </w:rPr>
        <w:t>3</w:t>
      </w:r>
      <w:r>
        <w:rPr>
          <w:rFonts w:hint="eastAsia" w:cs="宋体"/>
          <w:color w:val="auto"/>
          <w:sz w:val="21"/>
          <w:szCs w:val="21"/>
          <w:highlight w:val="none"/>
          <w:u w:val="single"/>
        </w:rPr>
        <w:t>套</w:t>
      </w:r>
      <w:r>
        <w:rPr>
          <w:rFonts w:hint="eastAsia" w:cs="宋体"/>
          <w:color w:val="auto"/>
          <w:sz w:val="21"/>
          <w:szCs w:val="21"/>
          <w:highlight w:val="none"/>
          <w:u w:val="single"/>
          <w:lang w:eastAsia="zh-CN"/>
        </w:rPr>
        <w:t>，</w:t>
      </w:r>
      <w:r>
        <w:rPr>
          <w:rFonts w:hint="eastAsia" w:cs="宋体"/>
          <w:color w:val="auto"/>
          <w:sz w:val="21"/>
          <w:szCs w:val="21"/>
          <w:highlight w:val="none"/>
          <w:u w:val="single"/>
        </w:rPr>
        <w:t>不足的由承包人自行复制，费用自理</w:t>
      </w:r>
      <w:r>
        <w:rPr>
          <w:rFonts w:hint="eastAsia" w:cs="宋体"/>
          <w:color w:val="auto"/>
          <w:sz w:val="21"/>
          <w:szCs w:val="21"/>
          <w:highlight w:val="none"/>
          <w:u w:val="single"/>
          <w:lang w:eastAsia="zh-CN"/>
        </w:rPr>
        <w:t>，所有设计图纸和设计变更文件须经设计单位和发包人盖章确认方有效</w:t>
      </w:r>
      <w:r>
        <w:rPr>
          <w:rFonts w:hint="eastAsia" w:cs="宋体"/>
          <w:color w:val="auto"/>
          <w:sz w:val="21"/>
          <w:szCs w:val="21"/>
          <w:highlight w:val="none"/>
          <w:u w:val="single"/>
        </w:rPr>
        <w:t>；</w:t>
      </w:r>
    </w:p>
    <w:p w14:paraId="4CF582B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全套施工图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7226D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1.6.4 承包人文件</w:t>
      </w:r>
    </w:p>
    <w:p w14:paraId="677428D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按监理要求执行，包括但不限于项目部人员证书（在领取</w:t>
      </w:r>
      <w:r>
        <w:rPr>
          <w:rFonts w:hint="eastAsia" w:ascii="宋体" w:cs="宋体"/>
          <w:color w:val="auto"/>
          <w:sz w:val="21"/>
          <w:szCs w:val="21"/>
          <w:highlight w:val="none"/>
          <w:u w:val="single"/>
          <w:lang w:val="en-US" w:eastAsia="zh-CN"/>
        </w:rPr>
        <w:t>成交</w:t>
      </w:r>
      <w:r>
        <w:rPr>
          <w:rFonts w:hint="eastAsia" w:ascii="宋体" w:cs="宋体"/>
          <w:color w:val="auto"/>
          <w:sz w:val="21"/>
          <w:szCs w:val="21"/>
          <w:highlight w:val="none"/>
          <w:u w:val="single"/>
        </w:rPr>
        <w:t>通知书前）、项目部任命文、实施性施工组织设计等</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A98D7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按监理要求执行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0A67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按监理要求执行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C1187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按监理要求执行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6EF87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7天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D31F4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1.6.5 图纸和承包人文件的保管</w:t>
      </w:r>
    </w:p>
    <w:p w14:paraId="6418F48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ascii="宋体" w:cs="宋体"/>
          <w:color w:val="auto"/>
          <w:sz w:val="21"/>
          <w:szCs w:val="21"/>
          <w:highlight w:val="none"/>
          <w:u w:val="single"/>
        </w:rPr>
        <w:t>除专用合同条款另有约定外，承包人应在施工现场另外保存一套完整的图纸和承包人文件，供发包人、监理人及有关人员进行工程检查时使用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4C820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1.7 联络</w:t>
      </w:r>
    </w:p>
    <w:p w14:paraId="19CE72A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24CF971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ascii="宋体" w:cs="宋体"/>
          <w:color w:val="auto"/>
          <w:sz w:val="21"/>
          <w:szCs w:val="21"/>
          <w:highlight w:val="none"/>
          <w:u w:val="single"/>
          <w:lang w:val="en-US" w:eastAsia="zh-CN"/>
        </w:rPr>
        <w:t>滁州市重点工程建设管理处或项目部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CCD56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发包人代表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14AC9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ascii="宋体" w:cs="宋体"/>
          <w:color w:val="auto"/>
          <w:sz w:val="21"/>
          <w:szCs w:val="21"/>
          <w:highlight w:val="none"/>
          <w:u w:val="single"/>
          <w:lang w:val="en-US" w:eastAsia="zh-CN"/>
        </w:rPr>
        <w:t>滁州市重点工程建设管理处或项目部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729DC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项目负责人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F9556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ascii="宋体" w:cs="宋体"/>
          <w:color w:val="auto"/>
          <w:sz w:val="21"/>
          <w:szCs w:val="21"/>
          <w:highlight w:val="none"/>
          <w:u w:val="single"/>
          <w:lang w:val="en-US" w:eastAsia="zh-CN"/>
        </w:rPr>
        <w:t>滁州市重点工程建设管理处或项目部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7345B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总监理工程师或总监代表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0815E">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1.10 交通运输</w:t>
      </w:r>
    </w:p>
    <w:p w14:paraId="6B27C58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bookmarkStart w:id="66" w:name="_Toc304295521"/>
      <w:bookmarkStart w:id="67" w:name="_Toc318581155"/>
      <w:bookmarkStart w:id="68" w:name="_Toc303539100"/>
      <w:bookmarkStart w:id="69" w:name="_Toc312677986"/>
      <w:bookmarkStart w:id="70" w:name="_Toc300934943"/>
      <w:r>
        <w:rPr>
          <w:rFonts w:hint="eastAsia" w:cs="宋体"/>
          <w:color w:val="auto"/>
          <w:sz w:val="21"/>
          <w:szCs w:val="21"/>
          <w:highlight w:val="none"/>
        </w:rPr>
        <w:t>.10.1 出入现场的权利</w:t>
      </w:r>
    </w:p>
    <w:p w14:paraId="44B746DD">
      <w:pPr>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u w:val="single"/>
        </w:rPr>
      </w:pPr>
      <w:r>
        <w:rPr>
          <w:rFonts w:hint="eastAsia" w:cs="宋体"/>
          <w:color w:val="auto"/>
          <w:sz w:val="21"/>
          <w:szCs w:val="21"/>
          <w:highlight w:val="none"/>
        </w:rPr>
        <w:t>关于出入现场的权利的约定：</w:t>
      </w:r>
      <w:r>
        <w:rPr>
          <w:rFonts w:hint="eastAsia" w:ascii="宋体" w:cs="宋体"/>
          <w:color w:val="auto"/>
          <w:sz w:val="21"/>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75CE313B">
      <w:pPr>
        <w:pageBreakBefore w:val="0"/>
        <w:widowControl w:val="0"/>
        <w:kinsoku/>
        <w:wordWrap/>
        <w:overflowPunct/>
        <w:topLinePunct w:val="0"/>
        <w:autoSpaceDE/>
        <w:autoSpaceDN/>
        <w:bidi w:val="0"/>
        <w:snapToGrid w:val="0"/>
        <w:spacing w:line="400" w:lineRule="exact"/>
        <w:ind w:firstLine="420" w:firstLineChars="200"/>
        <w:textAlignment w:val="auto"/>
        <w:rPr>
          <w:rFonts w:cs="宋体"/>
          <w:color w:val="auto"/>
          <w:sz w:val="21"/>
          <w:szCs w:val="21"/>
          <w:highlight w:val="none"/>
          <w:u w:val="single"/>
        </w:rPr>
      </w:pPr>
      <w:r>
        <w:rPr>
          <w:rFonts w:hint="eastAsia" w:ascii="宋体" w:cs="宋体"/>
          <w:color w:val="auto"/>
          <w:sz w:val="21"/>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bookmarkEnd w:id="66"/>
    <w:bookmarkEnd w:id="67"/>
    <w:bookmarkEnd w:id="68"/>
    <w:bookmarkEnd w:id="69"/>
    <w:bookmarkEnd w:id="70"/>
    <w:p w14:paraId="046BB85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bookmarkStart w:id="71" w:name="_Toc304295522"/>
      <w:bookmarkStart w:id="72" w:name="_Toc312677987"/>
      <w:bookmarkStart w:id="73" w:name="_Toc300934944"/>
      <w:bookmarkStart w:id="74" w:name="_Toc303539101"/>
      <w:bookmarkStart w:id="75" w:name="_Toc318581156"/>
      <w:r>
        <w:rPr>
          <w:rFonts w:hint="eastAsia" w:cs="宋体"/>
          <w:color w:val="auto"/>
          <w:sz w:val="21"/>
          <w:szCs w:val="21"/>
          <w:highlight w:val="none"/>
        </w:rPr>
        <w:t>.10.3 场内交通</w:t>
      </w:r>
    </w:p>
    <w:p w14:paraId="36FD3F4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ascii="宋体" w:cs="宋体"/>
          <w:color w:val="auto"/>
          <w:sz w:val="21"/>
          <w:szCs w:val="21"/>
          <w:highlight w:val="none"/>
          <w:u w:val="single"/>
        </w:rPr>
        <w:t>场内交通设施和道路由承包人负责建设，发包人不另支付费用，场内交通边界现场确定</w:t>
      </w:r>
      <w:r>
        <w:rPr>
          <w:rFonts w:hint="eastAsia" w:cs="宋体"/>
          <w:color w:val="auto"/>
          <w:sz w:val="21"/>
          <w:szCs w:val="21"/>
          <w:highlight w:val="none"/>
        </w:rPr>
        <w:t>。</w:t>
      </w:r>
    </w:p>
    <w:p w14:paraId="7214669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ascii="宋体" w:cs="宋体"/>
          <w:color w:val="auto"/>
          <w:sz w:val="21"/>
          <w:szCs w:val="21"/>
          <w:highlight w:val="none"/>
          <w:u w:val="single"/>
        </w:rPr>
        <w:t>自行踏勘，自行解决</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71"/>
      <w:bookmarkEnd w:id="72"/>
      <w:bookmarkEnd w:id="73"/>
      <w:bookmarkEnd w:id="74"/>
      <w:bookmarkEnd w:id="75"/>
      <w:bookmarkStart w:id="76" w:name="_Toc318581157"/>
    </w:p>
    <w:p w14:paraId="4300F04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1.10.4 超大件和超重件的运输</w:t>
      </w:r>
    </w:p>
    <w:p w14:paraId="496A384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承包方</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76"/>
    <w:p w14:paraId="1C93AFA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1.11 知识产权</w:t>
      </w:r>
    </w:p>
    <w:p w14:paraId="1EA20AF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发包人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6184E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289315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发包人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95C62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ascii="宋体" w:cs="宋体"/>
          <w:color w:val="auto"/>
          <w:sz w:val="21"/>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cs="宋体"/>
          <w:color w:val="auto"/>
          <w:sz w:val="21"/>
          <w:szCs w:val="21"/>
          <w:highlight w:val="none"/>
        </w:rPr>
        <w:t>。</w:t>
      </w:r>
    </w:p>
    <w:p w14:paraId="58B3316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ascii="宋体" w:cs="宋体"/>
          <w:color w:val="auto"/>
          <w:sz w:val="21"/>
          <w:szCs w:val="21"/>
          <w:highlight w:val="none"/>
          <w:u w:val="single"/>
        </w:rPr>
        <w:t>该费用已包含在签约合同价中</w:t>
      </w:r>
      <w:r>
        <w:rPr>
          <w:rFonts w:hint="eastAsia" w:cs="宋体"/>
          <w:color w:val="auto"/>
          <w:sz w:val="21"/>
          <w:szCs w:val="21"/>
          <w:highlight w:val="none"/>
        </w:rPr>
        <w:t>。</w:t>
      </w:r>
    </w:p>
    <w:p w14:paraId="7A1DDE9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8E52AF4">
      <w:pPr>
        <w:pageBreakBefore w:val="0"/>
        <w:widowControl w:val="0"/>
        <w:kinsoku/>
        <w:wordWrap/>
        <w:overflowPunct/>
        <w:topLinePunct w:val="0"/>
        <w:bidi w:val="0"/>
        <w:adjustRightInd w:val="0"/>
        <w:snapToGrid w:val="0"/>
        <w:spacing w:line="400" w:lineRule="exact"/>
        <w:ind w:firstLine="420" w:firstLineChars="200"/>
        <w:textAlignment w:val="auto"/>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ascii="宋体" w:hAnsi="宋体" w:cs="宋体"/>
          <w:color w:val="auto"/>
          <w:sz w:val="21"/>
          <w:szCs w:val="21"/>
          <w:highlight w:val="none"/>
          <w:u w:val="single"/>
        </w:rPr>
        <w:t>是，具体调整方式见下款</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w:t>
      </w:r>
    </w:p>
    <w:p w14:paraId="2E24B83C">
      <w:pPr>
        <w:pageBreakBefore w:val="0"/>
        <w:widowControl w:val="0"/>
        <w:kinsoku/>
        <w:wordWrap/>
        <w:overflowPunct/>
        <w:topLinePunct w:val="0"/>
        <w:autoSpaceDE/>
        <w:autoSpaceDN/>
        <w:bidi w:val="0"/>
        <w:snapToGrid w:val="0"/>
        <w:spacing w:line="400" w:lineRule="exact"/>
        <w:ind w:firstLine="420" w:firstLineChars="200"/>
        <w:textAlignment w:val="auto"/>
        <w:rPr>
          <w:rFonts w:hint="eastAsia" w:cs="宋体"/>
          <w:b/>
          <w:bCs/>
          <w:color w:val="auto"/>
          <w:sz w:val="21"/>
          <w:szCs w:val="21"/>
          <w:highlight w:val="none"/>
          <w:u w:val="single"/>
          <w:lang w:eastAsia="zh-CN"/>
        </w:rPr>
      </w:pPr>
      <w:r>
        <w:rPr>
          <w:rFonts w:hint="eastAsia" w:cs="宋体"/>
          <w:color w:val="auto"/>
          <w:sz w:val="21"/>
          <w:szCs w:val="21"/>
          <w:highlight w:val="none"/>
        </w:rPr>
        <w:t>允许调整合同价格的工程量偏差范围：</w:t>
      </w:r>
      <w:r>
        <w:rPr>
          <w:rFonts w:hint="eastAsia" w:ascii="宋体" w:hAnsi="宋体" w:eastAsia="宋体" w:cs="宋体"/>
          <w:b/>
          <w:bCs/>
          <w:color w:val="auto"/>
          <w:sz w:val="21"/>
          <w:szCs w:val="21"/>
          <w:highlight w:val="none"/>
          <w:u w:val="single"/>
        </w:rPr>
        <w:t>承包人拒绝实施因</w:t>
      </w:r>
      <w:r>
        <w:rPr>
          <w:rFonts w:hint="eastAsia" w:ascii="宋体" w:hAnsi="宋体" w:eastAsia="宋体" w:cs="宋体"/>
          <w:b/>
          <w:bCs/>
          <w:color w:val="auto"/>
          <w:spacing w:val="-6"/>
          <w:kern w:val="0"/>
          <w:sz w:val="21"/>
          <w:szCs w:val="21"/>
          <w:highlight w:val="none"/>
          <w:u w:val="single"/>
        </w:rPr>
        <w:t>此产生变化的施工内容或范围</w:t>
      </w:r>
      <w:r>
        <w:rPr>
          <w:rFonts w:hint="eastAsia" w:ascii="宋体" w:hAnsi="宋体" w:eastAsia="宋体" w:cs="宋体"/>
          <w:b/>
          <w:bCs/>
          <w:color w:val="auto"/>
          <w:sz w:val="21"/>
          <w:szCs w:val="21"/>
          <w:highlight w:val="none"/>
          <w:u w:val="single"/>
        </w:rPr>
        <w:t>，将被视为违约，发包人视情节轻重给予违约处罚。结算时，工程量按实计算。结算工程量减少0-100%或增加15%以内部分，执行中标单价；超出15%以外部分，结算单价按最高投标限价单价×投标让利幅度计算且结算单价不得高于中标单价；</w:t>
      </w:r>
      <w:r>
        <w:rPr>
          <w:rFonts w:hint="eastAsia" w:ascii="宋体" w:hAnsi="宋体" w:eastAsia="宋体" w:cs="宋体"/>
          <w:b/>
          <w:bCs/>
          <w:color w:val="auto"/>
          <w:spacing w:val="-6"/>
          <w:kern w:val="0"/>
          <w:sz w:val="21"/>
          <w:szCs w:val="21"/>
          <w:highlight w:val="none"/>
          <w:u w:val="single"/>
        </w:rPr>
        <w:t>缺漏</w:t>
      </w:r>
      <w:r>
        <w:rPr>
          <w:rFonts w:hint="eastAsia" w:ascii="宋体" w:hAnsi="宋体" w:eastAsia="宋体" w:cs="宋体"/>
          <w:b/>
          <w:bCs/>
          <w:color w:val="auto"/>
          <w:sz w:val="21"/>
          <w:szCs w:val="21"/>
          <w:highlight w:val="none"/>
          <w:u w:val="single"/>
        </w:rPr>
        <w:t>项目单价按照最高投标限价的编制原则重新组价×投标让利幅度（上述投标让利幅度为中标价/最高投标限价，其中中标价和最高投标限价均扣除暂列金额、暂估价及相应税金）</w:t>
      </w:r>
      <w:r>
        <w:rPr>
          <w:rFonts w:hint="eastAsia" w:cs="宋体"/>
          <w:b/>
          <w:bCs/>
          <w:color w:val="auto"/>
          <w:sz w:val="21"/>
          <w:szCs w:val="21"/>
          <w:highlight w:val="none"/>
          <w:u w:val="single"/>
          <w:lang w:eastAsia="zh-CN"/>
        </w:rPr>
        <w:t>。</w:t>
      </w:r>
    </w:p>
    <w:p w14:paraId="519D0F2B">
      <w:pPr>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b/>
          <w:color w:val="auto"/>
          <w:sz w:val="21"/>
          <w:szCs w:val="21"/>
          <w:highlight w:val="none"/>
          <w:u w:val="single"/>
        </w:rPr>
      </w:pPr>
      <w:r>
        <w:rPr>
          <w:rFonts w:hint="eastAsia" w:ascii="宋体" w:hAnsi="宋体" w:cs="宋体"/>
          <w:color w:val="auto"/>
          <w:sz w:val="21"/>
          <w:szCs w:val="21"/>
          <w:highlight w:val="none"/>
        </w:rPr>
        <w:t>技术措施费调整：</w:t>
      </w:r>
      <w:r>
        <w:rPr>
          <w:rFonts w:hint="eastAsia" w:ascii="宋体" w:hAnsi="宋体" w:cs="宋体"/>
          <w:b/>
          <w:color w:val="auto"/>
          <w:sz w:val="21"/>
          <w:szCs w:val="21"/>
          <w:highlight w:val="none"/>
          <w:u w:val="single"/>
        </w:rPr>
        <w:t>因承包人改变施工技术措施，造成的价格变动，措施费不予调整。因工程量清单错误必须改变原来施工技术措施，造成价格变动的，按实调整，变更组价原则同上。</w:t>
      </w:r>
    </w:p>
    <w:p w14:paraId="112CD06B">
      <w:pPr>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b/>
          <w:color w:val="auto"/>
          <w:sz w:val="21"/>
          <w:szCs w:val="21"/>
          <w:highlight w:val="none"/>
          <w:u w:val="single"/>
          <w:lang w:eastAsia="zh-CN"/>
        </w:rPr>
      </w:pPr>
      <w:r>
        <w:rPr>
          <w:rFonts w:hint="eastAsia" w:ascii="宋体" w:hAnsi="宋体" w:cs="宋体"/>
          <w:color w:val="auto"/>
          <w:sz w:val="21"/>
          <w:szCs w:val="21"/>
          <w:highlight w:val="none"/>
        </w:rPr>
        <w:t>组织措施费调整：</w:t>
      </w:r>
      <w:r>
        <w:rPr>
          <w:rFonts w:hint="eastAsia" w:ascii="宋体" w:hAnsi="宋体" w:cs="宋体"/>
          <w:b/>
          <w:color w:val="auto"/>
          <w:sz w:val="21"/>
          <w:szCs w:val="21"/>
          <w:highlight w:val="none"/>
          <w:u w:val="single"/>
        </w:rPr>
        <w:t>按实调整。</w:t>
      </w:r>
    </w:p>
    <w:p w14:paraId="4EDD4BF1">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77" w:name="_Toc351203634"/>
      <w:r>
        <w:rPr>
          <w:rFonts w:hint="eastAsia" w:cs="宋体"/>
          <w:color w:val="auto"/>
          <w:sz w:val="21"/>
          <w:szCs w:val="21"/>
          <w:highlight w:val="none"/>
        </w:rPr>
        <w:t>2</w:t>
      </w:r>
      <w:bookmarkStart w:id="78" w:name="_Toc297120457"/>
      <w:bookmarkStart w:id="79" w:name="_Toc296944496"/>
      <w:bookmarkStart w:id="80" w:name="_Toc296503157"/>
      <w:bookmarkStart w:id="81" w:name="_Toc296346658"/>
      <w:bookmarkStart w:id="82" w:name="_Toc296890985"/>
      <w:bookmarkStart w:id="83" w:name="_Toc292559362"/>
      <w:bookmarkStart w:id="84" w:name="_Toc296891197"/>
      <w:bookmarkStart w:id="85" w:name="_Toc292559867"/>
      <w:bookmarkStart w:id="86" w:name="_Toc296347156"/>
      <w:bookmarkStart w:id="87" w:name="_Toc297048343"/>
      <w:r>
        <w:rPr>
          <w:rFonts w:hint="eastAsia" w:cs="宋体"/>
          <w:color w:val="auto"/>
          <w:sz w:val="21"/>
          <w:szCs w:val="21"/>
          <w:highlight w:val="none"/>
        </w:rPr>
        <w:t>. 发包人</w:t>
      </w:r>
      <w:bookmarkEnd w:id="77"/>
    </w:p>
    <w:bookmarkEnd w:id="78"/>
    <w:bookmarkEnd w:id="79"/>
    <w:bookmarkEnd w:id="80"/>
    <w:bookmarkEnd w:id="81"/>
    <w:bookmarkEnd w:id="82"/>
    <w:bookmarkEnd w:id="83"/>
    <w:bookmarkEnd w:id="84"/>
    <w:bookmarkEnd w:id="85"/>
    <w:bookmarkEnd w:id="86"/>
    <w:bookmarkEnd w:id="87"/>
    <w:p w14:paraId="2BF858B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2.2 发包人代表</w:t>
      </w:r>
    </w:p>
    <w:p w14:paraId="3C1147D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发包人代表：</w:t>
      </w:r>
    </w:p>
    <w:p w14:paraId="64BC8C6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E6EB6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0302E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ED6BE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DE92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C3189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00665">
      <w:pPr>
        <w:pageBreakBefore w:val="0"/>
        <w:widowControl w:val="0"/>
        <w:kinsoku/>
        <w:wordWrap/>
        <w:overflowPunct/>
        <w:topLinePunct w:val="0"/>
        <w:bidi w:val="0"/>
        <w:adjustRightInd w:val="0"/>
        <w:snapToGrid w:val="0"/>
        <w:spacing w:line="400" w:lineRule="exact"/>
        <w:ind w:firstLine="420" w:firstLineChars="200"/>
        <w:textAlignment w:val="auto"/>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ascii="宋体" w:cs="宋体"/>
          <w:color w:val="auto"/>
          <w:sz w:val="21"/>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r>
        <w:rPr>
          <w:rFonts w:hint="eastAsia" w:cs="宋体"/>
          <w:color w:val="auto"/>
          <w:sz w:val="21"/>
          <w:szCs w:val="21"/>
          <w:highlight w:val="none"/>
        </w:rPr>
        <w:t>。</w:t>
      </w:r>
    </w:p>
    <w:p w14:paraId="4103099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27F7FA2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2.4.1 提供施工现场</w:t>
      </w:r>
    </w:p>
    <w:p w14:paraId="598B839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发包人应最迟于开工日期7天前向承包人移交施工现场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54504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2.4.2 提供施工条件</w:t>
      </w:r>
    </w:p>
    <w:p w14:paraId="41FAE8F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DAF0A7">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1BDF31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E4C49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0F73CC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A0BBAE2">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88" w:name="_Toc351203635"/>
      <w:r>
        <w:rPr>
          <w:rFonts w:hint="eastAsia" w:cs="宋体"/>
          <w:color w:val="auto"/>
          <w:sz w:val="21"/>
          <w:szCs w:val="21"/>
          <w:highlight w:val="none"/>
        </w:rPr>
        <w:t>3</w:t>
      </w:r>
      <w:bookmarkStart w:id="89" w:name="_Toc297048344"/>
      <w:bookmarkStart w:id="90" w:name="_Toc296347157"/>
      <w:bookmarkStart w:id="91" w:name="_Toc296503158"/>
      <w:bookmarkStart w:id="92" w:name="_Toc292559868"/>
      <w:bookmarkStart w:id="93" w:name="_Toc296890986"/>
      <w:bookmarkStart w:id="94" w:name="_Toc296944497"/>
      <w:bookmarkStart w:id="95" w:name="_Toc292559363"/>
      <w:bookmarkStart w:id="96" w:name="_Toc297120458"/>
      <w:bookmarkStart w:id="97" w:name="_Toc296891198"/>
      <w:bookmarkStart w:id="98" w:name="_Toc296346659"/>
      <w:r>
        <w:rPr>
          <w:rFonts w:hint="eastAsia" w:cs="宋体"/>
          <w:color w:val="auto"/>
          <w:sz w:val="21"/>
          <w:szCs w:val="21"/>
          <w:highlight w:val="none"/>
        </w:rPr>
        <w:t>. 承包人</w:t>
      </w:r>
      <w:bookmarkEnd w:id="88"/>
    </w:p>
    <w:bookmarkEnd w:id="89"/>
    <w:bookmarkEnd w:id="90"/>
    <w:bookmarkEnd w:id="91"/>
    <w:bookmarkEnd w:id="92"/>
    <w:bookmarkEnd w:id="93"/>
    <w:bookmarkEnd w:id="94"/>
    <w:bookmarkEnd w:id="95"/>
    <w:bookmarkEnd w:id="96"/>
    <w:bookmarkEnd w:id="97"/>
    <w:bookmarkEnd w:id="98"/>
    <w:p w14:paraId="7EE7EAE4">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3.1 承包人的一般义务</w:t>
      </w:r>
    </w:p>
    <w:p w14:paraId="42F5C0C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（9）承包人提交的竣工资料的内容：</w:t>
      </w:r>
      <w:r>
        <w:rPr>
          <w:rFonts w:hint="eastAsia" w:ascii="宋体" w:cs="宋体"/>
          <w:color w:val="auto"/>
          <w:sz w:val="21"/>
          <w:szCs w:val="21"/>
          <w:highlight w:val="none"/>
          <w:u w:val="single"/>
        </w:rPr>
        <w:t>按相关要求执行，包括但不限于竣工图、竣工报告、项目质检资料、结算资料等</w:t>
      </w:r>
      <w:r>
        <w:rPr>
          <w:rFonts w:hint="eastAsia" w:cs="宋体"/>
          <w:color w:val="auto"/>
          <w:sz w:val="21"/>
          <w:szCs w:val="21"/>
          <w:highlight w:val="none"/>
        </w:rPr>
        <w:t>。</w:t>
      </w:r>
    </w:p>
    <w:p w14:paraId="13BD3C6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按相关要求执行，且不少于3套</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DDC1E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2393F3C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竣工验收合格后15日内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DCC85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纸质及电子形式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07E0B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ascii="宋体" w:cs="宋体"/>
          <w:color w:val="auto"/>
          <w:sz w:val="21"/>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遵守滁重[2020]53号《关于限制不良建筑市场主体投标的规定》的；⑥月工程量进度及时完成；⑦按规定提供工程资料并及时归档的</w:t>
      </w:r>
      <w:r>
        <w:rPr>
          <w:rFonts w:hint="eastAsia" w:cs="宋体"/>
          <w:color w:val="auto"/>
          <w:sz w:val="21"/>
          <w:szCs w:val="21"/>
          <w:highlight w:val="none"/>
        </w:rPr>
        <w:t>。</w:t>
      </w:r>
    </w:p>
    <w:p w14:paraId="504D6C1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3.2 项目经理</w:t>
      </w:r>
    </w:p>
    <w:p w14:paraId="54957DF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3.2.1 项目经理：</w:t>
      </w:r>
    </w:p>
    <w:p w14:paraId="4E663AA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D840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327DE1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405C2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07D2D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E76BB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2C33B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D4EA6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75587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0F03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30379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ascii="宋体" w:cs="宋体"/>
          <w:color w:val="auto"/>
          <w:sz w:val="21"/>
          <w:szCs w:val="21"/>
          <w:highlight w:val="none"/>
          <w:u w:val="single"/>
          <w:shd w:val="clear" w:color="auto" w:fill="auto"/>
        </w:rPr>
        <w:t>项目经理每月在岗时间不得少于20天，施工现场其他管理人员每月在岗时间不得少于22天</w:t>
      </w:r>
      <w:r>
        <w:rPr>
          <w:rFonts w:hint="eastAsia" w:cs="宋体"/>
          <w:color w:val="auto"/>
          <w:sz w:val="21"/>
          <w:szCs w:val="21"/>
          <w:highlight w:val="none"/>
          <w:u w:val="single"/>
        </w:rPr>
        <w:t>。</w:t>
      </w:r>
    </w:p>
    <w:p w14:paraId="6472E89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签订本合同前提供，资格审查时已提供的，不再重复提供</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33873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lang w:val="en-US" w:eastAsia="zh-CN"/>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r>
        <w:rPr>
          <w:rFonts w:hint="eastAsia" w:cs="宋体"/>
          <w:color w:val="auto"/>
          <w:sz w:val="21"/>
          <w:szCs w:val="21"/>
          <w:highlight w:val="none"/>
          <w:u w:val="single"/>
        </w:rPr>
        <w:t>。</w:t>
      </w:r>
    </w:p>
    <w:p w14:paraId="4AABDFA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3.2.3 承包人擅自更换项目经理的违约责任：</w:t>
      </w:r>
    </w:p>
    <w:p w14:paraId="5B92B4C1">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u w:val="singl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2503AA9">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u w:val="single"/>
        </w:rPr>
      </w:pPr>
      <w:r>
        <w:rPr>
          <w:rFonts w:hint="eastAsia" w:cs="宋体"/>
          <w:color w:val="auto"/>
          <w:sz w:val="21"/>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采购文件和响应承诺配备的同等条件人员，并按照滁州市有关规定履行变更审批程序。</w:t>
      </w:r>
    </w:p>
    <w:p w14:paraId="5E162E4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将组织对项目经理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r>
        <w:rPr>
          <w:rFonts w:hint="eastAsia" w:cs="宋体"/>
          <w:color w:val="auto"/>
          <w:sz w:val="21"/>
          <w:szCs w:val="21"/>
          <w:highlight w:val="none"/>
        </w:rPr>
        <w:t>。</w:t>
      </w:r>
    </w:p>
    <w:p w14:paraId="03DADAC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3.3 承包人人员</w:t>
      </w:r>
    </w:p>
    <w:p w14:paraId="0000BE1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shd w:val="clear" w:color="auto" w:fill="auto"/>
          <w:lang w:val="en-US" w:eastAsia="zh-CN"/>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r>
        <w:rPr>
          <w:rFonts w:hint="eastAsia" w:cs="宋体"/>
          <w:color w:val="auto"/>
          <w:sz w:val="21"/>
          <w:szCs w:val="21"/>
          <w:highlight w:val="none"/>
        </w:rPr>
        <w:t>。</w:t>
      </w:r>
    </w:p>
    <w:p w14:paraId="50F51C8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lang w:val="en-US" w:eastAsia="zh-CN"/>
        </w:rPr>
        <w:t>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r>
        <w:rPr>
          <w:rFonts w:hint="eastAsia" w:cs="宋体"/>
          <w:color w:val="auto"/>
          <w:sz w:val="21"/>
          <w:szCs w:val="21"/>
          <w:highlight w:val="none"/>
        </w:rPr>
        <w:t>。</w:t>
      </w:r>
    </w:p>
    <w:p w14:paraId="1CAD399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05F10">
      <w:pPr>
        <w:pageBreakBefore w:val="0"/>
        <w:widowControl w:val="0"/>
        <w:kinsoku/>
        <w:wordWrap/>
        <w:overflowPunct/>
        <w:topLinePunct w:val="0"/>
        <w:bidi w:val="0"/>
        <w:adjustRightInd w:val="0"/>
        <w:snapToGrid w:val="0"/>
        <w:spacing w:line="400" w:lineRule="exact"/>
        <w:ind w:firstLine="424" w:firstLineChars="202"/>
        <w:textAlignment w:val="auto"/>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8F95F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按照未按规定在岗履责进行处罚 </w:t>
      </w:r>
      <w:r>
        <w:rPr>
          <w:rFonts w:hint="eastAsia" w:cs="宋体"/>
          <w:color w:val="auto"/>
          <w:sz w:val="21"/>
          <w:szCs w:val="21"/>
          <w:highlight w:val="none"/>
        </w:rPr>
        <w:t>。</w:t>
      </w:r>
    </w:p>
    <w:p w14:paraId="62650FA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w:t>
      </w:r>
      <w:bookmarkStart w:id="99" w:name="_Toc300934945"/>
      <w:bookmarkStart w:id="100" w:name="_Toc296890987"/>
      <w:bookmarkStart w:id="101" w:name="_Toc296891199"/>
      <w:bookmarkStart w:id="102" w:name="_Toc297048345"/>
      <w:bookmarkStart w:id="103" w:name="_Toc292559869"/>
      <w:bookmarkStart w:id="104" w:name="_Toc296503159"/>
      <w:bookmarkStart w:id="105" w:name="_Toc304295523"/>
      <w:bookmarkStart w:id="106" w:name="_Toc297216151"/>
      <w:bookmarkStart w:id="107" w:name="_Toc297120459"/>
      <w:bookmarkStart w:id="108" w:name="_Toc296944498"/>
      <w:bookmarkStart w:id="109" w:name="_Toc297123492"/>
      <w:bookmarkStart w:id="110" w:name="_Toc296346660"/>
      <w:bookmarkStart w:id="111" w:name="_Toc303539102"/>
      <w:bookmarkStart w:id="112" w:name="_Toc296347158"/>
      <w:bookmarkStart w:id="113" w:name="_Toc292559364"/>
      <w:bookmarkStart w:id="114" w:name="_Toc312677988"/>
      <w:r>
        <w:rPr>
          <w:rFonts w:hint="eastAsia" w:cs="宋体"/>
          <w:bCs/>
          <w:color w:val="auto"/>
          <w:sz w:val="21"/>
          <w:szCs w:val="21"/>
          <w:highlight w:val="none"/>
        </w:rPr>
        <w:t>.5 分包</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1EC75ED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w:t>
      </w:r>
      <w:bookmarkStart w:id="115" w:name="_Toc292559870"/>
      <w:bookmarkStart w:id="116" w:name="_Toc297123493"/>
      <w:bookmarkStart w:id="117" w:name="_Toc296346661"/>
      <w:bookmarkStart w:id="118" w:name="_Toc303539103"/>
      <w:bookmarkStart w:id="119" w:name="_Toc297120460"/>
      <w:bookmarkStart w:id="120" w:name="_Toc296347159"/>
      <w:bookmarkStart w:id="121" w:name="_Toc296891200"/>
      <w:bookmarkStart w:id="122" w:name="_Toc304295524"/>
      <w:bookmarkStart w:id="123" w:name="_Toc297216152"/>
      <w:bookmarkStart w:id="124" w:name="_Toc296944499"/>
      <w:bookmarkStart w:id="125" w:name="_Toc300934946"/>
      <w:bookmarkStart w:id="126" w:name="_Toc296503160"/>
      <w:bookmarkStart w:id="127" w:name="_Toc292559365"/>
      <w:bookmarkStart w:id="128" w:name="_Toc297048346"/>
      <w:bookmarkStart w:id="129" w:name="_Toc296890988"/>
      <w:bookmarkStart w:id="130" w:name="_Toc312677989"/>
      <w:bookmarkStart w:id="131" w:name="_Toc318581158"/>
      <w:r>
        <w:rPr>
          <w:rFonts w:hint="eastAsia" w:cs="宋体"/>
          <w:color w:val="auto"/>
          <w:sz w:val="21"/>
          <w:szCs w:val="21"/>
          <w:highlight w:val="none"/>
        </w:rPr>
        <w:t>.5.1 分包的一般约定</w:t>
      </w:r>
    </w:p>
    <w:p w14:paraId="5781725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color w:val="auto"/>
          <w:spacing w:val="-7"/>
          <w:sz w:val="21"/>
          <w:szCs w:val="21"/>
          <w:highlight w:val="none"/>
          <w:u w:val="single" w:color="auto"/>
        </w:rPr>
        <w:t>按照发包人及相关国家规范要求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77DF2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主体结构、关键性工作的范围：</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Start w:id="132" w:name="_Toc297120461"/>
      <w:bookmarkStart w:id="133" w:name="_Toc300934947"/>
      <w:bookmarkStart w:id="134" w:name="_Toc297048347"/>
      <w:bookmarkStart w:id="135" w:name="_Toc297216153"/>
      <w:bookmarkStart w:id="136" w:name="_Toc303539104"/>
      <w:bookmarkStart w:id="137" w:name="_Toc296891201"/>
      <w:bookmarkStart w:id="138" w:name="_Toc296890989"/>
      <w:bookmarkStart w:id="139" w:name="_Toc296346662"/>
      <w:bookmarkStart w:id="140" w:name="_Toc296347160"/>
      <w:bookmarkStart w:id="141" w:name="_Toc297123494"/>
      <w:bookmarkStart w:id="142" w:name="_Toc296944500"/>
      <w:bookmarkStart w:id="143" w:name="_Toc304295525"/>
      <w:bookmarkStart w:id="144" w:name="_Toc296503161"/>
      <w:r>
        <w:rPr>
          <w:rFonts w:hint="eastAsia" w:cs="宋体"/>
          <w:color w:val="auto"/>
          <w:sz w:val="21"/>
          <w:szCs w:val="21"/>
          <w:highlight w:val="none"/>
          <w:u w:val="single"/>
        </w:rPr>
        <w:t xml:space="preserve"> 房建、水利工程为主体结构；市政工程为道路基层、面层；桥梁为主体结构；园林景观工程为绿化采购、栽植、养护；等等 </w:t>
      </w:r>
      <w:r>
        <w:rPr>
          <w:rFonts w:hint="eastAsia" w:cs="宋体"/>
          <w:color w:val="auto"/>
          <w:sz w:val="21"/>
          <w:szCs w:val="21"/>
          <w:highlight w:val="none"/>
        </w:rPr>
        <w:t>。</w:t>
      </w:r>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14:paraId="2B4A037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w:t>
      </w:r>
      <w:bookmarkStart w:id="145" w:name="_Toc318581159"/>
      <w:bookmarkStart w:id="146" w:name="_Toc312677990"/>
      <w:r>
        <w:rPr>
          <w:rFonts w:hint="eastAsia" w:cs="宋体"/>
          <w:color w:val="auto"/>
          <w:sz w:val="21"/>
          <w:szCs w:val="21"/>
          <w:highlight w:val="none"/>
        </w:rPr>
        <w:t>.5.2 分包的确定</w:t>
      </w:r>
    </w:p>
    <w:p w14:paraId="210D557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u w:val="single"/>
          <w:shd w:val="clear" w:color="auto" w:fill="auto"/>
          <w:lang w:val="en-US" w:eastAsia="zh-CN"/>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121E2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shd w:val="clear" w:color="auto" w:fill="auto"/>
          <w:lang w:val="en-US" w:eastAsia="zh-CN"/>
        </w:rPr>
        <w:t>承包人不得以劳务分包的名义转包或违法分包工程。</w:t>
      </w:r>
      <w:r>
        <w:rPr>
          <w:rFonts w:hint="eastAsia" w:cs="宋体"/>
          <w:b/>
          <w:bCs/>
          <w:color w:val="auto"/>
          <w:sz w:val="21"/>
          <w:szCs w:val="21"/>
          <w:highlight w:val="none"/>
          <w:u w:val="single"/>
          <w:shd w:val="clear" w:color="auto" w:fill="auto"/>
          <w:lang w:val="en-US" w:eastAsia="zh-CN"/>
        </w:rPr>
        <w:t>发包人在施工进场第一个月或施工过程中发现承包人转包、挂靠等行为的，发包人立即解除合同，清退出场，承包人已完合格工程量按合同价款70%进行结算</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609C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3.5.4 分包合同价款</w:t>
      </w:r>
    </w:p>
    <w:p w14:paraId="4799AFE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lang w:val="en-US" w:eastAsia="zh-CN"/>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cs="宋体"/>
          <w:color w:val="auto"/>
          <w:sz w:val="21"/>
          <w:szCs w:val="21"/>
          <w:highlight w:val="none"/>
        </w:rPr>
        <w:t>。</w:t>
      </w:r>
    </w:p>
    <w:bookmarkEnd w:id="145"/>
    <w:bookmarkEnd w:id="146"/>
    <w:p w14:paraId="14D44BF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3441F09E">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u w:val="single"/>
          <w:lang w:val="en-US" w:eastAsia="zh-CN"/>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lang w:val="en-US" w:eastAsia="zh-CN"/>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0FE6AE4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3.7 履约保证金</w:t>
      </w:r>
    </w:p>
    <w:p w14:paraId="63B64E6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承包人是否提供履约保证金：</w:t>
      </w:r>
      <w:r>
        <w:rPr>
          <w:rFonts w:hint="eastAsia" w:ascii="宋体" w:hAnsi="宋体" w:eastAsia="宋体" w:cs="宋体"/>
          <w:color w:val="auto"/>
          <w:sz w:val="21"/>
          <w:szCs w:val="21"/>
          <w:highlight w:val="none"/>
          <w:u w:val="single"/>
        </w:rPr>
        <w:t>提供</w:t>
      </w:r>
      <w:r>
        <w:rPr>
          <w:rFonts w:hint="eastAsia" w:cs="宋体"/>
          <w:color w:val="auto"/>
          <w:sz w:val="21"/>
          <w:szCs w:val="21"/>
          <w:highlight w:val="none"/>
        </w:rPr>
        <w:t>。</w:t>
      </w:r>
    </w:p>
    <w:p w14:paraId="668844B4">
      <w:pPr>
        <w:pageBreakBefore w:val="0"/>
        <w:widowControl w:val="0"/>
        <w:kinsoku/>
        <w:wordWrap/>
        <w:overflowPunct/>
        <w:topLinePunct w:val="0"/>
        <w:bidi w:val="0"/>
        <w:adjustRightInd w:val="0"/>
        <w:snapToGrid w:val="0"/>
        <w:spacing w:line="400" w:lineRule="exact"/>
        <w:ind w:left="-70" w:leftChars="-35" w:firstLine="497" w:firstLineChars="237"/>
        <w:textAlignment w:val="auto"/>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41ECD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BCC53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AD9C7B1">
      <w:pPr>
        <w:pageBreakBefore w:val="0"/>
        <w:widowControl w:val="0"/>
        <w:kinsoku/>
        <w:wordWrap/>
        <w:overflowPunct/>
        <w:topLinePunct w:val="0"/>
        <w:bidi w:val="0"/>
        <w:adjustRightInd w:val="0"/>
        <w:snapToGrid w:val="0"/>
        <w:spacing w:line="400" w:lineRule="exact"/>
        <w:ind w:firstLine="420" w:firstLineChars="200"/>
        <w:textAlignment w:val="auto"/>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85F4656">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147" w:name="_Toc351203636"/>
      <w:r>
        <w:rPr>
          <w:rFonts w:hint="eastAsia" w:cs="宋体"/>
          <w:color w:val="auto"/>
          <w:sz w:val="21"/>
          <w:szCs w:val="21"/>
          <w:highlight w:val="none"/>
        </w:rPr>
        <w:t>4</w:t>
      </w:r>
      <w:bookmarkStart w:id="148" w:name="_Toc297120462"/>
      <w:bookmarkStart w:id="149" w:name="_Toc292559366"/>
      <w:bookmarkStart w:id="150" w:name="_Toc297048348"/>
      <w:bookmarkStart w:id="151" w:name="_Toc296346663"/>
      <w:bookmarkStart w:id="152" w:name="_Toc296944501"/>
      <w:bookmarkStart w:id="153" w:name="_Toc296347161"/>
      <w:bookmarkStart w:id="154" w:name="_Toc292559871"/>
      <w:bookmarkStart w:id="155" w:name="_Toc296503162"/>
      <w:bookmarkStart w:id="156" w:name="_Toc296890990"/>
      <w:bookmarkStart w:id="157" w:name="_Toc296891202"/>
      <w:bookmarkStart w:id="158" w:name="_Toc267251413"/>
      <w:r>
        <w:rPr>
          <w:rFonts w:hint="eastAsia" w:cs="宋体"/>
          <w:color w:val="auto"/>
          <w:sz w:val="21"/>
          <w:szCs w:val="21"/>
          <w:highlight w:val="none"/>
        </w:rPr>
        <w:t>. 监</w:t>
      </w:r>
      <w:bookmarkEnd w:id="148"/>
      <w:bookmarkEnd w:id="149"/>
      <w:bookmarkEnd w:id="150"/>
      <w:bookmarkEnd w:id="151"/>
      <w:bookmarkEnd w:id="152"/>
      <w:bookmarkEnd w:id="153"/>
      <w:bookmarkEnd w:id="154"/>
      <w:bookmarkEnd w:id="155"/>
      <w:bookmarkEnd w:id="156"/>
      <w:bookmarkEnd w:id="157"/>
      <w:bookmarkEnd w:id="158"/>
      <w:r>
        <w:rPr>
          <w:rFonts w:hint="eastAsia" w:cs="宋体"/>
          <w:color w:val="auto"/>
          <w:sz w:val="21"/>
          <w:szCs w:val="21"/>
          <w:highlight w:val="none"/>
        </w:rPr>
        <w:t>理人</w:t>
      </w:r>
      <w:bookmarkEnd w:id="147"/>
    </w:p>
    <w:p w14:paraId="3B25AA38">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4.1 监理人的一般规定</w:t>
      </w:r>
    </w:p>
    <w:p w14:paraId="5C613B7B">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ascii="宋体" w:cs="宋体"/>
          <w:color w:val="auto"/>
          <w:sz w:val="21"/>
          <w:szCs w:val="21"/>
          <w:highlight w:val="none"/>
          <w:u w:val="single"/>
          <w:shd w:val="clear" w:color="auto" w:fill="auto"/>
        </w:rPr>
        <w:t>详见监理合同</w:t>
      </w:r>
      <w:r>
        <w:rPr>
          <w:rFonts w:hint="eastAsia" w:cs="宋体"/>
          <w:color w:val="auto"/>
          <w:sz w:val="21"/>
          <w:szCs w:val="21"/>
          <w:highlight w:val="none"/>
        </w:rPr>
        <w:t>。</w:t>
      </w:r>
    </w:p>
    <w:p w14:paraId="0EA03A7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关于监理人的监理权限：</w:t>
      </w:r>
      <w:r>
        <w:rPr>
          <w:rFonts w:hint="eastAsia" w:ascii="宋体" w:cs="宋体"/>
          <w:color w:val="auto"/>
          <w:sz w:val="21"/>
          <w:szCs w:val="21"/>
          <w:highlight w:val="none"/>
          <w:u w:val="single"/>
          <w:shd w:val="clear" w:color="auto" w:fill="auto"/>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w:t>
      </w:r>
      <w:r>
        <w:rPr>
          <w:rFonts w:hint="eastAsia" w:cs="宋体"/>
          <w:color w:val="auto"/>
          <w:sz w:val="21"/>
          <w:szCs w:val="21"/>
          <w:highlight w:val="none"/>
        </w:rPr>
        <w:t>。</w:t>
      </w:r>
    </w:p>
    <w:p w14:paraId="6EFAC7A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ascii="宋体" w:cs="宋体"/>
          <w:color w:val="auto"/>
          <w:sz w:val="21"/>
          <w:szCs w:val="21"/>
          <w:highlight w:val="none"/>
          <w:u w:val="single"/>
          <w:shd w:val="clear" w:color="auto" w:fill="auto"/>
        </w:rPr>
        <w:t>办公场所由承包人提供和承担，生活场所由监理人自行解决和承担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FDB34B">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4.2 监理人员</w:t>
      </w:r>
    </w:p>
    <w:p w14:paraId="79AA925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总监理工程师：</w:t>
      </w:r>
    </w:p>
    <w:p w14:paraId="43DCF04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C9406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BCE26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31A4A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FDC35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5BA98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BD1A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8A20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4.4 商定或确定</w:t>
      </w:r>
    </w:p>
    <w:p w14:paraId="44B1A20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bookmarkStart w:id="159" w:name="_Toc267251418"/>
      <w:r>
        <w:rPr>
          <w:rFonts w:hint="eastAsia" w:cs="宋体"/>
          <w:color w:val="auto"/>
          <w:sz w:val="21"/>
          <w:szCs w:val="21"/>
          <w:highlight w:val="none"/>
        </w:rPr>
        <w:t>在发包人和承包人不能通过协商达成一致意见时，发包人授权监理人对以下事项进行确定：</w:t>
      </w:r>
    </w:p>
    <w:p w14:paraId="2D7F948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施工方案</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3CA00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索赔事项等</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4421C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5490E4">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160" w:name="_Toc351203637"/>
      <w:r>
        <w:rPr>
          <w:rFonts w:hint="eastAsia" w:cs="宋体"/>
          <w:color w:val="auto"/>
          <w:sz w:val="21"/>
          <w:szCs w:val="21"/>
          <w:highlight w:val="none"/>
        </w:rPr>
        <w:t>5</w:t>
      </w:r>
      <w:bookmarkEnd w:id="159"/>
      <w:bookmarkStart w:id="161" w:name="_Toc296347162"/>
      <w:bookmarkStart w:id="162" w:name="_Toc296346664"/>
      <w:bookmarkStart w:id="163" w:name="_Toc296503163"/>
      <w:bookmarkStart w:id="164" w:name="_Toc297120463"/>
      <w:bookmarkStart w:id="165" w:name="_Toc292559872"/>
      <w:bookmarkStart w:id="166" w:name="_Toc296944502"/>
      <w:bookmarkStart w:id="167" w:name="_Toc292559367"/>
      <w:bookmarkStart w:id="168" w:name="_Toc296890991"/>
      <w:bookmarkStart w:id="169" w:name="_Toc297048349"/>
      <w:bookmarkStart w:id="170" w:name="_Toc296891203"/>
      <w:r>
        <w:rPr>
          <w:rFonts w:hint="eastAsia" w:cs="宋体"/>
          <w:color w:val="auto"/>
          <w:sz w:val="21"/>
          <w:szCs w:val="21"/>
          <w:highlight w:val="none"/>
        </w:rPr>
        <w:t>. 工程质量</w:t>
      </w:r>
      <w:bookmarkEnd w:id="160"/>
    </w:p>
    <w:p w14:paraId="7184F254">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5.1 质量要求</w:t>
      </w:r>
    </w:p>
    <w:p w14:paraId="7E16412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5</w:t>
      </w:r>
      <w:bookmarkStart w:id="171" w:name="_Toc312677997"/>
      <w:bookmarkStart w:id="172" w:name="_Toc297216155"/>
      <w:bookmarkStart w:id="173" w:name="_Toc304295527"/>
      <w:bookmarkStart w:id="174" w:name="_Toc318581164"/>
      <w:bookmarkStart w:id="175" w:name="_Toc300934949"/>
      <w:bookmarkStart w:id="176" w:name="_Toc303539106"/>
      <w:bookmarkStart w:id="177" w:name="_Toc297123496"/>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BB0BD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2FE67C">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bookmarkStart w:id="178" w:name="_Toc351203638"/>
      <w:r>
        <w:rPr>
          <w:rFonts w:hint="eastAsia" w:cs="宋体"/>
          <w:color w:val="auto"/>
          <w:sz w:val="21"/>
          <w:szCs w:val="21"/>
          <w:highlight w:val="none"/>
        </w:rPr>
        <w:t>关于建造要求：</w:t>
      </w:r>
    </w:p>
    <w:p w14:paraId="277D56E6">
      <w:pPr>
        <w:pStyle w:val="14"/>
        <w:pageBreakBefore w:val="0"/>
        <w:widowControl w:val="0"/>
        <w:kinsoku/>
        <w:wordWrap/>
        <w:overflowPunct/>
        <w:topLinePunct w:val="0"/>
        <w:bidi w:val="0"/>
        <w:snapToGrid w:val="0"/>
        <w:spacing w:line="400" w:lineRule="exact"/>
        <w:ind w:firstLine="480"/>
        <w:textAlignment w:val="auto"/>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3F0A21">
      <w:pPr>
        <w:pStyle w:val="14"/>
        <w:pageBreakBefore w:val="0"/>
        <w:widowControl w:val="0"/>
        <w:kinsoku/>
        <w:wordWrap/>
        <w:overflowPunct/>
        <w:topLinePunct w:val="0"/>
        <w:bidi w:val="0"/>
        <w:snapToGrid w:val="0"/>
        <w:spacing w:line="400" w:lineRule="exact"/>
        <w:ind w:firstLine="480"/>
        <w:textAlignment w:val="auto"/>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5D0720">
      <w:pPr>
        <w:pStyle w:val="14"/>
        <w:pageBreakBefore w:val="0"/>
        <w:widowControl w:val="0"/>
        <w:kinsoku/>
        <w:wordWrap/>
        <w:overflowPunct/>
        <w:topLinePunct w:val="0"/>
        <w:bidi w:val="0"/>
        <w:snapToGrid w:val="0"/>
        <w:spacing w:line="400" w:lineRule="exact"/>
        <w:ind w:firstLine="480"/>
        <w:textAlignment w:val="auto"/>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DB87896">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171127">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0D758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5.3 隐蔽工程检查</w:t>
      </w:r>
    </w:p>
    <w:p w14:paraId="497E6C46">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5.3.1隐蔽工程隐蔽前，承包人应当对工程隐蔽部位进行自检，并经自检确认是否具备覆盖条件。</w:t>
      </w:r>
    </w:p>
    <w:p w14:paraId="75209A5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7DF77F2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D8BAFE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1A28D9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监理人不能按时进行检查时，应提前</w:t>
      </w:r>
      <w:r>
        <w:rPr>
          <w:rFonts w:hint="eastAsia" w:ascii="宋体" w:cs="宋体"/>
          <w:color w:val="auto"/>
          <w:sz w:val="21"/>
          <w:szCs w:val="21"/>
          <w:highlight w:val="none"/>
          <w:u w:val="single"/>
          <w:shd w:val="clear" w:color="auto" w:fill="auto"/>
        </w:rPr>
        <w:t xml:space="preserve">  3  </w:t>
      </w:r>
      <w:r>
        <w:rPr>
          <w:rFonts w:hint="eastAsia" w:ascii="宋体" w:cs="宋体"/>
          <w:color w:val="auto"/>
          <w:sz w:val="21"/>
          <w:szCs w:val="21"/>
          <w:highlight w:val="none"/>
          <w:shd w:val="clear" w:color="auto" w:fill="auto"/>
        </w:rPr>
        <w:t>小时提交书面延期要求。</w:t>
      </w:r>
    </w:p>
    <w:p w14:paraId="2516C88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ascii="宋体" w:cs="宋体"/>
          <w:color w:val="auto"/>
          <w:sz w:val="21"/>
          <w:szCs w:val="21"/>
          <w:highlight w:val="none"/>
          <w:shd w:val="clear" w:color="auto" w:fill="auto"/>
        </w:rPr>
        <w:t>关于延期最长不得超过：</w:t>
      </w:r>
      <w:r>
        <w:rPr>
          <w:rFonts w:hint="eastAsia" w:ascii="宋体" w:cs="宋体"/>
          <w:color w:val="auto"/>
          <w:sz w:val="21"/>
          <w:szCs w:val="21"/>
          <w:highlight w:val="none"/>
          <w:u w:val="single"/>
          <w:shd w:val="clear" w:color="auto" w:fill="auto"/>
        </w:rPr>
        <w:t xml:space="preserve">  6  </w:t>
      </w:r>
      <w:r>
        <w:rPr>
          <w:rFonts w:hint="eastAsia" w:ascii="宋体" w:cs="宋体"/>
          <w:color w:val="auto"/>
          <w:sz w:val="21"/>
          <w:szCs w:val="21"/>
          <w:highlight w:val="none"/>
          <w:shd w:val="clear" w:color="auto" w:fill="auto"/>
        </w:rPr>
        <w:t>小时</w:t>
      </w:r>
      <w:r>
        <w:rPr>
          <w:rFonts w:hint="eastAsia" w:cs="宋体"/>
          <w:color w:val="auto"/>
          <w:sz w:val="21"/>
          <w:szCs w:val="21"/>
          <w:highlight w:val="none"/>
        </w:rPr>
        <w:t>。</w:t>
      </w:r>
    </w:p>
    <w:p w14:paraId="7AEB1AA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5</w:t>
      </w:r>
      <w:bookmarkStart w:id="179" w:name="_Toc337558762"/>
      <w:r>
        <w:rPr>
          <w:rFonts w:hint="eastAsia" w:cs="宋体"/>
          <w:bCs/>
          <w:color w:val="auto"/>
          <w:sz w:val="21"/>
          <w:szCs w:val="21"/>
          <w:highlight w:val="none"/>
        </w:rPr>
        <w:t>.4 不合格工程的处理</w:t>
      </w:r>
    </w:p>
    <w:bookmarkEnd w:id="179"/>
    <w:p w14:paraId="4E289058">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本款补充5.4.3项：</w:t>
      </w:r>
    </w:p>
    <w:p w14:paraId="54718DA8">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32F15EF">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本条补充5.6款：</w:t>
      </w:r>
    </w:p>
    <w:p w14:paraId="33049C28">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bookmarkStart w:id="180" w:name="_Toc532377348"/>
      <w:r>
        <w:rPr>
          <w:rFonts w:hint="eastAsia" w:cs="宋体"/>
          <w:bCs/>
          <w:color w:val="auto"/>
          <w:sz w:val="21"/>
          <w:szCs w:val="21"/>
          <w:highlight w:val="none"/>
        </w:rPr>
        <w:t>5.6 质量事故的处理</w:t>
      </w:r>
      <w:bookmarkEnd w:id="180"/>
    </w:p>
    <w:p w14:paraId="116D573E">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DE199C4">
      <w:pPr>
        <w:pageBreakBefore w:val="0"/>
        <w:widowControl w:val="0"/>
        <w:kinsoku/>
        <w:wordWrap/>
        <w:overflowPunct/>
        <w:topLinePunct w:val="0"/>
        <w:bidi w:val="0"/>
        <w:snapToGrid w:val="0"/>
        <w:spacing w:line="400" w:lineRule="exact"/>
        <w:ind w:firstLine="420" w:firstLineChars="200"/>
        <w:jc w:val="left"/>
        <w:textAlignment w:val="auto"/>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BDDC724">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78"/>
    </w:p>
    <w:p w14:paraId="0A71D13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6.1 安全文明施工</w:t>
      </w:r>
    </w:p>
    <w:bookmarkEnd w:id="171"/>
    <w:bookmarkEnd w:id="172"/>
    <w:bookmarkEnd w:id="173"/>
    <w:bookmarkEnd w:id="174"/>
    <w:bookmarkEnd w:id="175"/>
    <w:bookmarkEnd w:id="176"/>
    <w:bookmarkEnd w:id="177"/>
    <w:p w14:paraId="5C3E22E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bookmarkStart w:id="181" w:name="_Toc351203639"/>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DFFAE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ascii="宋体" w:cs="宋体"/>
          <w:color w:val="auto"/>
          <w:sz w:val="21"/>
          <w:szCs w:val="21"/>
          <w:highlight w:val="none"/>
          <w:u w:val="single"/>
          <w:shd w:val="clear" w:color="auto" w:fill="auto"/>
        </w:rPr>
        <w:t>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rFonts w:hint="eastAsia" w:cs="宋体"/>
          <w:color w:val="auto"/>
          <w:sz w:val="21"/>
          <w:szCs w:val="21"/>
          <w:highlight w:val="none"/>
        </w:rPr>
        <w:t>。</w:t>
      </w:r>
    </w:p>
    <w:p w14:paraId="282F746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由承包人负责</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6EFDD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6.1.5 文明施工</w:t>
      </w:r>
    </w:p>
    <w:p w14:paraId="4C10607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D6968A">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w:t>
      </w:r>
      <w:r>
        <w:rPr>
          <w:rFonts w:hint="eastAsia" w:ascii="宋体" w:hAnsi="宋体" w:cs="宋体"/>
          <w:bCs/>
          <w:color w:val="auto"/>
          <w:sz w:val="21"/>
          <w:szCs w:val="21"/>
          <w:highlight w:val="none"/>
          <w:u w:val="single"/>
          <w:shd w:val="clear" w:color="auto" w:fill="auto"/>
        </w:rPr>
        <w:t>按照《关于落实&lt;市规建委关于规范建设工程安全防护和文明施工措施费使用管理的通知&gt;的意见》，支付方式为：房建工程基础验收合格后支付40%，主体结构施工封</w:t>
      </w:r>
      <w:r>
        <w:rPr>
          <w:rFonts w:hint="eastAsia" w:ascii="宋体" w:hAnsi="宋体" w:cs="宋体"/>
          <w:bCs/>
          <w:color w:val="auto"/>
          <w:sz w:val="21"/>
          <w:szCs w:val="21"/>
          <w:highlight w:val="none"/>
          <w:u w:val="single"/>
          <w:shd w:val="clear" w:color="auto" w:fill="auto"/>
          <w:lang w:val="en-US" w:eastAsia="zh-CN"/>
        </w:rPr>
        <w:t>顶</w:t>
      </w:r>
      <w:r>
        <w:rPr>
          <w:rFonts w:hint="eastAsia" w:ascii="宋体" w:hAnsi="宋体" w:cs="宋体"/>
          <w:bCs/>
          <w:color w:val="auto"/>
          <w:sz w:val="21"/>
          <w:szCs w:val="21"/>
          <w:highlight w:val="none"/>
          <w:u w:val="single"/>
          <w:shd w:val="clear" w:color="auto" w:fill="auto"/>
        </w:rPr>
        <w:t>支付40%，工程初验合格支付剩余20%；市政基础设施工程正常开工并达到第一期工程请款条件时支付50%，工程初验合格后支付剩余50%。该费用付至施工企业在银行开立的专户。施工企业应当确保安全防护、文明施工措施费专款专用，在财务管理中单独列出安全防护、文明施工措施项目费用清单备查</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52F9140">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r>
        <w:rPr>
          <w:rFonts w:hint="eastAsia" w:cs="宋体"/>
          <w:color w:val="auto"/>
          <w:sz w:val="21"/>
          <w:szCs w:val="21"/>
          <w:highlight w:val="none"/>
        </w:rPr>
        <w:t>7. 工期和进度</w:t>
      </w:r>
      <w:bookmarkEnd w:id="181"/>
    </w:p>
    <w:p w14:paraId="02DD7C4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7.1 施工组织设计</w:t>
      </w:r>
    </w:p>
    <w:p w14:paraId="6FC5297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lang w:val="en-US" w:eastAsia="zh-CN"/>
        </w:rPr>
        <w:t>本工程需按照总进度计划编制每月施工进度计划，经监理、发包人审批后作为进度考核和进度款支付的依据。</w:t>
      </w:r>
    </w:p>
    <w:p w14:paraId="7A50F64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7.1.2 施工组织设计的提交和修改</w:t>
      </w:r>
    </w:p>
    <w:p w14:paraId="182F94E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lang w:val="en-US" w:eastAsia="zh-CN"/>
        </w:rPr>
        <w:t>图纸会审及设计交底后一周内提供标后实施性施工组织设计</w:t>
      </w:r>
      <w:r>
        <w:rPr>
          <w:rFonts w:hint="eastAsia" w:cs="宋体"/>
          <w:color w:val="auto"/>
          <w:sz w:val="21"/>
          <w:szCs w:val="21"/>
          <w:highlight w:val="none"/>
        </w:rPr>
        <w:t>。</w:t>
      </w:r>
    </w:p>
    <w:p w14:paraId="3EB2BE8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lang w:val="en-US" w:eastAsia="zh-CN"/>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C1632F">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182" w:name="_Toc297123514"/>
      <w:bookmarkStart w:id="183" w:name="_Toc312678005"/>
      <w:bookmarkStart w:id="184" w:name="_Toc300934966"/>
      <w:bookmarkStart w:id="185" w:name="_Toc297216173"/>
      <w:bookmarkStart w:id="186" w:name="_Toc312677479"/>
      <w:bookmarkStart w:id="187" w:name="_Toc303539123"/>
      <w:bookmarkStart w:id="188" w:name="_Toc304295541"/>
      <w:r>
        <w:rPr>
          <w:rFonts w:hint="eastAsia" w:cs="宋体"/>
          <w:bCs/>
          <w:color w:val="auto"/>
          <w:sz w:val="21"/>
          <w:szCs w:val="21"/>
          <w:highlight w:val="none"/>
        </w:rPr>
        <w:t>.2 施工进度计划</w:t>
      </w:r>
    </w:p>
    <w:p w14:paraId="19A1A32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7.2.2 施工进度计划的修订</w:t>
      </w:r>
    </w:p>
    <w:p w14:paraId="10261D9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lang w:val="en-US" w:eastAsia="zh-CN"/>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r>
        <w:rPr>
          <w:rFonts w:hint="eastAsia" w:cs="宋体"/>
          <w:color w:val="auto"/>
          <w:sz w:val="21"/>
          <w:szCs w:val="21"/>
          <w:highlight w:val="none"/>
        </w:rPr>
        <w:t>。</w:t>
      </w:r>
    </w:p>
    <w:p w14:paraId="392E549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7.3 开工</w:t>
      </w:r>
    </w:p>
    <w:p w14:paraId="22B493B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7.3.1 开工准备</w:t>
      </w:r>
    </w:p>
    <w:p w14:paraId="382747F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lang w:val="en-US" w:eastAsia="zh-CN"/>
        </w:rPr>
        <w:t>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r>
        <w:rPr>
          <w:rFonts w:hint="eastAsia" w:cs="宋体"/>
          <w:color w:val="auto"/>
          <w:sz w:val="21"/>
          <w:szCs w:val="21"/>
          <w:highlight w:val="none"/>
        </w:rPr>
        <w:t>。</w:t>
      </w:r>
    </w:p>
    <w:p w14:paraId="4380A56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lang w:val="en-US" w:eastAsia="zh-CN"/>
        </w:rPr>
        <w:t>合同当事人应按约定完成开工准备工作</w:t>
      </w:r>
      <w:r>
        <w:rPr>
          <w:rFonts w:hint="eastAsia" w:cs="宋体"/>
          <w:color w:val="auto"/>
          <w:sz w:val="21"/>
          <w:szCs w:val="21"/>
          <w:highlight w:val="none"/>
        </w:rPr>
        <w:t>。</w:t>
      </w:r>
    </w:p>
    <w:p w14:paraId="6943DFA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lang w:val="en-US" w:eastAsia="zh-CN"/>
        </w:rPr>
        <w:t>合同当事人应按约定完成开工准备工作</w:t>
      </w:r>
      <w:r>
        <w:rPr>
          <w:rFonts w:hint="eastAsia" w:cs="宋体"/>
          <w:color w:val="auto"/>
          <w:sz w:val="21"/>
          <w:szCs w:val="21"/>
          <w:highlight w:val="none"/>
        </w:rPr>
        <w:t>。</w:t>
      </w:r>
    </w:p>
    <w:p w14:paraId="0AC9A9C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7.3.2 开工通知</w:t>
      </w:r>
    </w:p>
    <w:p w14:paraId="1B2DE37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90</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2"/>
    <w:bookmarkEnd w:id="183"/>
    <w:bookmarkEnd w:id="184"/>
    <w:bookmarkEnd w:id="185"/>
    <w:bookmarkEnd w:id="186"/>
    <w:bookmarkEnd w:id="187"/>
    <w:bookmarkEnd w:id="188"/>
    <w:p w14:paraId="2464084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7.4 测量放线</w:t>
      </w:r>
    </w:p>
    <w:p w14:paraId="0EE2A44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 </w:t>
      </w:r>
      <w:r>
        <w:rPr>
          <w:rFonts w:hint="eastAsia" w:cs="宋体"/>
          <w:color w:val="auto"/>
          <w:sz w:val="21"/>
          <w:szCs w:val="21"/>
          <w:highlight w:val="none"/>
        </w:rPr>
        <w:t>。</w:t>
      </w:r>
    </w:p>
    <w:p w14:paraId="2D52F01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189" w:name="_Toc312678010"/>
      <w:bookmarkStart w:id="190" w:name="_Toc297216175"/>
      <w:bookmarkStart w:id="191" w:name="_Toc304295546"/>
      <w:bookmarkStart w:id="192" w:name="_Toc297123516"/>
      <w:bookmarkStart w:id="193" w:name="_Toc300934968"/>
      <w:bookmarkStart w:id="194" w:name="_Toc312677484"/>
      <w:bookmarkStart w:id="195" w:name="_Toc303539125"/>
      <w:r>
        <w:rPr>
          <w:rFonts w:hint="eastAsia" w:cs="宋体"/>
          <w:bCs/>
          <w:color w:val="auto"/>
          <w:sz w:val="21"/>
          <w:szCs w:val="21"/>
          <w:highlight w:val="none"/>
        </w:rPr>
        <w:t>.5 工期延误</w:t>
      </w:r>
    </w:p>
    <w:bookmarkEnd w:id="189"/>
    <w:bookmarkEnd w:id="190"/>
    <w:bookmarkEnd w:id="191"/>
    <w:bookmarkEnd w:id="192"/>
    <w:bookmarkEnd w:id="193"/>
    <w:bookmarkEnd w:id="194"/>
    <w:bookmarkEnd w:id="195"/>
    <w:p w14:paraId="06EB59D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7.5.1 因发包人原因导致工期延误</w:t>
      </w:r>
    </w:p>
    <w:p w14:paraId="16E740D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27AE3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w:t>
      </w:r>
      <w:bookmarkStart w:id="196" w:name="_Toc312678012"/>
      <w:bookmarkStart w:id="197" w:name="_Toc318581169"/>
      <w:bookmarkStart w:id="198" w:name="_Toc312677486"/>
      <w:bookmarkStart w:id="199" w:name="_Toc300934970"/>
      <w:bookmarkStart w:id="200" w:name="_Toc297123518"/>
      <w:bookmarkStart w:id="201" w:name="_Toc303539127"/>
      <w:bookmarkStart w:id="202" w:name="_Toc297216177"/>
      <w:bookmarkStart w:id="203" w:name="_Toc304295548"/>
      <w:r>
        <w:rPr>
          <w:rFonts w:hint="eastAsia" w:cs="宋体"/>
          <w:color w:val="auto"/>
          <w:sz w:val="21"/>
          <w:szCs w:val="21"/>
          <w:highlight w:val="none"/>
        </w:rPr>
        <w:t>.5.2 因承包人原因导致工期延误</w:t>
      </w:r>
    </w:p>
    <w:bookmarkEnd w:id="196"/>
    <w:bookmarkEnd w:id="197"/>
    <w:bookmarkEnd w:id="198"/>
    <w:p w14:paraId="56BB168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因</w:t>
      </w:r>
      <w:bookmarkStart w:id="204" w:name="_Toc312678013"/>
      <w:bookmarkStart w:id="205" w:name="_Toc312677487"/>
      <w:bookmarkStart w:id="206"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199"/>
      <w:bookmarkEnd w:id="200"/>
      <w:bookmarkEnd w:id="201"/>
      <w:bookmarkEnd w:id="202"/>
      <w:bookmarkEnd w:id="203"/>
      <w:bookmarkEnd w:id="204"/>
      <w:bookmarkEnd w:id="205"/>
    </w:p>
    <w:bookmarkEnd w:id="206"/>
    <w:p w14:paraId="42688FF9">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因承包人原因造成工期延误，逾</w:t>
      </w:r>
      <w:bookmarkStart w:id="207" w:name="_Toc312678014"/>
      <w:bookmarkStart w:id="208" w:name="_Toc318581171"/>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D8E1C31">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u w:val="single"/>
        </w:rPr>
      </w:pPr>
      <w:r>
        <w:rPr>
          <w:rFonts w:hint="eastAsia" w:cs="宋体"/>
          <w:color w:val="auto"/>
          <w:sz w:val="21"/>
          <w:szCs w:val="21"/>
          <w:highlight w:val="none"/>
          <w:u w:val="single"/>
        </w:rPr>
        <w:t>（1）督促承包人采取有效的赶工措施（费用自理）；</w:t>
      </w:r>
    </w:p>
    <w:p w14:paraId="1D8A2851">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u w:val="single"/>
        </w:rPr>
      </w:pPr>
      <w:r>
        <w:rPr>
          <w:rFonts w:hint="eastAsia" w:cs="宋体"/>
          <w:color w:val="auto"/>
          <w:sz w:val="21"/>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14:paraId="3FA362C2">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u w:val="single"/>
        </w:rPr>
        <w:t>（3）对严重拖延工期，经发包人多次督促，承包人拒不执行的，发包人可中止施工合同，并和承包人进行清算。同时按原</w:t>
      </w:r>
      <w:r>
        <w:rPr>
          <w:rFonts w:hint="eastAsia" w:cs="宋体"/>
          <w:color w:val="auto"/>
          <w:sz w:val="21"/>
          <w:szCs w:val="21"/>
          <w:highlight w:val="none"/>
          <w:u w:val="single"/>
          <w:lang w:val="en-US" w:eastAsia="zh-CN"/>
        </w:rPr>
        <w:t>成交</w:t>
      </w:r>
      <w:r>
        <w:rPr>
          <w:rFonts w:hint="eastAsia" w:cs="宋体"/>
          <w:color w:val="auto"/>
          <w:sz w:val="21"/>
          <w:szCs w:val="21"/>
          <w:highlight w:val="none"/>
          <w:u w:val="single"/>
        </w:rPr>
        <w:t xml:space="preserve">价格另选同样资质的施工队伍进场施工，原承包人须无条件配合，不得以任何借口阻挠另选的施工队伍施工，不得向发包人提出任何索赔要求，详见补充条款。  </w:t>
      </w:r>
    </w:p>
    <w:bookmarkEnd w:id="207"/>
    <w:bookmarkEnd w:id="208"/>
    <w:p w14:paraId="35EE880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209" w:name="_Toc312678015"/>
      <w:bookmarkStart w:id="210" w:name="_Toc297216178"/>
      <w:bookmarkStart w:id="211" w:name="_Toc300934971"/>
      <w:bookmarkStart w:id="212" w:name="_Toc304295549"/>
      <w:bookmarkStart w:id="213" w:name="_Toc303539128"/>
      <w:bookmarkStart w:id="214" w:name="_Toc297123519"/>
      <w:r>
        <w:rPr>
          <w:rFonts w:hint="eastAsia" w:cs="宋体"/>
          <w:bCs/>
          <w:color w:val="auto"/>
          <w:sz w:val="21"/>
          <w:szCs w:val="21"/>
          <w:highlight w:val="none"/>
        </w:rPr>
        <w:t>.6 不</w:t>
      </w:r>
      <w:bookmarkEnd w:id="209"/>
      <w:bookmarkEnd w:id="210"/>
      <w:bookmarkEnd w:id="211"/>
      <w:bookmarkEnd w:id="212"/>
      <w:bookmarkEnd w:id="213"/>
      <w:bookmarkEnd w:id="214"/>
      <w:r>
        <w:rPr>
          <w:rFonts w:hint="eastAsia" w:cs="宋体"/>
          <w:bCs/>
          <w:color w:val="auto"/>
          <w:sz w:val="21"/>
          <w:szCs w:val="21"/>
          <w:highlight w:val="none"/>
        </w:rPr>
        <w:t>利物质条件</w:t>
      </w:r>
    </w:p>
    <w:p w14:paraId="55BA368D">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bookmarkStart w:id="215" w:name="_Toc297216179"/>
      <w:bookmarkStart w:id="216" w:name="_Toc303539129"/>
      <w:bookmarkStart w:id="217" w:name="_Toc300934972"/>
      <w:bookmarkStart w:id="218" w:name="_Toc297123520"/>
      <w:bookmarkStart w:id="219" w:name="_Toc318581172"/>
      <w:bookmarkStart w:id="220" w:name="_Toc312678016"/>
      <w:bookmarkStart w:id="221" w:name="_Toc304295550"/>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15"/>
    <w:bookmarkEnd w:id="216"/>
    <w:bookmarkEnd w:id="217"/>
    <w:bookmarkEnd w:id="218"/>
    <w:bookmarkEnd w:id="219"/>
    <w:bookmarkEnd w:id="220"/>
    <w:bookmarkEnd w:id="221"/>
    <w:p w14:paraId="4E43F5B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w:t>
      </w:r>
      <w:bookmarkStart w:id="222" w:name="_Toc304295551"/>
      <w:bookmarkStart w:id="223" w:name="_Toc297123521"/>
      <w:bookmarkStart w:id="224" w:name="_Toc303539130"/>
      <w:bookmarkStart w:id="225" w:name="_Toc300934973"/>
      <w:bookmarkStart w:id="226" w:name="_Toc312678017"/>
      <w:bookmarkStart w:id="227" w:name="_Toc297216180"/>
      <w:r>
        <w:rPr>
          <w:rFonts w:hint="eastAsia" w:cs="宋体"/>
          <w:bCs/>
          <w:color w:val="auto"/>
          <w:sz w:val="21"/>
          <w:szCs w:val="21"/>
          <w:highlight w:val="none"/>
        </w:rPr>
        <w:t>.7 异常恶劣的气候条件</w:t>
      </w:r>
    </w:p>
    <w:bookmarkEnd w:id="222"/>
    <w:bookmarkEnd w:id="223"/>
    <w:bookmarkEnd w:id="224"/>
    <w:bookmarkEnd w:id="225"/>
    <w:bookmarkEnd w:id="226"/>
    <w:bookmarkEnd w:id="227"/>
    <w:p w14:paraId="0CB840B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74A8493F">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403E1B">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6E6D89">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无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C6759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7.9 提前竣工</w:t>
      </w:r>
    </w:p>
    <w:p w14:paraId="61BCB64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238E138">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228" w:name="_Toc351203640"/>
      <w:r>
        <w:rPr>
          <w:rFonts w:hint="eastAsia" w:cs="宋体"/>
          <w:color w:val="auto"/>
          <w:sz w:val="21"/>
          <w:szCs w:val="21"/>
          <w:highlight w:val="none"/>
        </w:rPr>
        <w:t>8. 材料与设备</w:t>
      </w:r>
      <w:bookmarkEnd w:id="228"/>
    </w:p>
    <w:bookmarkEnd w:id="161"/>
    <w:bookmarkEnd w:id="162"/>
    <w:bookmarkEnd w:id="163"/>
    <w:bookmarkEnd w:id="164"/>
    <w:bookmarkEnd w:id="165"/>
    <w:bookmarkEnd w:id="166"/>
    <w:bookmarkEnd w:id="167"/>
    <w:bookmarkEnd w:id="168"/>
    <w:bookmarkEnd w:id="169"/>
    <w:bookmarkEnd w:id="170"/>
    <w:p w14:paraId="7D52BD8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8</w:t>
      </w:r>
      <w:bookmarkStart w:id="229" w:name="_Toc292559877"/>
      <w:bookmarkStart w:id="230" w:name="_Toc303539136"/>
      <w:bookmarkStart w:id="231" w:name="_Toc304295556"/>
      <w:bookmarkStart w:id="232" w:name="_Toc297120467"/>
      <w:bookmarkStart w:id="233" w:name="_Toc296347166"/>
      <w:bookmarkStart w:id="234" w:name="_Toc312677493"/>
      <w:bookmarkStart w:id="235" w:name="_Toc296890995"/>
      <w:bookmarkStart w:id="236" w:name="_Toc297123527"/>
      <w:bookmarkStart w:id="237" w:name="_Toc296346668"/>
      <w:bookmarkStart w:id="238" w:name="_Toc296891207"/>
      <w:bookmarkStart w:id="239" w:name="_Toc280868654"/>
      <w:bookmarkStart w:id="240" w:name="_Toc300934979"/>
      <w:bookmarkStart w:id="241" w:name="_Toc297048353"/>
      <w:bookmarkStart w:id="242" w:name="_Toc312678019"/>
      <w:bookmarkStart w:id="243" w:name="_Toc297216186"/>
      <w:bookmarkStart w:id="244" w:name="_Toc296944506"/>
      <w:bookmarkStart w:id="245" w:name="_Toc292559372"/>
      <w:bookmarkStart w:id="246" w:name="_Toc296503167"/>
      <w:bookmarkStart w:id="247" w:name="_Toc267251424"/>
      <w:bookmarkStart w:id="248" w:name="_Toc280868655"/>
      <w:bookmarkStart w:id="249" w:name="_Toc280868656"/>
      <w:r>
        <w:rPr>
          <w:rFonts w:hint="eastAsia" w:cs="宋体"/>
          <w:color w:val="auto"/>
          <w:sz w:val="21"/>
          <w:szCs w:val="21"/>
          <w:highlight w:val="none"/>
        </w:rPr>
        <w:t>.4 材料与工程设备的保管与使用</w:t>
      </w: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7E6E510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8</w:t>
      </w:r>
      <w:bookmarkStart w:id="250" w:name="_Toc292559878"/>
      <w:bookmarkStart w:id="251" w:name="_Toc292559373"/>
      <w:bookmarkStart w:id="252" w:name="_Toc297216187"/>
      <w:bookmarkStart w:id="253" w:name="_Toc304295557"/>
      <w:bookmarkStart w:id="254" w:name="_Toc296347167"/>
      <w:bookmarkStart w:id="255" w:name="_Toc312678020"/>
      <w:bookmarkStart w:id="256" w:name="_Toc296890996"/>
      <w:bookmarkStart w:id="257" w:name="_Toc297123528"/>
      <w:bookmarkStart w:id="258" w:name="_Toc296503168"/>
      <w:bookmarkStart w:id="259" w:name="_Toc312677494"/>
      <w:bookmarkStart w:id="260" w:name="_Toc303539137"/>
      <w:bookmarkStart w:id="261" w:name="_Toc296346669"/>
      <w:bookmarkStart w:id="262" w:name="_Toc318581173"/>
      <w:bookmarkStart w:id="263" w:name="_Toc300934980"/>
      <w:bookmarkStart w:id="264" w:name="_Toc296891208"/>
      <w:bookmarkStart w:id="265" w:name="_Toc297120468"/>
      <w:bookmarkStart w:id="266" w:name="_Toc296944507"/>
      <w:bookmarkStart w:id="267" w:name="_Toc297048354"/>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0"/>
      <w:bookmarkEnd w:id="251"/>
    </w:p>
    <w:p w14:paraId="2D1531E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8.6 样品</w:t>
      </w:r>
    </w:p>
    <w:p w14:paraId="710FFCB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8.6.1 样品的报送与封存</w:t>
      </w:r>
    </w:p>
    <w:p w14:paraId="74BB4C4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2D6C0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8.8 施工设备和临时设施</w:t>
      </w:r>
    </w:p>
    <w:p w14:paraId="5826692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8.8.1 承包人提供的施工设备和临时设施</w:t>
      </w:r>
    </w:p>
    <w:p w14:paraId="0D7B077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由承包人自行承担费用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59347D2">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268" w:name="_Toc351203641"/>
      <w:r>
        <w:rPr>
          <w:rFonts w:hint="eastAsia" w:cs="宋体"/>
          <w:color w:val="auto"/>
          <w:sz w:val="21"/>
          <w:szCs w:val="21"/>
          <w:highlight w:val="none"/>
        </w:rPr>
        <w:t>9</w:t>
      </w:r>
      <w:bookmarkEnd w:id="247"/>
      <w:bookmarkEnd w:id="248"/>
      <w:bookmarkEnd w:id="249"/>
      <w:bookmarkStart w:id="269" w:name="_Toc304295559"/>
      <w:bookmarkStart w:id="270" w:name="_Toc297123533"/>
      <w:bookmarkStart w:id="271" w:name="_Toc312677495"/>
      <w:bookmarkStart w:id="272" w:name="_Toc312678021"/>
      <w:bookmarkStart w:id="273" w:name="_Toc300934982"/>
      <w:bookmarkStart w:id="274" w:name="_Toc303539139"/>
      <w:bookmarkStart w:id="275" w:name="_Toc297216192"/>
      <w:bookmarkStart w:id="276" w:name="_Toc292559883"/>
      <w:bookmarkStart w:id="277" w:name="_Toc296503173"/>
      <w:bookmarkStart w:id="278" w:name="_Toc296346674"/>
      <w:bookmarkStart w:id="279" w:name="_Toc267251427"/>
      <w:bookmarkStart w:id="280" w:name="_Toc297120473"/>
      <w:bookmarkStart w:id="281" w:name="_Toc296891001"/>
      <w:bookmarkStart w:id="282" w:name="_Toc296891213"/>
      <w:bookmarkStart w:id="283" w:name="_Toc292559378"/>
      <w:bookmarkStart w:id="284" w:name="_Toc267251428"/>
      <w:bookmarkStart w:id="285" w:name="_Toc297048359"/>
      <w:bookmarkStart w:id="286" w:name="_Toc296347172"/>
      <w:bookmarkStart w:id="287" w:name="_Toc296944512"/>
      <w:r>
        <w:rPr>
          <w:rFonts w:hint="eastAsia" w:cs="宋体"/>
          <w:color w:val="auto"/>
          <w:sz w:val="21"/>
          <w:szCs w:val="21"/>
          <w:highlight w:val="none"/>
        </w:rPr>
        <w:t>. 试验与检验</w:t>
      </w:r>
      <w:bookmarkEnd w:id="268"/>
    </w:p>
    <w:bookmarkEnd w:id="269"/>
    <w:bookmarkEnd w:id="270"/>
    <w:bookmarkEnd w:id="271"/>
    <w:bookmarkEnd w:id="272"/>
    <w:bookmarkEnd w:id="273"/>
    <w:bookmarkEnd w:id="274"/>
    <w:bookmarkEnd w:id="275"/>
    <w:p w14:paraId="13E65E4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9</w:t>
      </w:r>
      <w:bookmarkStart w:id="288" w:name="_Toc297123534"/>
      <w:bookmarkStart w:id="289" w:name="_Toc297216193"/>
      <w:bookmarkStart w:id="290" w:name="_Toc304295560"/>
      <w:bookmarkStart w:id="291" w:name="_Toc312677496"/>
      <w:bookmarkStart w:id="292" w:name="_Toc300934983"/>
      <w:bookmarkStart w:id="293" w:name="_Toc303539140"/>
      <w:bookmarkStart w:id="294" w:name="_Toc312678022"/>
      <w:r>
        <w:rPr>
          <w:rFonts w:hint="eastAsia" w:cs="宋体"/>
          <w:bCs/>
          <w:color w:val="auto"/>
          <w:sz w:val="21"/>
          <w:szCs w:val="21"/>
          <w:highlight w:val="none"/>
        </w:rPr>
        <w:t>.1 试验设备与试验人员</w:t>
      </w:r>
    </w:p>
    <w:bookmarkEnd w:id="288"/>
    <w:bookmarkEnd w:id="289"/>
    <w:bookmarkEnd w:id="290"/>
    <w:bookmarkEnd w:id="291"/>
    <w:bookmarkEnd w:id="292"/>
    <w:bookmarkEnd w:id="293"/>
    <w:bookmarkEnd w:id="294"/>
    <w:p w14:paraId="3B0F642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9</w:t>
      </w:r>
      <w:bookmarkStart w:id="295" w:name="_Toc297216194"/>
      <w:bookmarkStart w:id="296" w:name="_Toc303539141"/>
      <w:bookmarkStart w:id="297" w:name="_Toc297123535"/>
      <w:bookmarkStart w:id="298" w:name="_Toc312677497"/>
      <w:bookmarkStart w:id="299" w:name="_Toc304295561"/>
      <w:bookmarkStart w:id="300" w:name="_Toc312678023"/>
      <w:bookmarkStart w:id="301" w:name="_Toc300934984"/>
      <w:bookmarkStart w:id="302" w:name="_Toc318581174"/>
      <w:r>
        <w:rPr>
          <w:rFonts w:hint="eastAsia" w:cs="宋体"/>
          <w:color w:val="auto"/>
          <w:sz w:val="21"/>
          <w:szCs w:val="21"/>
          <w:highlight w:val="none"/>
        </w:rPr>
        <w:t>.1.2 试验设备</w:t>
      </w:r>
    </w:p>
    <w:p w14:paraId="24131AA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施工现场需要配置的试验场所</w:t>
      </w:r>
      <w:bookmarkEnd w:id="295"/>
      <w:bookmarkEnd w:id="296"/>
      <w:bookmarkEnd w:id="297"/>
      <w:bookmarkEnd w:id="298"/>
      <w:bookmarkEnd w:id="299"/>
      <w:bookmarkEnd w:id="300"/>
      <w:bookmarkEnd w:id="301"/>
      <w:bookmarkStart w:id="303" w:name="_Toc312677498"/>
      <w:bookmarkStart w:id="304" w:name="_Toc300934985"/>
      <w:bookmarkStart w:id="305" w:name="_Toc297216195"/>
      <w:bookmarkStart w:id="306" w:name="_Toc304295562"/>
      <w:bookmarkStart w:id="307" w:name="_Toc297123536"/>
      <w:bookmarkStart w:id="308" w:name="_Toc312678024"/>
      <w:bookmarkStart w:id="309" w:name="_Toc303539142"/>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7D81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59F21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执行采购文件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4BABA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4ECC7C9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按监理人指示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02"/>
    <w:bookmarkEnd w:id="303"/>
    <w:bookmarkEnd w:id="304"/>
    <w:bookmarkEnd w:id="305"/>
    <w:bookmarkEnd w:id="306"/>
    <w:bookmarkEnd w:id="307"/>
    <w:bookmarkEnd w:id="308"/>
    <w:bookmarkEnd w:id="309"/>
    <w:p w14:paraId="44661E63">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310" w:name="_Toc351203642"/>
      <w:r>
        <w:rPr>
          <w:rFonts w:hint="eastAsia" w:cs="宋体"/>
          <w:color w:val="auto"/>
          <w:sz w:val="21"/>
          <w:szCs w:val="21"/>
          <w:highlight w:val="none"/>
        </w:rPr>
        <w:t>1</w:t>
      </w:r>
      <w:bookmarkEnd w:id="276"/>
      <w:bookmarkEnd w:id="277"/>
      <w:bookmarkEnd w:id="278"/>
      <w:bookmarkEnd w:id="279"/>
      <w:bookmarkEnd w:id="280"/>
      <w:bookmarkEnd w:id="281"/>
      <w:bookmarkEnd w:id="282"/>
      <w:bookmarkEnd w:id="283"/>
      <w:bookmarkEnd w:id="284"/>
      <w:bookmarkEnd w:id="285"/>
      <w:bookmarkEnd w:id="286"/>
      <w:bookmarkEnd w:id="287"/>
      <w:bookmarkStart w:id="311" w:name="_Toc297123540"/>
      <w:bookmarkStart w:id="312" w:name="_Toc297048379"/>
      <w:bookmarkStart w:id="313" w:name="_Toc292559398"/>
      <w:bookmarkStart w:id="314" w:name="_Toc296944532"/>
      <w:bookmarkStart w:id="315" w:name="_Toc296503193"/>
      <w:bookmarkStart w:id="316" w:name="_Toc296346694"/>
      <w:bookmarkStart w:id="317" w:name="_Toc292559903"/>
      <w:bookmarkStart w:id="318" w:name="_Toc297216199"/>
      <w:bookmarkStart w:id="319" w:name="_Toc296891233"/>
      <w:bookmarkStart w:id="320" w:name="_Toc296891021"/>
      <w:bookmarkStart w:id="321" w:name="_Toc296347192"/>
      <w:bookmarkStart w:id="322" w:name="_Toc297120493"/>
      <w:bookmarkStart w:id="323" w:name="_Toc303539146"/>
      <w:bookmarkStart w:id="324" w:name="_Toc300934989"/>
      <w:bookmarkStart w:id="325" w:name="_Toc304295566"/>
      <w:bookmarkStart w:id="326" w:name="_Toc312678025"/>
      <w:bookmarkStart w:id="327" w:name="_Toc312677499"/>
      <w:bookmarkStart w:id="328" w:name="_Toc267251439"/>
      <w:bookmarkStart w:id="329" w:name="_Toc267251433"/>
      <w:bookmarkStart w:id="330" w:name="_Toc267251435"/>
      <w:bookmarkStart w:id="331" w:name="_Toc267251437"/>
      <w:bookmarkStart w:id="332" w:name="_Toc267251441"/>
      <w:bookmarkStart w:id="333" w:name="_Toc267251440"/>
      <w:bookmarkStart w:id="334" w:name="_Toc267251442"/>
      <w:r>
        <w:rPr>
          <w:rFonts w:hint="eastAsia" w:cs="宋体"/>
          <w:color w:val="auto"/>
          <w:sz w:val="21"/>
          <w:szCs w:val="21"/>
          <w:highlight w:val="none"/>
        </w:rPr>
        <w:t>0. 变更</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bookmarkEnd w:id="326"/>
    <w:bookmarkEnd w:id="327"/>
    <w:p w14:paraId="1420C5F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w:t>
      </w:r>
      <w:bookmarkStart w:id="335" w:name="_Toc296346695"/>
      <w:bookmarkStart w:id="336" w:name="_Toc296503194"/>
      <w:bookmarkStart w:id="337" w:name="_Toc297048380"/>
      <w:bookmarkStart w:id="338" w:name="_Toc296891022"/>
      <w:bookmarkStart w:id="339" w:name="_Toc304295567"/>
      <w:bookmarkStart w:id="340" w:name="_Toc303539147"/>
      <w:bookmarkStart w:id="341" w:name="_Toc297120494"/>
      <w:bookmarkStart w:id="342" w:name="_Toc300934990"/>
      <w:bookmarkStart w:id="343" w:name="_Toc296347193"/>
      <w:bookmarkStart w:id="344" w:name="_Toc312678026"/>
      <w:bookmarkStart w:id="345" w:name="_Toc292559904"/>
      <w:bookmarkStart w:id="346" w:name="_Toc297123541"/>
      <w:bookmarkStart w:id="347" w:name="_Toc296891234"/>
      <w:bookmarkStart w:id="348" w:name="_Toc297216200"/>
      <w:bookmarkStart w:id="349" w:name="_Toc296944533"/>
      <w:bookmarkStart w:id="350" w:name="_Toc312677500"/>
      <w:bookmarkStart w:id="351" w:name="_Toc292559399"/>
      <w:r>
        <w:rPr>
          <w:rFonts w:hint="eastAsia" w:cs="宋体"/>
          <w:bCs/>
          <w:color w:val="auto"/>
          <w:sz w:val="21"/>
          <w:szCs w:val="21"/>
          <w:highlight w:val="none"/>
        </w:rPr>
        <w:t>0.1 变更的范围</w:t>
      </w:r>
    </w:p>
    <w:p w14:paraId="6A71AB2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cs="宋体"/>
          <w:color w:val="auto"/>
          <w:sz w:val="21"/>
          <w:szCs w:val="21"/>
          <w:highlight w:val="none"/>
          <w:u w:val="single"/>
        </w:rPr>
        <w:t xml:space="preserve">  </w:t>
      </w:r>
      <w:r>
        <w:rPr>
          <w:rFonts w:hint="eastAsia" w:ascii="宋体" w:hAnsi="宋体" w:cs="宋体"/>
          <w:b/>
          <w:color w:val="auto"/>
          <w:sz w:val="21"/>
          <w:szCs w:val="21"/>
          <w:highlight w:val="none"/>
          <w:u w:val="single"/>
          <w:shd w:val="clear" w:color="auto" w:fill="auto"/>
        </w:rPr>
        <w:t>执行合同通用条款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6A822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10.4 变更估价</w:t>
      </w:r>
    </w:p>
    <w:p w14:paraId="0434A5A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10.4.1 变更估价原则</w:t>
      </w:r>
    </w:p>
    <w:p w14:paraId="0760446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关于变更估价的约定：</w:t>
      </w:r>
    </w:p>
    <w:p w14:paraId="0865130F">
      <w:pPr>
        <w:keepNext w:val="0"/>
        <w:keepLines w:val="0"/>
        <w:pageBreakBefore w:val="0"/>
        <w:widowControl w:val="0"/>
        <w:kinsoku/>
        <w:wordWrap/>
        <w:overflowPunct/>
        <w:topLinePunct w:val="0"/>
        <w:autoSpaceDE/>
        <w:autoSpaceDN/>
        <w:bidi w:val="0"/>
        <w:snapToGrid w:val="0"/>
        <w:spacing w:beforeAutospacing="0" w:line="400" w:lineRule="exact"/>
        <w:ind w:firstLine="422" w:firstLineChars="200"/>
        <w:textAlignment w:val="auto"/>
        <w:rPr>
          <w:rFonts w:hint="eastAsia" w:cs="宋体"/>
          <w:b/>
          <w:bCs w:val="0"/>
          <w:color w:val="auto"/>
          <w:sz w:val="21"/>
          <w:szCs w:val="21"/>
          <w:highlight w:val="none"/>
          <w:u w:val="single"/>
        </w:rPr>
      </w:pPr>
      <w:r>
        <w:rPr>
          <w:rFonts w:hint="eastAsia" w:cs="宋体"/>
          <w:b/>
          <w:bCs w:val="0"/>
          <w:color w:val="auto"/>
          <w:sz w:val="21"/>
          <w:szCs w:val="21"/>
          <w:highlight w:val="none"/>
          <w:u w:val="single"/>
        </w:rPr>
        <w:t>变更导致结算工程量（含1.13清单工程量错误产生的工程量）减少0-100%或增加15%以内部分，执行下列第（1）款或第（2）款确定的单价；但超出15%以外部分，结算单价按第（1）款或第（2）款对应的最高投标限价单价×投标让利幅度计算，组价明显错误的予以纠正；已标价工程量清单或预算书中无相同项目及类似项目单价的新增项目单价按照最高投标限价的编制原则重新组价×投标让利幅度（上述投标让利幅度为成交价/最高投标限价，其中成交价和最高投标限价均扣除暂列金额、暂估价及相应税金），结算价格最终以相关部门审核价为准；</w:t>
      </w:r>
    </w:p>
    <w:p w14:paraId="4B956118">
      <w:pPr>
        <w:keepNext w:val="0"/>
        <w:keepLines w:val="0"/>
        <w:pageBreakBefore w:val="0"/>
        <w:widowControl w:val="0"/>
        <w:kinsoku/>
        <w:wordWrap/>
        <w:overflowPunct/>
        <w:topLinePunct w:val="0"/>
        <w:autoSpaceDE/>
        <w:autoSpaceDN/>
        <w:bidi w:val="0"/>
        <w:snapToGrid w:val="0"/>
        <w:spacing w:beforeAutospacing="0" w:line="400" w:lineRule="exact"/>
        <w:ind w:firstLine="422" w:firstLineChars="200"/>
        <w:textAlignment w:val="auto"/>
        <w:rPr>
          <w:rFonts w:hint="eastAsia" w:cs="宋体"/>
          <w:b/>
          <w:bCs w:val="0"/>
          <w:color w:val="auto"/>
          <w:sz w:val="21"/>
          <w:szCs w:val="21"/>
          <w:highlight w:val="none"/>
          <w:u w:val="single"/>
        </w:rPr>
      </w:pPr>
      <w:r>
        <w:rPr>
          <w:rFonts w:hint="eastAsia" w:cs="宋体"/>
          <w:b/>
          <w:bCs w:val="0"/>
          <w:color w:val="auto"/>
          <w:sz w:val="21"/>
          <w:szCs w:val="21"/>
          <w:highlight w:val="none"/>
          <w:u w:val="single"/>
        </w:rPr>
        <w:t>（1）已标价工程量清单或预算书有相同项目的，按照相同项目单价认定；</w:t>
      </w:r>
    </w:p>
    <w:p w14:paraId="1B28AE97">
      <w:pPr>
        <w:keepNext w:val="0"/>
        <w:keepLines w:val="0"/>
        <w:pageBreakBefore w:val="0"/>
        <w:widowControl w:val="0"/>
        <w:kinsoku/>
        <w:wordWrap/>
        <w:overflowPunct/>
        <w:topLinePunct w:val="0"/>
        <w:autoSpaceDE/>
        <w:autoSpaceDN/>
        <w:bidi w:val="0"/>
        <w:snapToGrid w:val="0"/>
        <w:spacing w:beforeAutospacing="0" w:line="400" w:lineRule="exact"/>
        <w:ind w:firstLine="422" w:firstLineChars="200"/>
        <w:textAlignment w:val="auto"/>
        <w:rPr>
          <w:rFonts w:hint="eastAsia" w:cs="宋体"/>
          <w:b/>
          <w:bCs w:val="0"/>
          <w:color w:val="auto"/>
          <w:sz w:val="21"/>
          <w:szCs w:val="21"/>
          <w:highlight w:val="none"/>
          <w:u w:val="single"/>
        </w:rPr>
      </w:pPr>
      <w:r>
        <w:rPr>
          <w:rFonts w:hint="eastAsia" w:cs="宋体"/>
          <w:b/>
          <w:bCs w:val="0"/>
          <w:color w:val="auto"/>
          <w:sz w:val="21"/>
          <w:szCs w:val="21"/>
          <w:highlight w:val="none"/>
          <w:u w:val="single"/>
        </w:rPr>
        <w:t>（2）已标价工程量清单或预算书中无相同项目，但有类似项目的，参照类似项目的单价认定。</w:t>
      </w:r>
    </w:p>
    <w:p w14:paraId="0F7809BB">
      <w:pPr>
        <w:keepNext w:val="0"/>
        <w:keepLines w:val="0"/>
        <w:pageBreakBefore w:val="0"/>
        <w:widowControl w:val="0"/>
        <w:kinsoku/>
        <w:wordWrap/>
        <w:overflowPunct/>
        <w:topLinePunct w:val="0"/>
        <w:autoSpaceDE/>
        <w:autoSpaceDN/>
        <w:bidi w:val="0"/>
        <w:snapToGrid w:val="0"/>
        <w:spacing w:beforeAutospacing="0" w:line="400" w:lineRule="exact"/>
        <w:ind w:firstLine="420" w:firstLineChars="200"/>
        <w:textAlignment w:val="auto"/>
        <w:rPr>
          <w:rFonts w:hint="eastAsia" w:cs="宋体"/>
          <w:b/>
          <w:bCs w:val="0"/>
          <w:color w:val="auto"/>
          <w:sz w:val="21"/>
          <w:szCs w:val="21"/>
          <w:highlight w:val="none"/>
          <w:u w:val="single"/>
        </w:rPr>
      </w:pPr>
      <w:r>
        <w:rPr>
          <w:rFonts w:hint="eastAsia" w:cs="宋体"/>
          <w:b w:val="0"/>
          <w:bCs/>
          <w:color w:val="auto"/>
          <w:sz w:val="21"/>
          <w:szCs w:val="21"/>
          <w:highlight w:val="none"/>
          <w:u w:val="none"/>
        </w:rPr>
        <w:t>技术措施费调整：</w:t>
      </w:r>
      <w:r>
        <w:rPr>
          <w:rFonts w:hint="eastAsia" w:cs="宋体"/>
          <w:b/>
          <w:bCs w:val="0"/>
          <w:color w:val="auto"/>
          <w:sz w:val="21"/>
          <w:szCs w:val="21"/>
          <w:highlight w:val="none"/>
          <w:u w:val="single"/>
        </w:rPr>
        <w:t>因承包人改变施工技术措施，造成的价格变动，措施费不予调整。因工程变更必须改变原来施工技术措施，造成价格变动的，按实调整，变更组价原则同上。</w:t>
      </w:r>
    </w:p>
    <w:p w14:paraId="1599912C">
      <w:pPr>
        <w:keepNext w:val="0"/>
        <w:keepLines w:val="0"/>
        <w:pageBreakBefore w:val="0"/>
        <w:widowControl w:val="0"/>
        <w:kinsoku/>
        <w:wordWrap/>
        <w:overflowPunct/>
        <w:topLinePunct w:val="0"/>
        <w:autoSpaceDE/>
        <w:autoSpaceDN/>
        <w:bidi w:val="0"/>
        <w:snapToGrid w:val="0"/>
        <w:spacing w:beforeAutospacing="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cs="宋体"/>
          <w:b w:val="0"/>
          <w:bCs/>
          <w:color w:val="auto"/>
          <w:sz w:val="21"/>
          <w:szCs w:val="21"/>
          <w:highlight w:val="none"/>
          <w:u w:val="none"/>
        </w:rPr>
        <w:t>组织措施费调整：</w:t>
      </w:r>
      <w:r>
        <w:rPr>
          <w:rFonts w:hint="eastAsia" w:cs="宋体"/>
          <w:b/>
          <w:bCs w:val="0"/>
          <w:color w:val="auto"/>
          <w:sz w:val="21"/>
          <w:szCs w:val="21"/>
          <w:highlight w:val="none"/>
          <w:u w:val="single"/>
        </w:rPr>
        <w:t>按实调整。</w:t>
      </w:r>
    </w:p>
    <w:p w14:paraId="250D9885">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Start w:id="352" w:name="_Toc297123544"/>
      <w:bookmarkStart w:id="353" w:name="_Toc303539150"/>
      <w:bookmarkStart w:id="354" w:name="_Toc297120497"/>
      <w:bookmarkStart w:id="355" w:name="_Toc296347196"/>
      <w:bookmarkStart w:id="356" w:name="_Toc296503197"/>
      <w:bookmarkStart w:id="357" w:name="_Toc292559402"/>
      <w:bookmarkStart w:id="358" w:name="_Toc296346698"/>
      <w:bookmarkStart w:id="359" w:name="_Toc296944536"/>
      <w:bookmarkStart w:id="360" w:name="_Toc300934993"/>
      <w:bookmarkStart w:id="361" w:name="_Toc292559907"/>
      <w:bookmarkStart w:id="362" w:name="_Toc297216203"/>
      <w:bookmarkStart w:id="363" w:name="_Toc296891237"/>
      <w:bookmarkStart w:id="364" w:name="_Toc296891025"/>
      <w:bookmarkStart w:id="365" w:name="_Toc297048383"/>
      <w:bookmarkStart w:id="366" w:name="_Toc304295570"/>
      <w:bookmarkStart w:id="367" w:name="_Toc312677503"/>
      <w:bookmarkStart w:id="368" w:name="_Toc312678029"/>
      <w:r>
        <w:rPr>
          <w:rFonts w:hint="eastAsia" w:cs="宋体"/>
          <w:bCs/>
          <w:color w:val="auto"/>
          <w:sz w:val="21"/>
          <w:szCs w:val="21"/>
          <w:highlight w:val="none"/>
        </w:rPr>
        <w:t>0.5 承</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Start w:id="369" w:name="_Toc297120503"/>
      <w:bookmarkStart w:id="370" w:name="_Toc296891031"/>
      <w:bookmarkStart w:id="371" w:name="_Toc296503203"/>
      <w:bookmarkStart w:id="372" w:name="_Toc292559408"/>
      <w:bookmarkStart w:id="373" w:name="_Toc300934994"/>
      <w:bookmarkStart w:id="374" w:name="_Toc296346704"/>
      <w:bookmarkStart w:id="375" w:name="_Toc297216204"/>
      <w:bookmarkStart w:id="376" w:name="_Toc296944542"/>
      <w:bookmarkStart w:id="377" w:name="_Toc296891243"/>
      <w:bookmarkStart w:id="378" w:name="_Toc297048389"/>
      <w:bookmarkStart w:id="379" w:name="_Toc297123545"/>
      <w:bookmarkStart w:id="380" w:name="_Toc303539151"/>
      <w:bookmarkStart w:id="381" w:name="_Toc296347202"/>
      <w:bookmarkStart w:id="382" w:name="_Toc292559913"/>
      <w:r>
        <w:rPr>
          <w:rFonts w:hint="eastAsia" w:cs="宋体"/>
          <w:bCs/>
          <w:color w:val="auto"/>
          <w:sz w:val="21"/>
          <w:szCs w:val="21"/>
          <w:highlight w:val="none"/>
        </w:rPr>
        <w:t>包人的合理化建议</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14:paraId="0D4D3104">
      <w:pPr>
        <w:pageBreakBefore w:val="0"/>
        <w:widowControl w:val="0"/>
        <w:kinsoku/>
        <w:wordWrap/>
        <w:overflowPunct/>
        <w:topLinePunct w:val="0"/>
        <w:bidi w:val="0"/>
        <w:snapToGrid w:val="0"/>
        <w:spacing w:beforeAutospacing="0"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监理人应在收到承包人提交的合理化建议后7天内审查完毕并报送发包人，发现其中存在技术上的缺陷，应通知承包人修改。</w:t>
      </w:r>
    </w:p>
    <w:p w14:paraId="13F57C55">
      <w:pPr>
        <w:pageBreakBefore w:val="0"/>
        <w:widowControl w:val="0"/>
        <w:kinsoku/>
        <w:wordWrap/>
        <w:overflowPunct/>
        <w:topLinePunct w:val="0"/>
        <w:bidi w:val="0"/>
        <w:snapToGrid w:val="0"/>
        <w:spacing w:beforeAutospacing="0"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CE72581">
      <w:pPr>
        <w:pageBreakBefore w:val="0"/>
        <w:widowControl w:val="0"/>
        <w:kinsoku/>
        <w:wordWrap/>
        <w:overflowPunct/>
        <w:topLinePunct w:val="0"/>
        <w:bidi w:val="0"/>
        <w:snapToGrid w:val="0"/>
        <w:spacing w:beforeAutospacing="0" w:line="40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承包人提出的合理化建议降低了合同价格或者提高了工程经济效益的奖励的方法和金额为：</w:t>
      </w:r>
      <w:r>
        <w:rPr>
          <w:rFonts w:hint="eastAsia" w:cs="宋体"/>
          <w:color w:val="auto"/>
          <w:sz w:val="21"/>
          <w:szCs w:val="21"/>
          <w:highlight w:val="none"/>
          <w:u w:val="single"/>
          <w:lang w:val="en-US" w:eastAsia="zh-CN"/>
        </w:rPr>
        <w:t xml:space="preserve"> 由发包人根据合同价格降低额或工程经济效益提高承担，结合项目考勤、质量、安全、进度等实际情况综合考虑</w:t>
      </w:r>
      <w:r>
        <w:rPr>
          <w:rFonts w:hint="eastAsia" w:ascii="宋体" w:hAnsi="宋体" w:eastAsia="宋体" w:cs="宋体"/>
          <w:color w:val="auto"/>
          <w:sz w:val="21"/>
          <w:szCs w:val="21"/>
          <w:highlight w:val="none"/>
        </w:rPr>
        <w:t>。</w:t>
      </w:r>
    </w:p>
    <w:p w14:paraId="16C1849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w:t>
      </w:r>
      <w:bookmarkStart w:id="383" w:name="_Toc296891239"/>
      <w:bookmarkStart w:id="384" w:name="_Toc296346700"/>
      <w:bookmarkStart w:id="385" w:name="_Toc296944538"/>
      <w:bookmarkStart w:id="386" w:name="_Toc297048385"/>
      <w:bookmarkStart w:id="387" w:name="_Toc292559404"/>
      <w:bookmarkStart w:id="388" w:name="_Toc297216207"/>
      <w:bookmarkStart w:id="389" w:name="_Toc303539154"/>
      <w:bookmarkStart w:id="390" w:name="_Toc300934997"/>
      <w:bookmarkStart w:id="391" w:name="_Toc312678033"/>
      <w:bookmarkStart w:id="392" w:name="_Toc296347198"/>
      <w:bookmarkStart w:id="393" w:name="_Toc304295574"/>
      <w:bookmarkStart w:id="394" w:name="_Toc312677507"/>
      <w:bookmarkStart w:id="395" w:name="_Toc296891027"/>
      <w:bookmarkStart w:id="396" w:name="_Toc292559909"/>
      <w:bookmarkStart w:id="397" w:name="_Toc296503199"/>
      <w:bookmarkStart w:id="398" w:name="_Toc297123548"/>
      <w:bookmarkStart w:id="399" w:name="_Toc297120499"/>
      <w:r>
        <w:rPr>
          <w:rFonts w:hint="eastAsia" w:cs="宋体"/>
          <w:bCs/>
          <w:color w:val="auto"/>
          <w:sz w:val="21"/>
          <w:szCs w:val="21"/>
          <w:highlight w:val="none"/>
        </w:rPr>
        <w:t>0.7 暂估价</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2BE44D9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暂</w:t>
      </w:r>
      <w:bookmarkStart w:id="400" w:name="_Toc312678034"/>
      <w:bookmarkStart w:id="401" w:name="_Toc312677508"/>
      <w:bookmarkStart w:id="402" w:name="_Toc318581176"/>
      <w:r>
        <w:rPr>
          <w:rFonts w:hint="eastAsia" w:cs="宋体"/>
          <w:color w:val="auto"/>
          <w:sz w:val="21"/>
          <w:szCs w:val="21"/>
          <w:highlight w:val="none"/>
        </w:rPr>
        <w:t>估价材料和工程设备的明细见附件12：《暂估价一览表》。</w:t>
      </w:r>
    </w:p>
    <w:bookmarkEnd w:id="400"/>
    <w:bookmarkEnd w:id="401"/>
    <w:bookmarkEnd w:id="402"/>
    <w:p w14:paraId="5472836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bookmarkStart w:id="403" w:name="_Toc312677509"/>
      <w:bookmarkStart w:id="404" w:name="_Toc318581177"/>
      <w:bookmarkStart w:id="405" w:name="_Toc312678035"/>
      <w:r>
        <w:rPr>
          <w:rFonts w:hint="eastAsia" w:cs="宋体"/>
          <w:color w:val="auto"/>
          <w:sz w:val="21"/>
          <w:szCs w:val="21"/>
          <w:highlight w:val="none"/>
        </w:rPr>
        <w:t>0.7.1 依法必须招标的暂估价项目</w:t>
      </w:r>
    </w:p>
    <w:bookmarkEnd w:id="403"/>
    <w:bookmarkEnd w:id="404"/>
    <w:bookmarkEnd w:id="405"/>
    <w:p w14:paraId="0701D08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641C932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10.7.2 不属于依法必须招标的暂估价项目</w:t>
      </w:r>
    </w:p>
    <w:p w14:paraId="0E7B6E0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3DCEF3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第3种方式：承包人直接实施的暂估价项目</w:t>
      </w:r>
    </w:p>
    <w:p w14:paraId="376ABE3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1F1087">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10.8 暂列金额</w:t>
      </w:r>
    </w:p>
    <w:p w14:paraId="035285C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ascii="宋体" w:cs="宋体"/>
          <w:color w:val="auto"/>
          <w:sz w:val="21"/>
          <w:szCs w:val="21"/>
          <w:highlight w:val="none"/>
          <w:u w:val="single"/>
          <w:shd w:val="clear" w:color="auto" w:fill="auto"/>
        </w:rPr>
        <w:t>暂列金额应按照发包人的要求使用</w:t>
      </w:r>
      <w:r>
        <w:rPr>
          <w:rFonts w:hint="eastAsia" w:cs="宋体"/>
          <w:color w:val="auto"/>
          <w:sz w:val="21"/>
          <w:szCs w:val="21"/>
          <w:highlight w:val="none"/>
        </w:rPr>
        <w:t>。</w:t>
      </w:r>
    </w:p>
    <w:p w14:paraId="251E63AA">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406" w:name="_Toc351203643"/>
      <w:r>
        <w:rPr>
          <w:rFonts w:hint="eastAsia" w:cs="宋体"/>
          <w:color w:val="auto"/>
          <w:sz w:val="21"/>
          <w:szCs w:val="21"/>
          <w:highlight w:val="none"/>
        </w:rPr>
        <w:t>11. 价格调整</w:t>
      </w:r>
      <w:bookmarkEnd w:id="406"/>
    </w:p>
    <w:p w14:paraId="577B4BCC">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bookmarkStart w:id="407" w:name="_Toc292559406"/>
      <w:bookmarkStart w:id="408" w:name="_Toc296346702"/>
      <w:bookmarkStart w:id="409" w:name="_Toc297048387"/>
      <w:bookmarkStart w:id="410" w:name="_Toc296347200"/>
      <w:bookmarkStart w:id="411" w:name="_Toc296891029"/>
      <w:bookmarkStart w:id="412" w:name="_Toc297120501"/>
      <w:bookmarkStart w:id="413" w:name="_Toc304295577"/>
      <w:bookmarkStart w:id="414" w:name="_Toc297216209"/>
      <w:bookmarkStart w:id="415" w:name="_Toc296503201"/>
      <w:bookmarkStart w:id="416" w:name="_Toc296944540"/>
      <w:bookmarkStart w:id="417" w:name="_Toc297123550"/>
      <w:bookmarkStart w:id="418" w:name="_Toc292559911"/>
      <w:bookmarkStart w:id="419" w:name="_Toc300935000"/>
      <w:bookmarkStart w:id="420" w:name="_Toc303539157"/>
      <w:bookmarkStart w:id="421" w:name="_Toc296891241"/>
      <w:bookmarkStart w:id="422" w:name="_Toc312678039"/>
      <w:r>
        <w:rPr>
          <w:rFonts w:hint="eastAsia" w:cs="宋体"/>
          <w:bCs/>
          <w:color w:val="auto"/>
          <w:sz w:val="21"/>
          <w:szCs w:val="21"/>
          <w:highlight w:val="none"/>
        </w:rPr>
        <w:t>11.1 市场价格波动引起的调整</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14:paraId="3D2F151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328"/>
    <w:bookmarkEnd w:id="329"/>
    <w:bookmarkEnd w:id="330"/>
    <w:bookmarkEnd w:id="331"/>
    <w:bookmarkEnd w:id="332"/>
    <w:bookmarkEnd w:id="333"/>
    <w:p w14:paraId="7A4B8F24">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423" w:name="_Toc297048391"/>
      <w:bookmarkStart w:id="424" w:name="_Toc292559915"/>
      <w:bookmarkStart w:id="425" w:name="_Toc296347204"/>
      <w:bookmarkStart w:id="426" w:name="_Toc296346706"/>
      <w:bookmarkStart w:id="427" w:name="_Toc296891245"/>
      <w:bookmarkStart w:id="428" w:name="_Toc292559410"/>
      <w:bookmarkStart w:id="429" w:name="_Toc297120505"/>
      <w:bookmarkStart w:id="430" w:name="_Toc296503205"/>
      <w:bookmarkStart w:id="431" w:name="_Toc296891033"/>
      <w:bookmarkStart w:id="432" w:name="_Toc296944544"/>
      <w:bookmarkStart w:id="433" w:name="_Toc351203644"/>
      <w:bookmarkStart w:id="434" w:name="_Toc304295579"/>
      <w:bookmarkStart w:id="435" w:name="_Toc303539159"/>
      <w:bookmarkStart w:id="436" w:name="_Toc312678040"/>
      <w:bookmarkStart w:id="437" w:name="_Toc300935002"/>
      <w:bookmarkStart w:id="438" w:name="_Toc297216211"/>
      <w:bookmarkStart w:id="439" w:name="_Toc297123552"/>
      <w:r>
        <w:rPr>
          <w:rFonts w:hint="eastAsia" w:cs="宋体"/>
          <w:color w:val="auto"/>
          <w:sz w:val="21"/>
          <w:szCs w:val="21"/>
          <w:highlight w:val="none"/>
        </w:rPr>
        <w:t xml:space="preserve">12. </w:t>
      </w:r>
      <w:bookmarkEnd w:id="423"/>
      <w:bookmarkEnd w:id="424"/>
      <w:bookmarkEnd w:id="425"/>
      <w:bookmarkEnd w:id="426"/>
      <w:bookmarkEnd w:id="427"/>
      <w:bookmarkEnd w:id="428"/>
      <w:bookmarkEnd w:id="429"/>
      <w:bookmarkEnd w:id="430"/>
      <w:bookmarkEnd w:id="431"/>
      <w:bookmarkEnd w:id="432"/>
      <w:r>
        <w:rPr>
          <w:rFonts w:hint="eastAsia" w:cs="宋体"/>
          <w:color w:val="auto"/>
          <w:sz w:val="21"/>
          <w:szCs w:val="21"/>
          <w:highlight w:val="none"/>
        </w:rPr>
        <w:t>合同价格、计量与支付</w:t>
      </w:r>
      <w:bookmarkEnd w:id="433"/>
    </w:p>
    <w:bookmarkEnd w:id="434"/>
    <w:bookmarkEnd w:id="435"/>
    <w:bookmarkEnd w:id="436"/>
    <w:bookmarkEnd w:id="437"/>
    <w:bookmarkEnd w:id="438"/>
    <w:bookmarkEnd w:id="439"/>
    <w:p w14:paraId="0D498EA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bookmarkStart w:id="440" w:name="_Toc292559411"/>
      <w:bookmarkStart w:id="441" w:name="_Toc267251461"/>
      <w:bookmarkStart w:id="442" w:name="_Toc292559916"/>
      <w:bookmarkStart w:id="443" w:name="_Toc296891246"/>
      <w:bookmarkStart w:id="444" w:name="_Toc297048392"/>
      <w:bookmarkStart w:id="445" w:name="_Toc296503206"/>
      <w:bookmarkStart w:id="446" w:name="_Toc297120506"/>
      <w:bookmarkStart w:id="447" w:name="_Toc296944545"/>
      <w:bookmarkStart w:id="448" w:name="_Toc296346707"/>
      <w:bookmarkStart w:id="449" w:name="_Toc296891034"/>
      <w:bookmarkStart w:id="450" w:name="_Toc296347205"/>
      <w:bookmarkStart w:id="451" w:name="_Toc300935003"/>
      <w:bookmarkStart w:id="452" w:name="_Toc297123553"/>
      <w:bookmarkStart w:id="453" w:name="_Toc304295580"/>
      <w:bookmarkStart w:id="454" w:name="_Toc312678041"/>
      <w:bookmarkStart w:id="455" w:name="_Toc297216212"/>
      <w:bookmarkStart w:id="456" w:name="_Toc303539160"/>
      <w:r>
        <w:rPr>
          <w:rFonts w:hint="eastAsia" w:cs="宋体"/>
          <w:bCs/>
          <w:color w:val="auto"/>
          <w:sz w:val="21"/>
          <w:szCs w:val="21"/>
          <w:highlight w:val="none"/>
        </w:rPr>
        <w:t>12.1 合</w:t>
      </w:r>
      <w:bookmarkEnd w:id="440"/>
      <w:bookmarkEnd w:id="441"/>
      <w:bookmarkEnd w:id="442"/>
      <w:r>
        <w:rPr>
          <w:rFonts w:hint="eastAsia" w:cs="宋体"/>
          <w:bCs/>
          <w:color w:val="auto"/>
          <w:sz w:val="21"/>
          <w:szCs w:val="21"/>
          <w:highlight w:val="none"/>
        </w:rPr>
        <w:t>同价</w:t>
      </w:r>
      <w:bookmarkEnd w:id="443"/>
      <w:bookmarkEnd w:id="444"/>
      <w:bookmarkEnd w:id="445"/>
      <w:bookmarkEnd w:id="446"/>
      <w:bookmarkEnd w:id="447"/>
      <w:bookmarkEnd w:id="448"/>
      <w:bookmarkEnd w:id="449"/>
      <w:bookmarkEnd w:id="450"/>
      <w:r>
        <w:rPr>
          <w:rFonts w:hint="eastAsia" w:cs="宋体"/>
          <w:bCs/>
          <w:color w:val="auto"/>
          <w:sz w:val="21"/>
          <w:szCs w:val="21"/>
          <w:highlight w:val="none"/>
        </w:rPr>
        <w:t>格形式</w:t>
      </w:r>
    </w:p>
    <w:bookmarkEnd w:id="451"/>
    <w:bookmarkEnd w:id="452"/>
    <w:bookmarkEnd w:id="453"/>
    <w:bookmarkEnd w:id="454"/>
    <w:bookmarkEnd w:id="455"/>
    <w:bookmarkEnd w:id="456"/>
    <w:p w14:paraId="44164F7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（1）单价合同。</w:t>
      </w:r>
    </w:p>
    <w:p w14:paraId="2BFBC30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5306D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E6DBC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B0EC0E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（2）总价合同。</w:t>
      </w:r>
    </w:p>
    <w:p w14:paraId="3D84682A">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E02D9A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FD333B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EA5EA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CEB934">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bookmarkStart w:id="457" w:name="_Toc304295581"/>
      <w:bookmarkStart w:id="458" w:name="_Toc300935004"/>
      <w:bookmarkStart w:id="459" w:name="_Toc297216213"/>
      <w:bookmarkStart w:id="460" w:name="_Toc297123554"/>
      <w:bookmarkStart w:id="461" w:name="_Toc312678042"/>
      <w:bookmarkStart w:id="462" w:name="_Toc303539161"/>
      <w:bookmarkStart w:id="463" w:name="_Toc296944546"/>
      <w:bookmarkStart w:id="464" w:name="_Toc297048393"/>
      <w:bookmarkStart w:id="465" w:name="_Toc296891247"/>
      <w:bookmarkStart w:id="466" w:name="_Toc296503207"/>
      <w:bookmarkStart w:id="467" w:name="_Toc292559412"/>
      <w:bookmarkStart w:id="468" w:name="_Toc296347206"/>
      <w:bookmarkStart w:id="469" w:name="_Toc296346708"/>
      <w:bookmarkStart w:id="470" w:name="_Toc292559917"/>
      <w:bookmarkStart w:id="471" w:name="_Toc296891035"/>
      <w:bookmarkStart w:id="472" w:name="_Toc297120507"/>
      <w:r>
        <w:rPr>
          <w:rFonts w:hint="eastAsia" w:cs="宋体"/>
          <w:bCs/>
          <w:color w:val="auto"/>
          <w:sz w:val="21"/>
          <w:szCs w:val="21"/>
          <w:highlight w:val="none"/>
        </w:rPr>
        <w:t>12.2 预付款</w:t>
      </w:r>
    </w:p>
    <w:bookmarkEnd w:id="457"/>
    <w:bookmarkEnd w:id="458"/>
    <w:bookmarkEnd w:id="459"/>
    <w:bookmarkEnd w:id="460"/>
    <w:bookmarkEnd w:id="461"/>
    <w:bookmarkEnd w:id="462"/>
    <w:p w14:paraId="02817F0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12.2.1 预付款的支付</w:t>
      </w:r>
    </w:p>
    <w:p w14:paraId="3E0057F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DF191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9B101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E2A2E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12.2.2 预付款担保</w:t>
      </w:r>
    </w:p>
    <w:p w14:paraId="22F5DBE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A3D7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63"/>
    <w:bookmarkEnd w:id="464"/>
    <w:bookmarkEnd w:id="465"/>
    <w:bookmarkEnd w:id="466"/>
    <w:bookmarkEnd w:id="467"/>
    <w:bookmarkEnd w:id="468"/>
    <w:bookmarkEnd w:id="469"/>
    <w:bookmarkEnd w:id="470"/>
    <w:bookmarkEnd w:id="471"/>
    <w:bookmarkEnd w:id="472"/>
    <w:p w14:paraId="46F00E3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12.3 计量</w:t>
      </w:r>
    </w:p>
    <w:p w14:paraId="7878C04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12.3.1 计量原则</w:t>
      </w:r>
    </w:p>
    <w:p w14:paraId="068E3655">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按招标工程量清单及最高投标限价所采用的工程量清单计价规范及配套文件等</w:t>
      </w:r>
      <w:r>
        <w:rPr>
          <w:rFonts w:hint="eastAsia" w:cs="宋体"/>
          <w:b/>
          <w:color w:val="auto"/>
          <w:sz w:val="21"/>
          <w:szCs w:val="21"/>
          <w:highlight w:val="none"/>
        </w:rPr>
        <w:t>。</w:t>
      </w:r>
    </w:p>
    <w:p w14:paraId="77F164F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12.3.2 计量周期</w:t>
      </w:r>
    </w:p>
    <w:p w14:paraId="23A6AAF3">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按月计量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75F16EE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12.3.3 单价合同的计量</w:t>
      </w:r>
    </w:p>
    <w:p w14:paraId="1BC5916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1）承包人应于每月25日向监理人报送上月20日至当月19日已完成的工程量报告，并附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20E70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12.3.4 总价合同的计量</w:t>
      </w:r>
    </w:p>
    <w:p w14:paraId="72B4054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不采用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0F29A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不采用</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46FC49E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12.3.6 其他价格形式合同的计量</w:t>
      </w:r>
    </w:p>
    <w:p w14:paraId="1E995D7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不采用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338262">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12.4 工程进度款支付</w:t>
      </w:r>
    </w:p>
    <w:p w14:paraId="6474DA9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bookmarkStart w:id="473" w:name="_Toc297120511"/>
      <w:bookmarkStart w:id="474" w:name="_Toc292559416"/>
      <w:bookmarkStart w:id="475" w:name="_Toc297216215"/>
      <w:bookmarkStart w:id="476" w:name="_Toc303539163"/>
      <w:bookmarkStart w:id="477" w:name="_Toc296503211"/>
      <w:bookmarkStart w:id="478" w:name="_Toc296891039"/>
      <w:bookmarkStart w:id="479" w:name="_Toc297048397"/>
      <w:bookmarkStart w:id="480" w:name="_Toc292559921"/>
      <w:bookmarkStart w:id="481" w:name="_Toc296891251"/>
      <w:bookmarkStart w:id="482" w:name="_Toc300935006"/>
      <w:bookmarkStart w:id="483" w:name="_Toc296347210"/>
      <w:bookmarkStart w:id="484" w:name="_Toc296346712"/>
      <w:bookmarkStart w:id="485" w:name="_Toc297123556"/>
      <w:bookmarkStart w:id="486" w:name="_Toc296944550"/>
      <w:r>
        <w:rPr>
          <w:rFonts w:hint="eastAsia" w:cs="宋体"/>
          <w:color w:val="auto"/>
          <w:sz w:val="21"/>
          <w:szCs w:val="21"/>
          <w:highlight w:val="none"/>
        </w:rPr>
        <w:t>12.4.1 付款周期</w:t>
      </w:r>
    </w:p>
    <w:p w14:paraId="6316DF8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8DD508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12.4.2 进度付款申请单的编制</w:t>
      </w:r>
    </w:p>
    <w:p w14:paraId="0917A3DE">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olor w:val="auto"/>
          <w:spacing w:val="-7"/>
          <w:sz w:val="21"/>
          <w:szCs w:val="21"/>
          <w:highlight w:val="none"/>
          <w:u w:val="single" w:color="auto"/>
        </w:rPr>
        <w:t>执行发包人统一内容格式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DAF58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cs="宋体"/>
          <w:color w:val="auto"/>
          <w:sz w:val="21"/>
          <w:szCs w:val="21"/>
          <w:highlight w:val="none"/>
        </w:rPr>
        <w:t>2.4.3 进度付款申请单的提交</w:t>
      </w:r>
    </w:p>
    <w:p w14:paraId="1786983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w:t>
      </w:r>
      <w:r>
        <w:rPr>
          <w:rFonts w:hint="eastAsia"/>
          <w:color w:val="auto"/>
          <w:spacing w:val="-7"/>
          <w:sz w:val="21"/>
          <w:szCs w:val="21"/>
          <w:highlight w:val="none"/>
          <w:u w:val="single" w:color="auto"/>
        </w:rPr>
        <w:t>按工程进度付款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D5196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09688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A39D70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12.4.4 进度款审核和支付</w:t>
      </w:r>
    </w:p>
    <w:p w14:paraId="26B29CF1">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ascii="宋体" w:hAnsi="宋体" w:eastAsia="宋体" w:cs="宋体"/>
          <w:color w:val="auto"/>
          <w:sz w:val="21"/>
          <w:szCs w:val="21"/>
          <w:highlight w:val="none"/>
          <w:u w:val="single"/>
        </w:rPr>
        <w:t>监理人应在收到承包人进度付款申请单以及相关资料后7天内完成审查并报送发包人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8563E">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发包人应在收到后7天内完成审批并签发进度款支付证书，跟踪审计人员审核时间除外 </w:t>
      </w:r>
      <w:r>
        <w:rPr>
          <w:rFonts w:hint="eastAsia" w:cs="宋体"/>
          <w:color w:val="auto"/>
          <w:sz w:val="21"/>
          <w:szCs w:val="21"/>
          <w:highlight w:val="none"/>
        </w:rPr>
        <w:t>。</w:t>
      </w:r>
    </w:p>
    <w:p w14:paraId="2FAC15C3">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bCs/>
          <w:color w:val="auto"/>
          <w:sz w:val="21"/>
          <w:szCs w:val="21"/>
          <w:highlight w:val="none"/>
          <w:u w:val="single"/>
          <w:lang w:val="en-US" w:eastAsia="zh-CN"/>
        </w:rPr>
        <w:t>发包人在政府资金调度会批准且发票送达一周内完成支付</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0D5FBD">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5B0706">
      <w:pPr>
        <w:pageBreakBefore w:val="0"/>
        <w:kinsoku/>
        <w:wordWrap/>
        <w:overflowPunct/>
        <w:topLinePunct w:val="0"/>
        <w:bidi w:val="0"/>
        <w:snapToGrid w:val="0"/>
        <w:spacing w:line="400" w:lineRule="exact"/>
        <w:ind w:left="0" w:leftChars="0" w:right="0" w:rightChars="0" w:firstLine="422" w:firstLineChars="200"/>
        <w:jc w:val="left"/>
        <w:textAlignment w:val="auto"/>
        <w:rPr>
          <w:rFonts w:hint="eastAsia" w:ascii="宋体" w:hAnsi="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rPr>
        <w:t>支付方式：</w:t>
      </w:r>
      <w:r>
        <w:rPr>
          <w:rFonts w:hint="eastAsia" w:ascii="宋体" w:hAnsi="宋体" w:cs="宋体"/>
          <w:b/>
          <w:bCs/>
          <w:color w:val="auto"/>
          <w:sz w:val="21"/>
          <w:szCs w:val="21"/>
          <w:highlight w:val="none"/>
          <w:shd w:val="clear" w:color="auto" w:fill="auto"/>
          <w:lang w:val="en-US" w:eastAsia="zh-CN"/>
        </w:rPr>
        <w:t>合同签订具备实施条件后支付合同价的40%预付款（预付款支付前，中标人须提供同等金额预付款等额保函（见索即付））；按已完成进度计划合格工程量的85%支付进度款；工程完工后付至合格工程量价款的90%；竣工验收合格取得验收报告后，付至合格工程量价款的95%；完成竣工结算审计后付至结算总造价的98%，剩余2%作为工程质量保证金。</w:t>
      </w:r>
    </w:p>
    <w:p w14:paraId="7CD62474">
      <w:pPr>
        <w:pageBreakBefore w:val="0"/>
        <w:kinsoku/>
        <w:wordWrap/>
        <w:overflowPunct/>
        <w:topLinePunct w:val="0"/>
        <w:bidi w:val="0"/>
        <w:snapToGrid w:val="0"/>
        <w:spacing w:line="400" w:lineRule="exact"/>
        <w:ind w:left="0" w:leftChars="0" w:right="0" w:rightChars="0" w:firstLine="422" w:firstLineChars="200"/>
        <w:jc w:val="left"/>
        <w:textAlignment w:val="auto"/>
        <w:rPr>
          <w:rFonts w:hint="eastAsia" w:ascii="宋体" w:hAnsi="宋体" w:cs="宋体"/>
          <w:b/>
          <w:bCs/>
          <w:color w:val="auto"/>
          <w:sz w:val="21"/>
          <w:szCs w:val="21"/>
          <w:highlight w:val="none"/>
          <w:shd w:val="clear" w:color="auto" w:fill="auto"/>
          <w:lang w:val="en-US" w:eastAsia="zh-CN"/>
        </w:rPr>
      </w:pPr>
      <w:r>
        <w:rPr>
          <w:rFonts w:hint="eastAsia" w:ascii="宋体" w:hAnsi="宋体" w:cs="宋体"/>
          <w:b/>
          <w:bCs/>
          <w:color w:val="auto"/>
          <w:sz w:val="21"/>
          <w:szCs w:val="21"/>
          <w:highlight w:val="none"/>
          <w:shd w:val="clear" w:color="auto" w:fill="auto"/>
          <w:lang w:val="en-US" w:eastAsia="zh-CN"/>
        </w:rPr>
        <w:t>特别提示：</w:t>
      </w:r>
    </w:p>
    <w:p w14:paraId="54ADC68D">
      <w:pPr>
        <w:pageBreakBefore w:val="0"/>
        <w:kinsoku/>
        <w:wordWrap/>
        <w:overflowPunct/>
        <w:topLinePunct w:val="0"/>
        <w:bidi w:val="0"/>
        <w:snapToGrid w:val="0"/>
        <w:spacing w:line="400" w:lineRule="exact"/>
        <w:ind w:left="0" w:leftChars="0" w:right="0" w:rightChars="0" w:firstLine="422" w:firstLineChars="200"/>
        <w:jc w:val="left"/>
        <w:textAlignment w:val="auto"/>
        <w:rPr>
          <w:rFonts w:hint="eastAsia" w:ascii="宋体" w:hAnsi="宋体" w:cs="宋体"/>
          <w:b/>
          <w:bCs/>
          <w:color w:val="auto"/>
          <w:sz w:val="21"/>
          <w:szCs w:val="21"/>
          <w:highlight w:val="none"/>
          <w:shd w:val="clear" w:color="auto" w:fill="auto"/>
          <w:lang w:val="en-US" w:eastAsia="zh-CN"/>
        </w:rPr>
      </w:pPr>
      <w:r>
        <w:rPr>
          <w:rFonts w:hint="eastAsia" w:ascii="宋体" w:hAnsi="宋体" w:cs="宋体"/>
          <w:b/>
          <w:bCs/>
          <w:color w:val="auto"/>
          <w:sz w:val="21"/>
          <w:szCs w:val="21"/>
          <w:highlight w:val="none"/>
          <w:shd w:val="clear" w:color="auto" w:fill="auto"/>
          <w:lang w:val="en-US" w:eastAsia="zh-CN"/>
        </w:rPr>
        <w:t>付费时间:每次付款前提条件为中标单位同意建设单位在政府资金调度会批准且发票送达后完成支付。</w:t>
      </w:r>
    </w:p>
    <w:p w14:paraId="515FD0BF">
      <w:pPr>
        <w:pageBreakBefore w:val="0"/>
        <w:kinsoku/>
        <w:wordWrap/>
        <w:overflowPunct/>
        <w:topLinePunct w:val="0"/>
        <w:bidi w:val="0"/>
        <w:snapToGrid w:val="0"/>
        <w:spacing w:line="400" w:lineRule="exact"/>
        <w:ind w:left="0" w:leftChars="0" w:right="0" w:rightChars="0" w:firstLine="422" w:firstLineChars="200"/>
        <w:jc w:val="left"/>
        <w:textAlignment w:val="auto"/>
        <w:rPr>
          <w:rFonts w:hint="eastAsia" w:ascii="宋体" w:hAnsi="宋体" w:cs="宋体"/>
          <w:b/>
          <w:bCs/>
          <w:color w:val="auto"/>
          <w:sz w:val="21"/>
          <w:szCs w:val="21"/>
          <w:highlight w:val="none"/>
          <w:shd w:val="clear" w:color="auto" w:fill="auto"/>
          <w:lang w:val="en-US" w:eastAsia="zh-CN"/>
        </w:rPr>
      </w:pPr>
      <w:r>
        <w:rPr>
          <w:rFonts w:hint="eastAsia" w:ascii="宋体" w:hAnsi="宋体" w:cs="宋体"/>
          <w:b/>
          <w:bCs/>
          <w:color w:val="auto"/>
          <w:sz w:val="21"/>
          <w:szCs w:val="21"/>
          <w:highlight w:val="none"/>
          <w:shd w:val="clear" w:color="auto" w:fill="auto"/>
          <w:lang w:val="en-US" w:eastAsia="zh-CN"/>
        </w:rPr>
        <w:t>质量保证金支持保函（银行保函、担保机构担保、保证保险）使用。采用保函的，保函有效期须与工程缺陷责任期截止时间保持一致。</w:t>
      </w:r>
    </w:p>
    <w:p w14:paraId="42331531">
      <w:pPr>
        <w:pageBreakBefore w:val="0"/>
        <w:kinsoku/>
        <w:wordWrap/>
        <w:overflowPunct/>
        <w:topLinePunct w:val="0"/>
        <w:bidi w:val="0"/>
        <w:snapToGrid w:val="0"/>
        <w:spacing w:line="400" w:lineRule="exact"/>
        <w:ind w:left="0" w:leftChars="0" w:right="0" w:rightChars="0" w:firstLine="420" w:firstLineChars="200"/>
        <w:jc w:val="left"/>
        <w:textAlignment w:val="auto"/>
        <w:rPr>
          <w:rFonts w:hint="eastAsia" w:asci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（3）承包人必须与指定银行签订委托支付协议。总承包企业（专业承包企业）应及时确认劳务</w:t>
      </w:r>
      <w:r>
        <w:rPr>
          <w:rFonts w:hint="eastAsia" w:ascii="宋体" w:cs="宋体"/>
          <w:color w:val="auto"/>
          <w:sz w:val="21"/>
          <w:szCs w:val="21"/>
          <w:highlight w:val="none"/>
          <w:shd w:val="clear" w:color="auto" w:fill="auto"/>
        </w:rPr>
        <w:t>分包企业按月提供的农民工工资详单。保证在签订施工合同前严格按照</w:t>
      </w:r>
      <w:r>
        <w:rPr>
          <w:rFonts w:hint="eastAsia" w:ascii="宋体" w:cs="宋体"/>
          <w:color w:val="auto"/>
          <w:sz w:val="21"/>
          <w:szCs w:val="21"/>
          <w:highlight w:val="none"/>
          <w:shd w:val="clear" w:color="auto" w:fill="auto"/>
          <w:lang w:eastAsia="zh-CN"/>
        </w:rPr>
        <w:t>“</w:t>
      </w:r>
      <w:r>
        <w:rPr>
          <w:rFonts w:hint="eastAsia" w:ascii="宋体" w:cs="宋体"/>
          <w:color w:val="auto"/>
          <w:sz w:val="21"/>
          <w:szCs w:val="21"/>
          <w:highlight w:val="none"/>
          <w:shd w:val="clear" w:color="auto" w:fill="auto"/>
        </w:rPr>
        <w:t>滁州市建设领域农民工工资管理暂行办法{滁人社发【2018】215 号文件}</w:t>
      </w:r>
      <w:r>
        <w:rPr>
          <w:rFonts w:hint="eastAsia" w:ascii="宋体" w:cs="宋体"/>
          <w:color w:val="auto"/>
          <w:sz w:val="21"/>
          <w:szCs w:val="21"/>
          <w:highlight w:val="none"/>
          <w:shd w:val="clear" w:color="auto" w:fill="auto"/>
          <w:lang w:eastAsia="zh-CN"/>
        </w:rPr>
        <w:t>”</w:t>
      </w:r>
      <w:r>
        <w:rPr>
          <w:rFonts w:hint="eastAsia" w:ascii="宋体" w:cs="宋体"/>
          <w:color w:val="auto"/>
          <w:sz w:val="21"/>
          <w:szCs w:val="21"/>
          <w:highlight w:val="none"/>
          <w:shd w:val="clear" w:color="auto" w:fill="auto"/>
          <w:lang w:val="en-US" w:eastAsia="zh-CN"/>
        </w:rPr>
        <w:t>和“关于进一步完善工程建设领域农民工工资保证金和农民工工资（劳务费）专户管理制度的实施意见”</w:t>
      </w:r>
      <w:r>
        <w:rPr>
          <w:rFonts w:hint="eastAsia" w:ascii="宋体" w:cs="宋体"/>
          <w:color w:val="auto"/>
          <w:sz w:val="21"/>
          <w:szCs w:val="21"/>
          <w:highlight w:val="none"/>
          <w:shd w:val="clear" w:color="auto" w:fill="auto"/>
        </w:rPr>
        <w:t>要求办理“农民工工资专用账户”手续。</w:t>
      </w:r>
    </w:p>
    <w:p w14:paraId="207B47DA">
      <w:pPr>
        <w:pStyle w:val="54"/>
        <w:pageBreakBefore w:val="0"/>
        <w:kinsoku/>
        <w:wordWrap/>
        <w:overflowPunct/>
        <w:topLinePunct w:val="0"/>
        <w:bidi w:val="0"/>
        <w:spacing w:after="0" w:afterLines="0" w:line="400" w:lineRule="exact"/>
        <w:ind w:left="0" w:leftChars="0" w:right="0" w:rightChars="0"/>
        <w:textAlignment w:val="auto"/>
        <w:rPr>
          <w:rFonts w:hint="eastAsia" w:hAnsi="宋体" w:cs="宋体"/>
          <w:bCs/>
          <w:color w:val="auto"/>
          <w:sz w:val="21"/>
          <w:szCs w:val="21"/>
          <w:highlight w:val="none"/>
          <w:u w:val="single"/>
          <w:shd w:val="clear" w:color="auto" w:fill="auto"/>
        </w:rPr>
      </w:pPr>
      <w:r>
        <w:rPr>
          <w:rFonts w:hint="eastAsia" w:hAnsi="宋体" w:cs="宋体"/>
          <w:bCs/>
          <w:color w:val="auto"/>
          <w:sz w:val="21"/>
          <w:szCs w:val="21"/>
          <w:highlight w:val="none"/>
          <w:shd w:val="clear" w:color="auto" w:fill="auto"/>
        </w:rPr>
        <w:t>开户名称：</w:t>
      </w:r>
      <w:r>
        <w:rPr>
          <w:rFonts w:hint="eastAsia" w:hAnsi="宋体" w:cs="宋体"/>
          <w:bCs/>
          <w:color w:val="auto"/>
          <w:sz w:val="21"/>
          <w:szCs w:val="21"/>
          <w:highlight w:val="none"/>
          <w:u w:val="single"/>
          <w:shd w:val="clear" w:color="auto" w:fill="auto"/>
        </w:rPr>
        <w:t xml:space="preserve">                              ；</w:t>
      </w:r>
    </w:p>
    <w:p w14:paraId="651CA701">
      <w:pPr>
        <w:pStyle w:val="54"/>
        <w:pageBreakBefore w:val="0"/>
        <w:kinsoku/>
        <w:wordWrap/>
        <w:overflowPunct/>
        <w:topLinePunct w:val="0"/>
        <w:bidi w:val="0"/>
        <w:spacing w:after="0" w:afterLines="0" w:line="400" w:lineRule="exact"/>
        <w:ind w:left="0" w:leftChars="0" w:right="0" w:rightChars="0"/>
        <w:textAlignment w:val="auto"/>
        <w:rPr>
          <w:rFonts w:hint="eastAsia" w:hAnsi="宋体" w:cs="宋体"/>
          <w:bCs/>
          <w:color w:val="auto"/>
          <w:sz w:val="21"/>
          <w:szCs w:val="21"/>
          <w:highlight w:val="none"/>
          <w:u w:val="single"/>
          <w:shd w:val="clear" w:color="auto" w:fill="auto"/>
        </w:rPr>
      </w:pPr>
      <w:r>
        <w:rPr>
          <w:rFonts w:hint="eastAsia" w:hAnsi="宋体" w:cs="宋体"/>
          <w:bCs/>
          <w:color w:val="auto"/>
          <w:sz w:val="21"/>
          <w:szCs w:val="21"/>
          <w:highlight w:val="none"/>
          <w:shd w:val="clear" w:color="auto" w:fill="auto"/>
        </w:rPr>
        <w:t>开 户 行：</w:t>
      </w:r>
      <w:r>
        <w:rPr>
          <w:rFonts w:hint="eastAsia" w:hAnsi="宋体" w:cs="宋体"/>
          <w:bCs/>
          <w:color w:val="auto"/>
          <w:sz w:val="21"/>
          <w:szCs w:val="21"/>
          <w:highlight w:val="none"/>
          <w:u w:val="single"/>
          <w:shd w:val="clear" w:color="auto" w:fill="auto"/>
        </w:rPr>
        <w:t xml:space="preserve">                              ；</w:t>
      </w:r>
    </w:p>
    <w:p w14:paraId="311E967B">
      <w:pPr>
        <w:pageBreakBefore w:val="0"/>
        <w:kinsoku/>
        <w:wordWrap/>
        <w:overflowPunct/>
        <w:topLinePunct w:val="0"/>
        <w:bidi w:val="0"/>
        <w:snapToGrid w:val="0"/>
        <w:spacing w:line="400" w:lineRule="exact"/>
        <w:ind w:right="0" w:rightChars="0" w:firstLine="210" w:firstLineChars="100"/>
        <w:textAlignment w:val="auto"/>
        <w:rPr>
          <w:rFonts w:hint="eastAsia" w:ascii="宋体" w:hAnsi="宋体" w:eastAsia="宋体" w:cs="宋体"/>
          <w:b/>
          <w:bCs/>
          <w:color w:val="auto"/>
          <w:sz w:val="21"/>
          <w:szCs w:val="21"/>
          <w:highlight w:val="none"/>
        </w:rPr>
      </w:pPr>
      <w:r>
        <w:rPr>
          <w:rFonts w:hint="eastAsia" w:hAnsi="宋体" w:cs="宋体"/>
          <w:bCs/>
          <w:color w:val="auto"/>
          <w:sz w:val="21"/>
          <w:szCs w:val="21"/>
          <w:highlight w:val="none"/>
          <w:shd w:val="clear" w:color="auto" w:fill="auto"/>
        </w:rPr>
        <w:t>账    号：</w:t>
      </w:r>
      <w:r>
        <w:rPr>
          <w:rFonts w:hint="eastAsia" w:hAnsi="宋体" w:cs="宋体"/>
          <w:bCs/>
          <w:color w:val="auto"/>
          <w:sz w:val="21"/>
          <w:szCs w:val="21"/>
          <w:highlight w:val="none"/>
          <w:u w:val="single"/>
          <w:shd w:val="clear" w:color="auto" w:fill="auto"/>
        </w:rPr>
        <w:t xml:space="preserve">                              </w:t>
      </w:r>
      <w:r>
        <w:rPr>
          <w:rFonts w:hint="eastAsia" w:cs="宋体"/>
          <w:bCs/>
          <w:color w:val="auto"/>
          <w:sz w:val="21"/>
          <w:szCs w:val="21"/>
          <w:highlight w:val="none"/>
          <w:u w:val="single"/>
          <w:shd w:val="clear" w:color="auto" w:fill="auto"/>
          <w:lang w:eastAsia="zh-CN"/>
        </w:rPr>
        <w:t>。</w:t>
      </w:r>
    </w:p>
    <w:p w14:paraId="343979E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12.4.6 支付分解表的编制</w:t>
      </w:r>
    </w:p>
    <w:p w14:paraId="35E1A2C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82387C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447170E">
      <w:pPr>
        <w:pageBreakBefore w:val="0"/>
        <w:widowControl w:val="0"/>
        <w:kinsoku/>
        <w:wordWrap/>
        <w:overflowPunct/>
        <w:topLinePunct w:val="0"/>
        <w:bidi w:val="0"/>
        <w:adjustRightInd w:val="0"/>
        <w:snapToGrid w:val="0"/>
        <w:spacing w:line="400" w:lineRule="exact"/>
        <w:ind w:firstLine="420" w:firstLineChars="200"/>
        <w:textAlignment w:val="auto"/>
        <w:rPr>
          <w:rFonts w:cs="宋体"/>
          <w:bCs/>
          <w:color w:val="auto"/>
          <w:sz w:val="21"/>
          <w:szCs w:val="21"/>
          <w:highlight w:val="none"/>
        </w:rPr>
      </w:pPr>
      <w:r>
        <w:rPr>
          <w:rFonts w:hint="eastAsia" w:cs="宋体"/>
          <w:bCs/>
          <w:color w:val="auto"/>
          <w:sz w:val="21"/>
          <w:szCs w:val="21"/>
          <w:highlight w:val="none"/>
        </w:rPr>
        <w:t>12.4.7 农民工工资管理</w:t>
      </w:r>
    </w:p>
    <w:p w14:paraId="31959E45">
      <w:pPr>
        <w:pageBreakBefore w:val="0"/>
        <w:widowControl w:val="0"/>
        <w:kinsoku/>
        <w:wordWrap/>
        <w:overflowPunct/>
        <w:topLinePunct w:val="0"/>
        <w:bidi w:val="0"/>
        <w:adjustRightInd w:val="0"/>
        <w:snapToGrid w:val="0"/>
        <w:spacing w:line="400" w:lineRule="exact"/>
        <w:ind w:firstLine="420" w:firstLineChars="200"/>
        <w:textAlignment w:val="auto"/>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BF7E29F">
      <w:pPr>
        <w:pageBreakBefore w:val="0"/>
        <w:widowControl w:val="0"/>
        <w:kinsoku/>
        <w:wordWrap/>
        <w:overflowPunct/>
        <w:topLinePunct w:val="0"/>
        <w:bidi w:val="0"/>
        <w:adjustRightInd w:val="0"/>
        <w:snapToGrid w:val="0"/>
        <w:spacing w:line="400" w:lineRule="exact"/>
        <w:ind w:firstLine="420" w:firstLineChars="200"/>
        <w:textAlignment w:val="auto"/>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374E13D9">
      <w:pPr>
        <w:pageBreakBefore w:val="0"/>
        <w:widowControl w:val="0"/>
        <w:kinsoku/>
        <w:wordWrap/>
        <w:overflowPunct/>
        <w:topLinePunct w:val="0"/>
        <w:bidi w:val="0"/>
        <w:adjustRightInd w:val="0"/>
        <w:snapToGrid w:val="0"/>
        <w:spacing w:line="400" w:lineRule="exact"/>
        <w:ind w:firstLine="420" w:firstLineChars="200"/>
        <w:textAlignment w:val="auto"/>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发包人于每月25日前将工资性工程进度款转入农民工工资专用账户。</w:t>
      </w:r>
    </w:p>
    <w:p w14:paraId="38083303">
      <w:pPr>
        <w:pageBreakBefore w:val="0"/>
        <w:widowControl w:val="0"/>
        <w:kinsoku/>
        <w:wordWrap/>
        <w:overflowPunct/>
        <w:topLinePunct w:val="0"/>
        <w:bidi w:val="0"/>
        <w:adjustRightInd w:val="0"/>
        <w:snapToGrid w:val="0"/>
        <w:spacing w:line="400" w:lineRule="exact"/>
        <w:ind w:firstLine="420" w:firstLineChars="200"/>
        <w:textAlignment w:val="auto"/>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承包人每月25日前上报本工程农民工工资清单，每月10日前委托开设农民工工资专用账户的银行支付农民工工资。</w:t>
      </w:r>
    </w:p>
    <w:p w14:paraId="007FD833">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34"/>
    <w:p w14:paraId="78E6AF75">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487" w:name="_Toc351203645"/>
      <w:bookmarkStart w:id="488" w:name="_Toc304295593"/>
      <w:bookmarkStart w:id="489" w:name="_Toc297123564"/>
      <w:bookmarkStart w:id="490" w:name="_Toc296944558"/>
      <w:bookmarkStart w:id="491" w:name="_Toc297048405"/>
      <w:bookmarkStart w:id="492" w:name="_Toc296891259"/>
      <w:bookmarkStart w:id="493" w:name="_Toc312678053"/>
      <w:bookmarkStart w:id="494" w:name="_Toc296891047"/>
      <w:bookmarkStart w:id="495" w:name="_Toc296347218"/>
      <w:bookmarkStart w:id="496" w:name="_Toc297120519"/>
      <w:bookmarkStart w:id="497" w:name="_Toc300935015"/>
      <w:bookmarkStart w:id="498" w:name="_Toc296346720"/>
      <w:bookmarkStart w:id="499" w:name="_Toc292559424"/>
      <w:bookmarkStart w:id="500" w:name="_Toc297216223"/>
      <w:bookmarkStart w:id="501" w:name="_Toc292559929"/>
      <w:bookmarkStart w:id="502" w:name="_Toc303539172"/>
      <w:bookmarkStart w:id="503" w:name="_Toc296503219"/>
      <w:r>
        <w:rPr>
          <w:rFonts w:hint="eastAsia" w:cs="宋体"/>
          <w:color w:val="auto"/>
          <w:sz w:val="21"/>
          <w:szCs w:val="21"/>
          <w:highlight w:val="none"/>
        </w:rPr>
        <w:t>13. 验收和工程试车</w:t>
      </w:r>
      <w:bookmarkEnd w:id="487"/>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14:paraId="4183834C">
      <w:pPr>
        <w:keepNext/>
        <w:keepLines/>
        <w:pageBreakBefore w:val="0"/>
        <w:widowControl w:val="0"/>
        <w:kinsoku/>
        <w:wordWrap/>
        <w:overflowPunct/>
        <w:topLinePunct w:val="0"/>
        <w:bidi w:val="0"/>
        <w:snapToGrid w:val="0"/>
        <w:spacing w:before="120" w:after="120" w:line="400" w:lineRule="exact"/>
        <w:jc w:val="left"/>
        <w:textAlignment w:val="auto"/>
        <w:outlineLvl w:val="2"/>
        <w:rPr>
          <w:rFonts w:cs="宋体"/>
          <w:bCs/>
          <w:color w:val="auto"/>
          <w:sz w:val="21"/>
          <w:szCs w:val="21"/>
          <w:highlight w:val="none"/>
        </w:rPr>
      </w:pPr>
      <w:r>
        <w:rPr>
          <w:rFonts w:hint="eastAsia" w:cs="宋体"/>
          <w:bCs/>
          <w:color w:val="auto"/>
          <w:sz w:val="21"/>
          <w:szCs w:val="21"/>
          <w:highlight w:val="none"/>
        </w:rPr>
        <w:t>13.1 分部分项工程验收</w:t>
      </w:r>
    </w:p>
    <w:p w14:paraId="2430DB4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22B129FC">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4210A2CF">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bookmarkStart w:id="504" w:name="_Toc296346724"/>
      <w:bookmarkStart w:id="505" w:name="_Toc292559933"/>
      <w:bookmarkStart w:id="506" w:name="_Toc296503223"/>
      <w:bookmarkStart w:id="507" w:name="_Toc297123565"/>
      <w:bookmarkStart w:id="508" w:name="_Toc296891051"/>
      <w:bookmarkStart w:id="509" w:name="_Toc312678056"/>
      <w:bookmarkStart w:id="510" w:name="_Toc297120523"/>
      <w:bookmarkStart w:id="511" w:name="_Toc292559428"/>
      <w:bookmarkStart w:id="512" w:name="_Toc296891263"/>
      <w:bookmarkStart w:id="513" w:name="_Toc297048409"/>
      <w:bookmarkStart w:id="514" w:name="_Toc304295596"/>
      <w:bookmarkStart w:id="515" w:name="_Toc296347222"/>
      <w:bookmarkStart w:id="516" w:name="_Toc300935016"/>
      <w:bookmarkStart w:id="517" w:name="_Toc297216224"/>
      <w:bookmarkStart w:id="518" w:name="_Toc303539173"/>
      <w:bookmarkStart w:id="519" w:name="_Toc296944562"/>
      <w:bookmarkStart w:id="520" w:name="_Toc267251476"/>
      <w:bookmarkStart w:id="521" w:name="_Toc267251473"/>
      <w:bookmarkStart w:id="522" w:name="_Toc267251470"/>
      <w:bookmarkStart w:id="523" w:name="_Toc267251474"/>
      <w:bookmarkStart w:id="524" w:name="_Toc267251475"/>
      <w:bookmarkStart w:id="525" w:name="_Toc267251472"/>
      <w:bookmarkStart w:id="526" w:name="_Toc267251471"/>
      <w:r>
        <w:rPr>
          <w:rFonts w:hint="eastAsia" w:cs="宋体"/>
          <w:bCs/>
          <w:color w:val="auto"/>
          <w:sz w:val="21"/>
          <w:szCs w:val="21"/>
          <w:highlight w:val="none"/>
        </w:rPr>
        <w:t>13.2 竣工验收</w:t>
      </w:r>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E618EB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bookmarkStart w:id="527" w:name="_Toc280868704"/>
      <w:bookmarkStart w:id="528" w:name="_Toc280868705"/>
      <w:bookmarkStart w:id="529" w:name="_Toc280868706"/>
      <w:bookmarkStart w:id="530" w:name="_Toc280868707"/>
      <w:bookmarkStart w:id="531" w:name="_Toc280868708"/>
      <w:bookmarkStart w:id="532" w:name="_Toc280868709"/>
      <w:r>
        <w:rPr>
          <w:rFonts w:hint="eastAsia" w:cs="宋体"/>
          <w:color w:val="auto"/>
          <w:sz w:val="21"/>
          <w:szCs w:val="21"/>
          <w:highlight w:val="none"/>
        </w:rPr>
        <w:t>13.2.2 竣工验收程序</w:t>
      </w:r>
    </w:p>
    <w:bookmarkEnd w:id="527"/>
    <w:p w14:paraId="62E28A9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ascii="宋体" w:cs="宋体"/>
          <w:color w:val="auto"/>
          <w:sz w:val="21"/>
          <w:szCs w:val="21"/>
          <w:highlight w:val="none"/>
          <w:u w:val="single"/>
          <w:shd w:val="clear" w:color="auto" w:fill="auto"/>
        </w:rPr>
        <w:t>严格按照市重点处《工程竣工验收要求》和《重点工程进度管理办法》执行（从工程完工到竣工验收原则上不得超过30天，特殊情况经分管领导批准的可以延长）。整体工程完工后组织竣工验收，验收合格之日作为竣工日期</w:t>
      </w:r>
      <w:r>
        <w:rPr>
          <w:rFonts w:hint="eastAsia" w:cs="宋体"/>
          <w:color w:val="auto"/>
          <w:sz w:val="21"/>
          <w:szCs w:val="21"/>
          <w:highlight w:val="none"/>
        </w:rPr>
        <w:t>。</w:t>
      </w:r>
    </w:p>
    <w:p w14:paraId="03FD89F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28"/>
    <w:p w14:paraId="1D5E80C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13.2.5 移交、接收全部与部分工程</w:t>
      </w:r>
    </w:p>
    <w:bookmarkEnd w:id="529"/>
    <w:p w14:paraId="27C4D11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ascii="宋体" w:cs="宋体"/>
          <w:color w:val="auto"/>
          <w:sz w:val="21"/>
          <w:szCs w:val="21"/>
          <w:highlight w:val="none"/>
          <w:u w:val="single"/>
          <w:shd w:val="clear" w:color="auto" w:fill="auto"/>
        </w:rPr>
        <w:t>承包人应当无条件配合发包人在30日内将工程移交给管养单位</w:t>
      </w:r>
      <w:r>
        <w:rPr>
          <w:rFonts w:hint="eastAsia" w:cs="宋体"/>
          <w:color w:val="auto"/>
          <w:sz w:val="21"/>
          <w:szCs w:val="21"/>
          <w:highlight w:val="none"/>
        </w:rPr>
        <w:t>。</w:t>
      </w:r>
    </w:p>
    <w:p w14:paraId="5F7A664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rPr>
        <w:t>。</w:t>
      </w:r>
    </w:p>
    <w:bookmarkEnd w:id="530"/>
    <w:p w14:paraId="167A104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lang w:val="en-US" w:eastAsia="zh-CN"/>
        </w:rPr>
        <w:t>因承包人原因，未按合同期限按时移交的，暂停工程款支付，发包人可动用质保金，用于工程质量整改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rPr>
        <w:t>。</w:t>
      </w:r>
    </w:p>
    <w:p w14:paraId="5C2C12F6">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13.3 工程试车</w:t>
      </w:r>
    </w:p>
    <w:bookmarkEnd w:id="531"/>
    <w:p w14:paraId="741F621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13.3.1 试车程序</w:t>
      </w:r>
    </w:p>
    <w:p w14:paraId="5E94F72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工程需要试车的，试车内容应与承包人承包范围相一致，试车费用由承包人承担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A1BDA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承包人在</w:t>
      </w:r>
      <w:r>
        <w:rPr>
          <w:rFonts w:hint="eastAsia" w:cs="宋体"/>
          <w:color w:val="auto"/>
          <w:sz w:val="21"/>
          <w:szCs w:val="21"/>
          <w:highlight w:val="none"/>
          <w:u w:val="single"/>
          <w:lang w:val="en-US" w:eastAsia="zh-CN"/>
        </w:rPr>
        <w:t>响应</w:t>
      </w:r>
      <w:r>
        <w:rPr>
          <w:rFonts w:hint="eastAsia" w:cs="宋体"/>
          <w:color w:val="auto"/>
          <w:sz w:val="21"/>
          <w:szCs w:val="21"/>
          <w:highlight w:val="none"/>
          <w:u w:val="single"/>
        </w:rPr>
        <w:t>报价中综合考虑并</w:t>
      </w:r>
      <w:r>
        <w:rPr>
          <w:rFonts w:hint="eastAsia" w:cs="宋体"/>
          <w:color w:val="auto"/>
          <w:sz w:val="21"/>
          <w:szCs w:val="21"/>
          <w:highlight w:val="none"/>
        </w:rPr>
        <w:t>承担；</w:t>
      </w:r>
    </w:p>
    <w:p w14:paraId="32656DF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承包人在</w:t>
      </w:r>
      <w:r>
        <w:rPr>
          <w:rFonts w:hint="eastAsia" w:cs="宋体"/>
          <w:color w:val="auto"/>
          <w:sz w:val="21"/>
          <w:szCs w:val="21"/>
          <w:highlight w:val="none"/>
          <w:u w:val="single"/>
          <w:lang w:val="en-US" w:eastAsia="zh-CN"/>
        </w:rPr>
        <w:t>响应</w:t>
      </w:r>
      <w:r>
        <w:rPr>
          <w:rFonts w:hint="eastAsia" w:cs="宋体"/>
          <w:color w:val="auto"/>
          <w:sz w:val="21"/>
          <w:szCs w:val="21"/>
          <w:highlight w:val="none"/>
          <w:u w:val="single"/>
        </w:rPr>
        <w:t>报价中综合考虑并</w:t>
      </w:r>
      <w:r>
        <w:rPr>
          <w:rFonts w:hint="eastAsia" w:cs="宋体"/>
          <w:color w:val="auto"/>
          <w:sz w:val="21"/>
          <w:szCs w:val="21"/>
          <w:highlight w:val="none"/>
        </w:rPr>
        <w:t>承担。</w:t>
      </w:r>
    </w:p>
    <w:p w14:paraId="2BB6802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13.3.3 投料试车</w:t>
      </w:r>
    </w:p>
    <w:p w14:paraId="05DE364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ascii="宋体" w:cs="宋体"/>
          <w:color w:val="auto"/>
          <w:kern w:val="0"/>
          <w:sz w:val="21"/>
          <w:szCs w:val="21"/>
          <w:highlight w:val="none"/>
          <w:u w:val="single"/>
          <w:shd w:val="clear" w:color="auto" w:fill="auto"/>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r>
        <w:rPr>
          <w:rFonts w:hint="eastAsia" w:cs="宋体"/>
          <w:color w:val="auto"/>
          <w:sz w:val="21"/>
          <w:szCs w:val="21"/>
          <w:highlight w:val="none"/>
        </w:rPr>
        <w:t>。</w:t>
      </w:r>
    </w:p>
    <w:p w14:paraId="13926459">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13.6 竣工退场</w:t>
      </w:r>
    </w:p>
    <w:p w14:paraId="3B103CB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13.6.1 竣工退场</w:t>
      </w:r>
    </w:p>
    <w:p w14:paraId="79954B8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ascii="宋体" w:cs="宋体"/>
          <w:color w:val="auto"/>
          <w:sz w:val="21"/>
          <w:szCs w:val="21"/>
          <w:highlight w:val="none"/>
          <w:u w:val="single"/>
          <w:shd w:val="clear" w:color="auto" w:fill="auto"/>
        </w:rPr>
        <w:t>工程竣工合格后，7天内退场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37998">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533" w:name="_Toc351203646"/>
      <w:r>
        <w:rPr>
          <w:rFonts w:hint="eastAsia" w:cs="宋体"/>
          <w:color w:val="auto"/>
          <w:sz w:val="21"/>
          <w:szCs w:val="21"/>
          <w:highlight w:val="none"/>
        </w:rPr>
        <w:t>14. 竣工结算</w:t>
      </w:r>
      <w:bookmarkEnd w:id="533"/>
    </w:p>
    <w:p w14:paraId="7240D00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14.1 竣工结算申请</w:t>
      </w:r>
    </w:p>
    <w:p w14:paraId="11C7CB5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ascii="宋体" w:cs="宋体"/>
          <w:color w:val="auto"/>
          <w:sz w:val="21"/>
          <w:szCs w:val="21"/>
          <w:highlight w:val="none"/>
          <w:u w:val="single"/>
          <w:shd w:val="clear" w:color="auto" w:fill="auto"/>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r>
        <w:rPr>
          <w:rFonts w:hint="eastAsia" w:cs="宋体"/>
          <w:color w:val="auto"/>
          <w:sz w:val="21"/>
          <w:szCs w:val="21"/>
          <w:highlight w:val="none"/>
        </w:rPr>
        <w:t>。</w:t>
      </w:r>
    </w:p>
    <w:p w14:paraId="04E7963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lang w:val="en-US" w:eastAsia="zh-CN"/>
        </w:rPr>
        <w:t>执行发包人统一内容格式</w:t>
      </w:r>
      <w:r>
        <w:rPr>
          <w:rFonts w:hint="eastAsia" w:cs="宋体"/>
          <w:color w:val="auto"/>
          <w:sz w:val="21"/>
          <w:szCs w:val="21"/>
          <w:highlight w:val="none"/>
        </w:rPr>
        <w:t>。</w:t>
      </w:r>
    </w:p>
    <w:p w14:paraId="25A0CD1A">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14.2 竣工结算审核</w:t>
      </w:r>
    </w:p>
    <w:p w14:paraId="38F5E2F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lang w:val="en-US" w:eastAsia="zh-CN"/>
        </w:rPr>
        <w:t>相关部门审核通过后7天内完成审批并签发结算款支付证书</w:t>
      </w:r>
      <w:r>
        <w:rPr>
          <w:rFonts w:hint="eastAsia" w:cs="宋体"/>
          <w:color w:val="auto"/>
          <w:sz w:val="21"/>
          <w:szCs w:val="21"/>
          <w:highlight w:val="none"/>
        </w:rPr>
        <w:t>。</w:t>
      </w:r>
    </w:p>
    <w:p w14:paraId="5D3DEFD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lang w:val="en-US" w:eastAsia="zh-CN"/>
        </w:rPr>
        <w:t>发包人在政府资金调度会批准且发票送达一周内完成支付</w:t>
      </w:r>
      <w:r>
        <w:rPr>
          <w:rFonts w:hint="eastAsia" w:cs="宋体"/>
          <w:color w:val="auto"/>
          <w:sz w:val="21"/>
          <w:szCs w:val="21"/>
          <w:highlight w:val="none"/>
        </w:rPr>
        <w:t>。</w:t>
      </w:r>
    </w:p>
    <w:p w14:paraId="61702C9E">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关于竣工付款证书异议部分复核的方式和程序：</w:t>
      </w:r>
      <w:r>
        <w:rPr>
          <w:rFonts w:hint="eastAsia" w:ascii="宋体" w:cs="宋体"/>
          <w:color w:val="auto"/>
          <w:sz w:val="21"/>
          <w:szCs w:val="21"/>
          <w:highlight w:val="none"/>
          <w:u w:val="single"/>
          <w:shd w:val="clear" w:color="auto" w:fill="auto"/>
        </w:rPr>
        <w:t>按照第20条〔争议解决〕约定处理</w:t>
      </w:r>
      <w:r>
        <w:rPr>
          <w:rFonts w:hint="eastAsia" w:cs="宋体"/>
          <w:color w:val="auto"/>
          <w:sz w:val="21"/>
          <w:szCs w:val="21"/>
          <w:highlight w:val="none"/>
        </w:rPr>
        <w:t>。</w:t>
      </w:r>
    </w:p>
    <w:p w14:paraId="440D6B5F">
      <w:pPr>
        <w:pageBreakBefore w:val="0"/>
        <w:kinsoku/>
        <w:wordWrap/>
        <w:overflowPunct/>
        <w:topLinePunct w:val="0"/>
        <w:bidi w:val="0"/>
        <w:adjustRightInd w:val="0"/>
        <w:snapToGrid w:val="0"/>
        <w:spacing w:line="400" w:lineRule="exact"/>
        <w:ind w:left="0" w:leftChars="0" w:right="0" w:rightChars="0" w:firstLine="422" w:firstLineChars="200"/>
        <w:textAlignment w:val="auto"/>
        <w:rPr>
          <w:rFonts w:hint="eastAsia" w:eastAsia="宋体" w:cs="宋体"/>
          <w:color w:val="auto"/>
          <w:sz w:val="21"/>
          <w:szCs w:val="21"/>
          <w:highlight w:val="none"/>
          <w:lang w:val="en-US" w:eastAsia="zh-CN"/>
        </w:rPr>
      </w:pPr>
      <w:r>
        <w:rPr>
          <w:rFonts w:hint="eastAsia" w:ascii="黑体" w:hAnsi="黑体" w:eastAsia="黑体" w:cs="黑体"/>
          <w:b/>
          <w:bCs/>
          <w:color w:val="auto"/>
          <w:sz w:val="21"/>
          <w:szCs w:val="21"/>
          <w:highlight w:val="none"/>
          <w:shd w:val="clear" w:color="auto" w:fill="auto"/>
        </w:rPr>
        <w:t>工程造价审减率超过3%时，将对施工单位进行处罚，处罚金额为审减率超过3%以上的报送金额的6%，由综合计划科在定案时明确处罚金额报工程监管科落实处罚</w:t>
      </w:r>
      <w:r>
        <w:rPr>
          <w:rFonts w:hint="eastAsia" w:ascii="黑体" w:hAnsi="黑体" w:eastAsia="黑体" w:cs="黑体"/>
          <w:b/>
          <w:bCs/>
          <w:color w:val="auto"/>
          <w:sz w:val="21"/>
          <w:szCs w:val="21"/>
          <w:highlight w:val="none"/>
          <w:shd w:val="clear" w:color="auto" w:fill="auto"/>
          <w:lang w:eastAsia="zh-CN"/>
        </w:rPr>
        <w:t>。</w:t>
      </w:r>
    </w:p>
    <w:p w14:paraId="40EEB801">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14.4 最终结清</w:t>
      </w:r>
    </w:p>
    <w:p w14:paraId="774EC58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14.4.1 最终结清申请单</w:t>
      </w:r>
    </w:p>
    <w:p w14:paraId="2E9D7B9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4份</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C59A1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72430A6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14.4.2 最终结清证书和支付</w:t>
      </w:r>
    </w:p>
    <w:p w14:paraId="61B811E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ascii="宋体" w:cs="宋体"/>
          <w:color w:val="auto"/>
          <w:sz w:val="21"/>
          <w:szCs w:val="21"/>
          <w:highlight w:val="none"/>
          <w:u w:val="single"/>
          <w:shd w:val="clear" w:color="auto" w:fill="auto"/>
        </w:rPr>
        <w:t>缺陷责任期满经复查合格后14天内</w:t>
      </w:r>
      <w:r>
        <w:rPr>
          <w:rFonts w:hint="eastAsia" w:cs="宋体"/>
          <w:color w:val="auto"/>
          <w:sz w:val="21"/>
          <w:szCs w:val="21"/>
          <w:highlight w:val="none"/>
        </w:rPr>
        <w:t>。</w:t>
      </w:r>
    </w:p>
    <w:p w14:paraId="68B30A7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（2）发包人完成支付的期限：</w:t>
      </w:r>
      <w:r>
        <w:rPr>
          <w:rFonts w:hint="eastAsia" w:ascii="宋体" w:cs="宋体"/>
          <w:color w:val="auto"/>
          <w:sz w:val="21"/>
          <w:szCs w:val="21"/>
          <w:highlight w:val="none"/>
          <w:u w:val="single"/>
          <w:shd w:val="clear" w:color="auto" w:fill="auto"/>
        </w:rPr>
        <w:t>发包人在政府资金调度会批准且发票送达一周内完成支付</w:t>
      </w:r>
      <w:r>
        <w:rPr>
          <w:rFonts w:hint="eastAsia" w:cs="宋体"/>
          <w:color w:val="auto"/>
          <w:sz w:val="21"/>
          <w:szCs w:val="21"/>
          <w:highlight w:val="none"/>
        </w:rPr>
        <w:t>。</w:t>
      </w:r>
    </w:p>
    <w:bookmarkEnd w:id="520"/>
    <w:bookmarkEnd w:id="521"/>
    <w:bookmarkEnd w:id="522"/>
    <w:bookmarkEnd w:id="523"/>
    <w:bookmarkEnd w:id="524"/>
    <w:bookmarkEnd w:id="525"/>
    <w:bookmarkEnd w:id="526"/>
    <w:bookmarkEnd w:id="532"/>
    <w:p w14:paraId="6E643921">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534" w:name="_Toc351203647"/>
      <w:bookmarkStart w:id="535" w:name="_Toc267251483"/>
      <w:bookmarkStart w:id="536" w:name="_Toc267251484"/>
      <w:bookmarkStart w:id="537" w:name="_Toc267251482"/>
      <w:bookmarkStart w:id="538" w:name="_Toc267251485"/>
      <w:bookmarkStart w:id="539" w:name="_Toc267251486"/>
      <w:bookmarkStart w:id="540" w:name="_Toc267251488"/>
      <w:bookmarkStart w:id="541" w:name="_Toc267251489"/>
      <w:bookmarkStart w:id="542" w:name="_Toc267251490"/>
      <w:bookmarkStart w:id="543" w:name="_Toc267251496"/>
      <w:bookmarkStart w:id="544" w:name="_Toc267251493"/>
      <w:bookmarkStart w:id="545" w:name="_Toc267251492"/>
      <w:bookmarkStart w:id="546" w:name="_Toc267251498"/>
      <w:bookmarkStart w:id="547" w:name="_Toc267251502"/>
      <w:bookmarkStart w:id="548" w:name="_Toc267251497"/>
      <w:bookmarkStart w:id="549" w:name="_Toc267251499"/>
      <w:bookmarkStart w:id="550" w:name="_Toc267251503"/>
      <w:bookmarkStart w:id="551" w:name="_Toc267251491"/>
      <w:bookmarkStart w:id="552" w:name="_Toc267251494"/>
      <w:bookmarkStart w:id="553" w:name="_Toc267251501"/>
      <w:bookmarkStart w:id="554" w:name="_Toc267251495"/>
      <w:bookmarkStart w:id="555" w:name="_Toc267251506"/>
      <w:bookmarkStart w:id="556" w:name="_Toc267251504"/>
      <w:bookmarkStart w:id="557" w:name="_Toc267251507"/>
      <w:bookmarkStart w:id="558" w:name="_Toc267251508"/>
      <w:bookmarkStart w:id="559" w:name="_Toc267251511"/>
      <w:bookmarkStart w:id="560" w:name="_Toc267251514"/>
      <w:bookmarkStart w:id="561" w:name="_Toc267251515"/>
      <w:bookmarkStart w:id="562" w:name="_Toc267251513"/>
      <w:bookmarkStart w:id="563" w:name="_Toc267251509"/>
      <w:bookmarkStart w:id="564" w:name="_Toc267251510"/>
      <w:r>
        <w:rPr>
          <w:rFonts w:hint="eastAsia" w:cs="宋体"/>
          <w:color w:val="auto"/>
          <w:sz w:val="21"/>
          <w:szCs w:val="21"/>
          <w:highlight w:val="none"/>
        </w:rPr>
        <w:t>15. 缺陷责任期与保修</w:t>
      </w:r>
      <w:bookmarkEnd w:id="534"/>
    </w:p>
    <w:p w14:paraId="5D4D512B">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15.2 缺陷责任期</w:t>
      </w:r>
      <w:bookmarkEnd w:id="535"/>
    </w:p>
    <w:p w14:paraId="2B662490">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7444B00">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15.3 质量保证金</w:t>
      </w:r>
    </w:p>
    <w:p w14:paraId="70FA60C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是</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1787449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15.3.1 承包人提供质量保证金的方式</w:t>
      </w:r>
    </w:p>
    <w:p w14:paraId="31F4D77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质量保证金可采用以下任意一种方式：</w:t>
      </w:r>
    </w:p>
    <w:p w14:paraId="158DD27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613F594">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6DE73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D13671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 xml:space="preserve">15.3.2 质量保证金的扣留 </w:t>
      </w:r>
    </w:p>
    <w:p w14:paraId="72A0323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5328516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2434192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（2）工程竣工结算时一次性扣留质量保证金；</w:t>
      </w:r>
    </w:p>
    <w:p w14:paraId="6B9C2AF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shd w:val="clear" w:color="auto" w:fill="auto"/>
        </w:rPr>
        <w:t>详见工程款支付方式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71F88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关于质量保证金的补充约定：</w:t>
      </w:r>
    </w:p>
    <w:p w14:paraId="35C08B7F">
      <w:pPr>
        <w:pageBreakBefore w:val="0"/>
        <w:kinsoku/>
        <w:wordWrap/>
        <w:overflowPunct/>
        <w:topLinePunct w:val="0"/>
        <w:bidi w:val="0"/>
        <w:adjustRightInd w:val="0"/>
        <w:snapToGrid w:val="0"/>
        <w:spacing w:line="400" w:lineRule="exact"/>
        <w:ind w:left="0" w:leftChars="0" w:right="0" w:rightChars="0" w:firstLine="420" w:firstLineChars="200"/>
        <w:textAlignment w:val="auto"/>
        <w:rPr>
          <w:rFonts w:cs="宋体"/>
          <w:color w:val="auto"/>
          <w:sz w:val="21"/>
          <w:szCs w:val="21"/>
          <w:highlight w:val="none"/>
        </w:rPr>
      </w:pPr>
      <w:r>
        <w:rPr>
          <w:rFonts w:hint="eastAsia" w:ascii="宋体" w:cs="宋体"/>
          <w:color w:val="auto"/>
          <w:kern w:val="0"/>
          <w:sz w:val="21"/>
          <w:szCs w:val="21"/>
          <w:highlight w:val="none"/>
          <w:u w:val="single"/>
          <w:shd w:val="clear" w:color="auto" w:fill="auto"/>
        </w:rPr>
        <w:t>质量保证金支持保函（银行保函、担保机构担保、保证保险）使用。采用保函的，保函有效期须与缺陷责任期截止时间保持一致</w:t>
      </w:r>
      <w:r>
        <w:rPr>
          <w:rFonts w:hint="eastAsia" w:ascii="宋体" w:cs="宋体"/>
          <w:color w:val="auto"/>
          <w:kern w:val="0"/>
          <w:sz w:val="21"/>
          <w:szCs w:val="21"/>
          <w:highlight w:val="none"/>
          <w:u w:val="single"/>
          <w:shd w:val="clear" w:color="auto" w:fill="auto"/>
          <w:lang w:eastAsia="zh-CN"/>
        </w:rPr>
        <w:t>。</w:t>
      </w:r>
      <w:r>
        <w:rPr>
          <w:rFonts w:hint="eastAsia" w:ascii="宋体" w:cs="宋体"/>
          <w:color w:val="auto"/>
          <w:sz w:val="21"/>
          <w:szCs w:val="21"/>
          <w:highlight w:val="none"/>
          <w:u w:val="single"/>
          <w:shd w:val="clear" w:color="auto" w:fill="auto"/>
        </w:rPr>
        <w:t>承包人在缺陷责任期内未履行保修义务的，缺陷责任期满经复查不合格的，质量保证金不予退还。</w:t>
      </w:r>
      <w:r>
        <w:rPr>
          <w:rFonts w:hint="eastAsia" w:ascii="宋体" w:cs="宋体"/>
          <w:color w:val="auto"/>
          <w:kern w:val="0"/>
          <w:sz w:val="21"/>
          <w:szCs w:val="21"/>
          <w:highlight w:val="none"/>
          <w:u w:val="single"/>
          <w:shd w:val="clear" w:color="auto" w:fill="auto"/>
        </w:rPr>
        <w:t>质量缺陷较多，多次催促整改不到位，处理不及时的，</w:t>
      </w:r>
      <w:r>
        <w:rPr>
          <w:rFonts w:hint="eastAsia" w:ascii="宋体" w:cs="宋体"/>
          <w:color w:val="auto"/>
          <w:sz w:val="21"/>
          <w:szCs w:val="21"/>
          <w:highlight w:val="none"/>
          <w:u w:val="single"/>
          <w:shd w:val="clear" w:color="auto" w:fill="auto"/>
        </w:rPr>
        <w:t>发包人可动用质保金，用于工程质量整改</w:t>
      </w:r>
      <w:r>
        <w:rPr>
          <w:rFonts w:hint="eastAsia" w:cs="宋体"/>
          <w:color w:val="auto"/>
          <w:sz w:val="21"/>
          <w:szCs w:val="21"/>
          <w:highlight w:val="none"/>
        </w:rPr>
        <w:t>。</w:t>
      </w:r>
    </w:p>
    <w:bookmarkEnd w:id="536"/>
    <w:bookmarkEnd w:id="537"/>
    <w:p w14:paraId="24E90D6E">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15.4 保修</w:t>
      </w:r>
    </w:p>
    <w:bookmarkEnd w:id="538"/>
    <w:p w14:paraId="47227A1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15.4.1 保修责任</w:t>
      </w:r>
    </w:p>
    <w:p w14:paraId="3E7A7A0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kern w:val="0"/>
          <w:sz w:val="21"/>
          <w:szCs w:val="21"/>
          <w:highlight w:val="none"/>
          <w:u w:val="single"/>
          <w:lang w:val="en-US" w:eastAsia="zh-CN"/>
        </w:rPr>
        <w:t>执行《建设工程质量管理条例》及有关规定，如与国家最新相关标准冲突的按标准较高的执行</w:t>
      </w:r>
      <w:r>
        <w:rPr>
          <w:rFonts w:hint="eastAsia" w:cs="宋体"/>
          <w:color w:val="auto"/>
          <w:sz w:val="21"/>
          <w:szCs w:val="21"/>
          <w:highlight w:val="none"/>
        </w:rPr>
        <w:t>。</w:t>
      </w:r>
    </w:p>
    <w:p w14:paraId="60A4702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15.4.3 修复通知</w:t>
      </w:r>
    </w:p>
    <w:p w14:paraId="380ADDD3">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kern w:val="0"/>
          <w:sz w:val="21"/>
          <w:szCs w:val="21"/>
          <w:highlight w:val="none"/>
          <w:u w:val="single"/>
          <w:shd w:val="clear" w:color="auto" w:fill="auto"/>
          <w:lang w:val="en-US" w:eastAsia="zh-CN"/>
        </w:rPr>
        <w:t xml:space="preserve"> 自承包人收到保修通知起24小时内到达工程现场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39"/>
    <w:bookmarkEnd w:id="540"/>
    <w:bookmarkEnd w:id="541"/>
    <w:bookmarkEnd w:id="542"/>
    <w:p w14:paraId="1355C7DA">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565" w:name="_Toc351203648"/>
      <w:bookmarkStart w:id="566" w:name="_Toc280868717"/>
      <w:bookmarkStart w:id="567" w:name="_Toc280868718"/>
      <w:r>
        <w:rPr>
          <w:rFonts w:hint="eastAsia" w:cs="宋体"/>
          <w:color w:val="auto"/>
          <w:sz w:val="21"/>
          <w:szCs w:val="21"/>
          <w:highlight w:val="none"/>
        </w:rPr>
        <w:t>16. 违约</w:t>
      </w:r>
      <w:bookmarkEnd w:id="565"/>
    </w:p>
    <w:p w14:paraId="3128F852">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16.1 发包人违约</w:t>
      </w:r>
    </w:p>
    <w:p w14:paraId="33E102A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16.1.1 发包人违约的情形</w:t>
      </w:r>
    </w:p>
    <w:p w14:paraId="0B7D91F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3D7F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16.1.2 发包人违约的责任</w:t>
      </w:r>
    </w:p>
    <w:p w14:paraId="11B4CAD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发包人违约责任的承担方式和计算方法：</w:t>
      </w:r>
    </w:p>
    <w:p w14:paraId="784CFCA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ascii="宋体" w:cs="宋体"/>
          <w:color w:val="auto"/>
          <w:kern w:val="0"/>
          <w:sz w:val="21"/>
          <w:szCs w:val="21"/>
          <w:highlight w:val="none"/>
          <w:u w:val="single"/>
        </w:rPr>
        <w:t>对工期造成影响的可顺延工期</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F59A6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927229">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发包人可追加与被取消的工作造价相当的额外工作做为补偿   </w:t>
      </w:r>
      <w:r>
        <w:rPr>
          <w:rFonts w:hint="eastAsia" w:cs="宋体"/>
          <w:color w:val="auto"/>
          <w:sz w:val="21"/>
          <w:szCs w:val="21"/>
          <w:highlight w:val="none"/>
        </w:rPr>
        <w:t>。</w:t>
      </w:r>
    </w:p>
    <w:p w14:paraId="64E9F4D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发包人可补足或更换材料、工程设备；对工期造成延误的可以顺延；增加承包人成本的可予以补偿  </w:t>
      </w:r>
      <w:r>
        <w:rPr>
          <w:rFonts w:hint="eastAsia" w:cs="宋体"/>
          <w:color w:val="auto"/>
          <w:sz w:val="21"/>
          <w:szCs w:val="21"/>
          <w:highlight w:val="none"/>
        </w:rPr>
        <w:t>。</w:t>
      </w:r>
    </w:p>
    <w:p w14:paraId="356E118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kern w:val="0"/>
          <w:szCs w:val="21"/>
          <w:highlight w:val="none"/>
          <w:u w:val="single"/>
          <w:lang w:val="en-US" w:eastAsia="zh-CN"/>
        </w:rPr>
        <w:t>可顺延工期</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6ED2E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ascii="宋体" w:cs="宋体"/>
          <w:color w:val="auto"/>
          <w:kern w:val="0"/>
          <w:szCs w:val="21"/>
          <w:highlight w:val="none"/>
          <w:u w:val="single"/>
        </w:rPr>
        <w:t>对工期造成影响的可顺延工期</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BE7F7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2C4AE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16.1.3 因发包人违约解除合同</w:t>
      </w:r>
    </w:p>
    <w:p w14:paraId="005CB34F">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2D5A86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16.2 承包人违约</w:t>
      </w:r>
    </w:p>
    <w:p w14:paraId="772D915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16.2.1 承包人违约的情形</w:t>
      </w:r>
    </w:p>
    <w:p w14:paraId="2F15B45C">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执行补充条款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FB6DB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16.2.2 承包人违约的责任</w:t>
      </w:r>
    </w:p>
    <w:p w14:paraId="771C89D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执行补充条款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02AB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16.2.3 因承包人违约解除合同</w:t>
      </w:r>
    </w:p>
    <w:p w14:paraId="4701D50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执行补充条款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FE1187">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承包人承担费用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0A4E03">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568" w:name="_Toc351203649"/>
      <w:r>
        <w:rPr>
          <w:rFonts w:hint="eastAsia" w:cs="宋体"/>
          <w:color w:val="auto"/>
          <w:sz w:val="21"/>
          <w:szCs w:val="21"/>
          <w:highlight w:val="none"/>
        </w:rPr>
        <w:t>17. 不可抗力</w:t>
      </w:r>
      <w:bookmarkEnd w:id="568"/>
      <w:r>
        <w:rPr>
          <w:rFonts w:hint="eastAsia" w:cs="宋体"/>
          <w:color w:val="auto"/>
          <w:sz w:val="21"/>
          <w:szCs w:val="21"/>
          <w:highlight w:val="none"/>
        </w:rPr>
        <w:t xml:space="preserve"> </w:t>
      </w:r>
      <w:bookmarkEnd w:id="566"/>
    </w:p>
    <w:p w14:paraId="5B74B7A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17.1 不可抗力的确认</w:t>
      </w:r>
    </w:p>
    <w:p w14:paraId="235D533C">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lang w:val="en-US" w:eastAsia="zh-CN"/>
        </w:rPr>
        <w:t>无</w:t>
      </w:r>
      <w:r>
        <w:rPr>
          <w:rFonts w:hint="eastAsia" w:cs="宋体"/>
          <w:color w:val="auto"/>
          <w:sz w:val="21"/>
          <w:szCs w:val="21"/>
          <w:highlight w:val="none"/>
        </w:rPr>
        <w:t>。</w:t>
      </w:r>
    </w:p>
    <w:p w14:paraId="1C1F0A3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58A9F1D9">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bookmarkStart w:id="569" w:name="_Toc351203650"/>
      <w:r>
        <w:rPr>
          <w:rFonts w:hint="eastAsia" w:cs="宋体"/>
          <w:color w:val="auto"/>
          <w:sz w:val="21"/>
          <w:szCs w:val="21"/>
          <w:highlight w:val="none"/>
        </w:rPr>
        <w:t>合同解除后，发包人应在政府资金调度会批准且发票送达一周内完成款项的支付。</w:t>
      </w:r>
    </w:p>
    <w:p w14:paraId="212E9965">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r>
        <w:rPr>
          <w:rFonts w:hint="eastAsia" w:cs="宋体"/>
          <w:color w:val="auto"/>
          <w:sz w:val="21"/>
          <w:szCs w:val="21"/>
          <w:highlight w:val="none"/>
        </w:rPr>
        <w:t>18. 保险</w:t>
      </w:r>
      <w:bookmarkEnd w:id="569"/>
    </w:p>
    <w:bookmarkEnd w:id="567"/>
    <w:p w14:paraId="3452747D">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18.1 工程保险</w:t>
      </w:r>
    </w:p>
    <w:p w14:paraId="4702C549">
      <w:pPr>
        <w:pageBreakBefore w:val="0"/>
        <w:widowControl w:val="0"/>
        <w:kinsoku/>
        <w:wordWrap/>
        <w:overflowPunct/>
        <w:topLinePunct w:val="0"/>
        <w:bidi w:val="0"/>
        <w:adjustRightInd w:val="0"/>
        <w:snapToGrid w:val="0"/>
        <w:spacing w:line="400" w:lineRule="exact"/>
        <w:ind w:firstLine="420" w:firstLineChars="200"/>
        <w:textAlignment w:val="auto"/>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承包人自行考虑</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76E5BD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18.3 其他保险</w:t>
      </w:r>
    </w:p>
    <w:p w14:paraId="360BE3F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lang w:val="en-US" w:eastAsia="zh-CN"/>
        </w:rPr>
        <w:t xml:space="preserve"> 执行国家、省、市有关规定</w:t>
      </w:r>
      <w:r>
        <w:rPr>
          <w:rFonts w:hint="eastAsia" w:cs="宋体"/>
          <w:color w:val="auto"/>
          <w:sz w:val="21"/>
          <w:szCs w:val="21"/>
          <w:highlight w:val="none"/>
        </w:rPr>
        <w:t>。</w:t>
      </w:r>
    </w:p>
    <w:p w14:paraId="2DF7278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lang w:val="en-US" w:eastAsia="zh-CN"/>
        </w:rPr>
        <w:t>承包人应为其施工设备等办理财产保险</w:t>
      </w:r>
      <w:r>
        <w:rPr>
          <w:rFonts w:hint="eastAsia" w:cs="宋体"/>
          <w:color w:val="auto"/>
          <w:sz w:val="21"/>
          <w:szCs w:val="21"/>
          <w:highlight w:val="none"/>
        </w:rPr>
        <w:t>。</w:t>
      </w:r>
    </w:p>
    <w:p w14:paraId="216C21C2">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18.7 通知义务</w:t>
      </w:r>
    </w:p>
    <w:p w14:paraId="505D1B8A">
      <w:pPr>
        <w:pageBreakBefore w:val="0"/>
        <w:widowControl w:val="0"/>
        <w:kinsoku/>
        <w:wordWrap/>
        <w:overflowPunct/>
        <w:topLinePunct w:val="0"/>
        <w:bidi w:val="0"/>
        <w:adjustRightInd w:val="0"/>
        <w:snapToGrid w:val="0"/>
        <w:spacing w:line="40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lang w:val="en-US" w:eastAsia="zh-CN"/>
        </w:rPr>
        <w:t>发包人变更除工伤保险之外的保险合同时，应事先征得承包人同意，并通知监理人；承包人变更除工伤保险之外的保险合同时，应事先征得发包人同意，并通知监理人</w:t>
      </w:r>
      <w:r>
        <w:rPr>
          <w:rFonts w:hint="eastAsia" w:cs="宋体"/>
          <w:color w:val="auto"/>
          <w:sz w:val="21"/>
          <w:szCs w:val="21"/>
          <w:highlight w:val="none"/>
        </w:rPr>
        <w:t>。</w:t>
      </w:r>
    </w:p>
    <w:p w14:paraId="4C4383B2">
      <w:pPr>
        <w:pageBreakBefore w:val="0"/>
        <w:kinsoku/>
        <w:wordWrap/>
        <w:topLinePunct w:val="0"/>
        <w:bidi w:val="0"/>
        <w:adjustRightInd w:val="0"/>
        <w:snapToGrid w:val="0"/>
        <w:spacing w:beforeAutospacing="0" w:line="520" w:lineRule="exact"/>
        <w:ind w:firstLine="420" w:firstLineChars="200"/>
        <w:rPr>
          <w:rFonts w:hint="eastAsia" w:cs="宋体"/>
          <w:color w:val="auto"/>
          <w:sz w:val="21"/>
          <w:szCs w:val="21"/>
          <w:highlight w:val="none"/>
        </w:rPr>
      </w:pPr>
      <w:r>
        <w:rPr>
          <w:rFonts w:hint="eastAsia" w:cs="宋体"/>
          <w:color w:val="auto"/>
          <w:sz w:val="21"/>
          <w:szCs w:val="21"/>
          <w:highlight w:val="none"/>
          <w:u w:val="single"/>
          <w:lang w:val="en-US" w:eastAsia="zh-CN"/>
        </w:rPr>
        <w:t>保险事故发生时，投保人应按照保险合同规定的条件和期限及时向保险人报告。发包人和承包人应当在知道保险事故发生后及时通知对方</w:t>
      </w:r>
      <w:r>
        <w:rPr>
          <w:rFonts w:hint="eastAsia" w:cs="宋体"/>
          <w:color w:val="auto"/>
          <w:sz w:val="21"/>
          <w:szCs w:val="21"/>
          <w:highlight w:val="none"/>
        </w:rPr>
        <w:t>。</w:t>
      </w:r>
    </w:p>
    <w:bookmarkEnd w:id="543"/>
    <w:bookmarkEnd w:id="544"/>
    <w:bookmarkEnd w:id="545"/>
    <w:bookmarkEnd w:id="546"/>
    <w:bookmarkEnd w:id="547"/>
    <w:bookmarkEnd w:id="548"/>
    <w:bookmarkEnd w:id="549"/>
    <w:bookmarkEnd w:id="550"/>
    <w:bookmarkEnd w:id="551"/>
    <w:bookmarkEnd w:id="552"/>
    <w:bookmarkEnd w:id="553"/>
    <w:bookmarkEnd w:id="554"/>
    <w:p w14:paraId="2EAB4F6A">
      <w:pPr>
        <w:pageBreakBefore w:val="0"/>
        <w:widowControl w:val="0"/>
        <w:kinsoku/>
        <w:wordWrap/>
        <w:overflowPunct/>
        <w:topLinePunct w:val="0"/>
        <w:bidi w:val="0"/>
        <w:snapToGrid w:val="0"/>
        <w:spacing w:before="312" w:beforeLines="100" w:after="312" w:afterLines="100" w:line="400" w:lineRule="exact"/>
        <w:textAlignment w:val="auto"/>
        <w:outlineLvl w:val="2"/>
        <w:rPr>
          <w:rFonts w:cs="宋体"/>
          <w:color w:val="auto"/>
          <w:sz w:val="21"/>
          <w:szCs w:val="21"/>
          <w:highlight w:val="none"/>
        </w:rPr>
      </w:pPr>
      <w:bookmarkStart w:id="570" w:name="_Toc351203651"/>
      <w:r>
        <w:rPr>
          <w:rFonts w:hint="eastAsia" w:cs="宋体"/>
          <w:color w:val="auto"/>
          <w:sz w:val="21"/>
          <w:szCs w:val="21"/>
          <w:highlight w:val="none"/>
        </w:rPr>
        <w:t>20. 争议解决</w:t>
      </w:r>
      <w:bookmarkEnd w:id="570"/>
    </w:p>
    <w:bookmarkEnd w:id="555"/>
    <w:bookmarkEnd w:id="556"/>
    <w:p w14:paraId="01769341">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20.3 争</w:t>
      </w:r>
      <w:bookmarkEnd w:id="557"/>
      <w:r>
        <w:rPr>
          <w:rFonts w:hint="eastAsia" w:cs="宋体"/>
          <w:bCs/>
          <w:color w:val="auto"/>
          <w:sz w:val="21"/>
          <w:szCs w:val="21"/>
          <w:highlight w:val="none"/>
        </w:rPr>
        <w:t>议评审</w:t>
      </w:r>
    </w:p>
    <w:p w14:paraId="07FE6D1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不同意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AB1AF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20.3.1 争议评审小组的确定</w:t>
      </w:r>
    </w:p>
    <w:p w14:paraId="7EE9FC35">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1F802D">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54F48">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7A783A">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85E979">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20.3.2 争议评审小组的决定</w:t>
      </w:r>
    </w:p>
    <w:p w14:paraId="2B0E74DB">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无</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CE243">
      <w:pPr>
        <w:keepNext/>
        <w:keepLines/>
        <w:pageBreakBefore w:val="0"/>
        <w:widowControl w:val="0"/>
        <w:kinsoku/>
        <w:wordWrap/>
        <w:overflowPunct/>
        <w:topLinePunct w:val="0"/>
        <w:bidi w:val="0"/>
        <w:snapToGrid w:val="0"/>
        <w:spacing w:before="120" w:after="120" w:line="400" w:lineRule="exact"/>
        <w:ind w:firstLine="420" w:firstLineChars="200"/>
        <w:textAlignment w:val="auto"/>
        <w:outlineLvl w:val="3"/>
        <w:rPr>
          <w:rFonts w:cs="宋体"/>
          <w:bCs/>
          <w:color w:val="auto"/>
          <w:sz w:val="21"/>
          <w:szCs w:val="21"/>
          <w:highlight w:val="none"/>
        </w:rPr>
      </w:pPr>
      <w:r>
        <w:rPr>
          <w:rFonts w:hint="eastAsia" w:cs="宋体"/>
          <w:bCs/>
          <w:color w:val="auto"/>
          <w:sz w:val="21"/>
          <w:szCs w:val="21"/>
          <w:highlight w:val="none"/>
        </w:rPr>
        <w:t>20.4 仲裁或诉讼</w:t>
      </w:r>
      <w:bookmarkEnd w:id="558"/>
    </w:p>
    <w:bookmarkEnd w:id="559"/>
    <w:bookmarkEnd w:id="560"/>
    <w:bookmarkEnd w:id="561"/>
    <w:bookmarkEnd w:id="562"/>
    <w:bookmarkEnd w:id="563"/>
    <w:bookmarkEnd w:id="564"/>
    <w:p w14:paraId="51B8B376">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54E6149A">
      <w:pPr>
        <w:pageBreakBefore w:val="0"/>
        <w:widowControl w:val="0"/>
        <w:numPr>
          <w:ilvl w:val="0"/>
          <w:numId w:val="3"/>
        </w:numPr>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滁州</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6947D302">
      <w:pPr>
        <w:pageBreakBefore w:val="0"/>
        <w:widowControl w:val="0"/>
        <w:kinsoku/>
        <w:wordWrap/>
        <w:overflowPunct/>
        <w:topLinePunct w:val="0"/>
        <w:bidi w:val="0"/>
        <w:adjustRightInd w:val="0"/>
        <w:snapToGrid w:val="0"/>
        <w:spacing w:line="400" w:lineRule="exact"/>
        <w:ind w:firstLine="420" w:firstLineChars="200"/>
        <w:textAlignment w:val="auto"/>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76EFA61">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460D28E7">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1、工程量清单、最高</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限价：投标人须认真研究项目的招标文件、图纸、清单、最高</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限价，并仔细踏勘现场，若对清单和最高投标限价有异议，应在投标答疑时向招标人提出。招标人应对投标人提出的异议认真复核修正。答疑结束后，除招标人发布的清单单位错误，其余情况在工程结算时单价一律不予调整。清单的工程量错误或漏项，按实调整，但预估实际发生工程量超出清单工程量15%或漏项时，中标人（承包人）应在施工前提出，并履行滁州市重点处变更程序，否则，不予认可。</w:t>
      </w:r>
    </w:p>
    <w:p w14:paraId="4E704AA1">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2、前期手续办理：合同签订后90日内配合发包人完成质量、安全报监和施工许可证办理，否则，每延期一天处罚承包人5000元/天的违约金（因发包人原因除外）。</w:t>
      </w:r>
    </w:p>
    <w:p w14:paraId="044E8DFC">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21.3、进场考核考勤：</w:t>
      </w:r>
    </w:p>
    <w:p w14:paraId="258D6555">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员考核：工程开工进场后，承包人必须按招标文件要求和投标承诺配备项目经理、技术负责人等施工项目部关键岗位人员。未经发包人同意，不得更换上述人员并满足《关于进一步加强建筑施工现场项目负责人变更行为管理的通知》及滁州市其他相关规定要求。发包人将组织对上述人员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6B1F20DE">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发包人在施工进场第一个月或施工过程中发现承包人转包、挂靠等行为的，发包人立即解除合同，清退出场，承包人已完合格工程量按合同价款70%进行结算。</w:t>
      </w:r>
    </w:p>
    <w:p w14:paraId="5B1517CF">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考勤：①项目部所有管理人员上下班实行人脸识别电子考勤，人脸识别电子考勤系统设备必须与招标人现行使用的监管平台无缝对接。②监管平台设备及人脸识别电子考勤系统设备，承包人可以租赁或购买，但租赁或购买费用由承包人在投标报价时自行考虑，含在投标报价中，招标人将不再支付任何费用。③监管平台考勤范围为本项目监理部和项目部所有管理人员，监管平台信息及数据录入（包括质量、进度、安全、施工许可办理等）均由监理单位负责。④项目经理每月在岗时间不得少于20天，施工现场其他管理人员每月在岗时间不得少于22天。未按规定在岗履责的，对项目经理和技术负责人处罚5000元/人·天的违约金，对施工现场其他管理人员处罚1000元/人·天的违约金。项目部关键岗位人员离岗必须向发包人项目组长履行请假手续，若被我局和相关部门日常检查和随机抽查中发现不在岗的，又未履行请假手续的，处罚5000元/人·次的违约金。</w:t>
      </w:r>
    </w:p>
    <w:p w14:paraId="05CBE6E9">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21.4、工程进度管理：</w:t>
      </w:r>
    </w:p>
    <w:p w14:paraId="07C97A5C">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一、合同工期管理。</w:t>
      </w:r>
    </w:p>
    <w:p w14:paraId="46C93B07">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由中介机构按国家规范计算定额工期。招标前项目分管领导和项目科室研究确定合同工期，合同工期对施工企业和项目组拥有共同约束力。合同工期以总监下达的开工令（开工通知书）和局主要领导签署的完工时间为起止点，对工期要求紧迫的特殊项目，由科室提出内控工期，作为科室安排月、周计划的参考。</w:t>
      </w:r>
    </w:p>
    <w:p w14:paraId="7B0FAD14">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工程有下列原因影响合同工期的，由承包人提出，经发包人批准可顺延合同工期：1、土地和房屋征收进度不符合施工要求，涉铁路、涉部队、涉供电等影响施工；2、因地震、洪涝灾害、突发重大事件等不可抗力影响施工；3、因规划设计调整或重大变更，对工期造成影响的；4、其它非承包人原因影响工期的。承包人未提出工期顺延的申请或申请未经批准的，工期不予顺延。</w:t>
      </w:r>
    </w:p>
    <w:p w14:paraId="4573E986">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因供应商原因造成的工期延误，每推迟一天，按合同价款（扣除暂估价和暂列金）万分之二处以违约金；月工程量未完成的当期不得请款，当月未完成的工程量纳入下月一并完成，完不成的仍不予请款，依次类推。</w:t>
      </w:r>
    </w:p>
    <w:p w14:paraId="597364F1">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对严重拖延工期，经发包人多次督促，承包人拒不整改或整改不到位的，发包人可终止施工合同，扣除50%履约保证金作为违约处罚，另选施工队伍，承包人须无条件配合，不得以任何借口阻挠另选的施工队伍施工，不得向发包人提出任何索赔要求。</w:t>
      </w:r>
    </w:p>
    <w:p w14:paraId="787DD588">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二、施工计划管理。</w:t>
      </w:r>
    </w:p>
    <w:p w14:paraId="1D67D693">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sz w:val="21"/>
          <w:szCs w:val="21"/>
          <w:highlight w:val="none"/>
          <w:lang w:val="en-US" w:eastAsia="zh-CN"/>
        </w:rPr>
        <w:t>在建工程实行“旬计划、日检查、现场处罚”制度，对工期有特殊要求的项目，实行“每日一计划、每日一检查、每日一处罚”。施工单位应按项目组的要求，每旬初（或每天）将施工内容、施工应开作业面、每个工作面应上施工人员和机械数量编报，经总监、项目经理和项目组签字后报项目科室和协调科。局巡查组不定期检查，检查中出现下列情形的给予施工企业2000-5000元/次违约处罚，出现两次以上的对项目组进行批评。（一）未按期报送进度计划；（二）计划作业面、施工人员和机械安排不足的；（三）未按计划开齐作业面、上足施工人员和机械</w:t>
      </w:r>
      <w:r>
        <w:rPr>
          <w:rFonts w:hint="eastAsia" w:ascii="宋体" w:hAnsi="宋体" w:cs="宋体"/>
          <w:color w:val="auto"/>
          <w:kern w:val="0"/>
          <w:sz w:val="21"/>
          <w:szCs w:val="21"/>
          <w:highlight w:val="none"/>
        </w:rPr>
        <w:t>。</w:t>
      </w:r>
    </w:p>
    <w:p w14:paraId="2AC23645">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5</w:t>
      </w:r>
      <w:r>
        <w:rPr>
          <w:rFonts w:hint="eastAsia" w:ascii="宋体" w:hAnsi="宋体" w:cs="宋体"/>
          <w:color w:val="auto"/>
          <w:kern w:val="0"/>
          <w:sz w:val="21"/>
          <w:szCs w:val="21"/>
          <w:highlight w:val="none"/>
        </w:rPr>
        <w:t>、质量管理：</w:t>
      </w:r>
    </w:p>
    <w:p w14:paraId="5480BA58">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154D39DE">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（2）质量缺陷责任期内出现质量问题，发包人书面通知承包人，在规定时间内不及时处理的，发包人有权直接委托其他单位进行维修，相关费用直接从工程质保金中支付</w:t>
      </w:r>
      <w:r>
        <w:rPr>
          <w:rFonts w:hint="eastAsia" w:ascii="宋体" w:hAnsi="宋体" w:cs="宋体"/>
          <w:color w:val="auto"/>
          <w:sz w:val="21"/>
          <w:szCs w:val="21"/>
          <w:highlight w:val="none"/>
        </w:rPr>
        <w:t>。</w:t>
      </w:r>
    </w:p>
    <w:p w14:paraId="7419B22D">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6</w:t>
      </w:r>
      <w:r>
        <w:rPr>
          <w:rFonts w:hint="eastAsia" w:ascii="宋体" w:hAnsi="宋体" w:cs="宋体"/>
          <w:color w:val="auto"/>
          <w:kern w:val="0"/>
          <w:sz w:val="21"/>
          <w:szCs w:val="21"/>
          <w:highlight w:val="none"/>
        </w:rPr>
        <w:t>、安全文明管理：</w:t>
      </w:r>
    </w:p>
    <w:p w14:paraId="2895A7F0">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0D6A7286">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（2）按《滁州市建筑工地围挡提档升级标准》的通知（建质﹝2022﹞34号文）执行</w:t>
      </w:r>
      <w:r>
        <w:rPr>
          <w:rFonts w:hint="eastAsia" w:ascii="宋体" w:hAnsi="宋体" w:eastAsia="宋体" w:cs="宋体"/>
          <w:color w:val="auto"/>
          <w:sz w:val="21"/>
          <w:szCs w:val="21"/>
          <w:highlight w:val="none"/>
        </w:rPr>
        <w:t>。</w:t>
      </w:r>
    </w:p>
    <w:p w14:paraId="7BB5DA65">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7</w:t>
      </w:r>
      <w:r>
        <w:rPr>
          <w:rFonts w:hint="eastAsia" w:ascii="宋体" w:hAnsi="宋体" w:cs="宋体"/>
          <w:color w:val="auto"/>
          <w:kern w:val="0"/>
          <w:sz w:val="21"/>
          <w:szCs w:val="21"/>
          <w:highlight w:val="none"/>
        </w:rPr>
        <w:t>、扬尘治理：严格执行《安徽省建筑工程施工扬尘污染防治规定》、《滁州市城市扬尘管理办法》和《滁州市建筑工程施工扬尘污染防治实施细则》等相关规定。对违反规定或经检查达不到规定和要求，被相关部门批评、曝光、通报的，处罚承包人10000元/次的违约金，处罚监理人3000元/次的违约金</w:t>
      </w:r>
      <w:r>
        <w:rPr>
          <w:rFonts w:hint="eastAsia" w:ascii="宋体" w:hAnsi="宋体" w:cs="宋体"/>
          <w:color w:val="auto"/>
          <w:sz w:val="21"/>
          <w:szCs w:val="21"/>
          <w:highlight w:val="none"/>
        </w:rPr>
        <w:t>。</w:t>
      </w:r>
    </w:p>
    <w:p w14:paraId="5C20B51B">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8</w:t>
      </w:r>
      <w:r>
        <w:rPr>
          <w:rFonts w:hint="eastAsia" w:ascii="宋体" w:hAnsi="宋体" w:cs="宋体"/>
          <w:color w:val="auto"/>
          <w:kern w:val="0"/>
          <w:sz w:val="21"/>
          <w:szCs w:val="21"/>
          <w:highlight w:val="none"/>
        </w:rPr>
        <w:t>、农民工工资支付：承包人应严格遵守《政府投资工程农民工工资信访管理办法（试行）》的相关规定。</w:t>
      </w:r>
    </w:p>
    <w:p w14:paraId="7F9D9DAC">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凡到市重点处上访，滞留时间半个工作日（不足半个工作日以半个工作日计算），工程款支付比例在30%-40%（含）的，按每人每半个工作日200元的标准给予处罚，每增加工程款支付比例10%，每人每半个工作日处罚标准增加100元，依此类推。</w:t>
      </w:r>
    </w:p>
    <w:p w14:paraId="02F187D4">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凡赴市政府上访，滞留时间半个工作日（不足半个工作日以半个工作日计算），工程款支付比例在30%-40%（含）的，按每人每半个工作日400元的标准给予处罚，每增加工程款支付比例10%，每人每半个工作日处罚标准增加200元，依此类推。</w:t>
      </w:r>
    </w:p>
    <w:p w14:paraId="3FB484D2">
      <w:pPr>
        <w:keepNext w:val="0"/>
        <w:keepLines w:val="0"/>
        <w:pageBreakBefore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凡赴省政府上访，滞留时间半个工作日（不足半个工作日以半个工作日计算），工程款支付比例在30%-40%（含）的，按每人每半个工作日600元的标准给予处罚，每增加工程款支付比例10%，每人每半个工作日处罚标准增加300元，依此类推。</w:t>
      </w:r>
    </w:p>
    <w:p w14:paraId="248DA7FF">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9</w:t>
      </w:r>
      <w:r>
        <w:rPr>
          <w:rFonts w:hint="eastAsia" w:ascii="宋体" w:hAnsi="宋体" w:cs="宋体"/>
          <w:color w:val="auto"/>
          <w:kern w:val="0"/>
          <w:sz w:val="21"/>
          <w:szCs w:val="21"/>
          <w:highlight w:val="none"/>
        </w:rPr>
        <w:t>、竣工验收、竣工结算</w:t>
      </w:r>
    </w:p>
    <w:p w14:paraId="0A1CF1B2">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竣工验收时间：严格按照市重点处《工程竣工验收要求》和《重点工程进度管理办法》执行（从工程交付使用到竣工验收原则上不得超过30天，特殊情况经分管领导批准的可以延长）。整体工程完工后组织竣工验收，验收合格之日作为竣工日期。</w:t>
      </w:r>
    </w:p>
    <w:p w14:paraId="42215BDD">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竣工结算申请：承包人须于竣工验收合格后60日内完成竣工结算报告和完整结算资料上报，特殊情况，经分管领导批准的可以延长。凡因承包人原因，未能在规定时间内上报竣工结算的，处罚10000元/月的违约金。情节严重的，招标人有权按已有资料或按已付款报审计部门办理结算</w:t>
      </w:r>
      <w:r>
        <w:rPr>
          <w:rFonts w:hint="eastAsia" w:ascii="宋体" w:hAnsi="宋体" w:cs="宋体"/>
          <w:color w:val="auto"/>
          <w:sz w:val="21"/>
          <w:szCs w:val="21"/>
          <w:highlight w:val="none"/>
        </w:rPr>
        <w:t>。</w:t>
      </w:r>
    </w:p>
    <w:p w14:paraId="63839F2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0</w:t>
      </w:r>
      <w:r>
        <w:rPr>
          <w:rFonts w:hint="eastAsia" w:ascii="宋体" w:hAnsi="宋体" w:cs="宋体"/>
          <w:color w:val="auto"/>
          <w:sz w:val="21"/>
          <w:szCs w:val="21"/>
          <w:highlight w:val="none"/>
        </w:rPr>
        <w:t>、本工程实行跟踪审计制度，审计师的职权：1）对工程量调整及变更、签证部分的造价提出意见，并确定该部分的工程量、材料、价格等，2）参与对甲供材及设备的采购，对甲供材及设备的采购对象、材料及设备品种、规格及价格提出意见，3）对预付工程款及进度款的支付提出审核意见，4）参与对隐蔽工程的验收，并做好相关台帐，5）对完工的单项工程及时开展资料整理和结算，对结算价格提出审计意见，6）对监理出具的有关单据进行再监督。</w:t>
      </w:r>
    </w:p>
    <w:p w14:paraId="532262CC">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1</w:t>
      </w:r>
      <w:r>
        <w:rPr>
          <w:rFonts w:hint="eastAsia" w:ascii="宋体" w:hAnsi="宋体" w:cs="宋体"/>
          <w:color w:val="auto"/>
          <w:sz w:val="21"/>
          <w:szCs w:val="21"/>
          <w:highlight w:val="none"/>
        </w:rPr>
        <w:t>、招标人将保留对成交候选人的拟派项目负责人（建造师）和所提供的业绩等情况进行实地考察的权利，若考察发现有弄虚作假或发现工程存在质量等违约情形，提请相关部门对其进行处罚。</w:t>
      </w:r>
    </w:p>
    <w:p w14:paraId="796582F4">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2</w:t>
      </w:r>
      <w:r>
        <w:rPr>
          <w:rFonts w:hint="eastAsia" w:ascii="宋体" w:hAnsi="宋体" w:cs="宋体"/>
          <w:color w:val="auto"/>
          <w:sz w:val="21"/>
          <w:szCs w:val="21"/>
          <w:highlight w:val="none"/>
        </w:rPr>
        <w:t>、现场管理</w:t>
      </w:r>
    </w:p>
    <w:p w14:paraId="1D2A10D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（1）施工过程中，项目管理及施工人员以外的无关人员一律不得留宿施工现场，项目负责人负责管理及清理出场；</w:t>
      </w:r>
    </w:p>
    <w:p w14:paraId="259B6AE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（2）施工过程中，严格执行国家及地方针对环保、禁噪、防尘、防护等措施，必须满足当地行政主管部门相关规定及要求。</w:t>
      </w:r>
    </w:p>
    <w:p w14:paraId="773DCE19">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（3）所有专业承包工程，若总承包单位无此项专业承包施工资质，分包单位的选择必须经业主方认可，才能进行专业分包。</w:t>
      </w:r>
    </w:p>
    <w:p w14:paraId="6B7C9C5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（4）施工场地及周边场地、道路、绿化、管线、围墙、设施设备等，若被施工方损坏，施工方必须无偿按照原貌恢复。</w:t>
      </w:r>
    </w:p>
    <w:p w14:paraId="58F5D390">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（5）投标人自行勘察施工现场情况，因投标人未踏勘现场而造成的损失由投标人承担。</w:t>
      </w:r>
    </w:p>
    <w:p w14:paraId="3072C34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（6）在工程建设过程中，出现质量、安全、进度、文明施工、扬尘污染、人员不在岗履职等违约行为的，发包人将给予违约处罚；如承包人拒不缴纳违约金的，发包人有权从履约保证金中直接扣除。</w:t>
      </w:r>
    </w:p>
    <w:p w14:paraId="05642165">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（7）项目经理部需在醒目位置公示经监理、业主审定批准的月进度计划表，否则，当月不支付当月工程进度款。</w:t>
      </w:r>
    </w:p>
    <w:p w14:paraId="775E2945">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（8）本项目施工难度较大，投标人在标前应自行踏勘现场，充分考虑难度系数和不可预见因素。施工期间的协调工作由承包人自行解决。投标人在投标报价时应充分考虑上述情况自行报价。</w:t>
      </w:r>
    </w:p>
    <w:p w14:paraId="0CF2399F">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施工现场和取、弃土场内的施工便道、机械整平以及协调渣土、环保等相关部门办理相关手续、缴纳保证金及费用等由投标人自行承担，此部分费用包含在投标报价中。施工渣土、淤泥、建筑垃圾等弃置点需经相关部门批准，并报发包人备案后，方可施工，严禁违规倾倒堆存。否则，责任自负</w:t>
      </w:r>
      <w:r>
        <w:rPr>
          <w:rFonts w:hint="eastAsia" w:ascii="宋体" w:hAnsi="宋体" w:cs="宋体"/>
          <w:b/>
          <w:bCs/>
          <w:color w:val="auto"/>
          <w:sz w:val="21"/>
          <w:szCs w:val="21"/>
          <w:highlight w:val="none"/>
        </w:rPr>
        <w:t>。</w:t>
      </w:r>
    </w:p>
    <w:p w14:paraId="630AAED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3</w:t>
      </w:r>
      <w:r>
        <w:rPr>
          <w:rFonts w:hint="eastAsia" w:ascii="宋体" w:hAnsi="宋体" w:cs="宋体"/>
          <w:color w:val="auto"/>
          <w:sz w:val="21"/>
          <w:szCs w:val="21"/>
          <w:highlight w:val="none"/>
        </w:rPr>
        <w:t>、材料要求：</w:t>
      </w:r>
    </w:p>
    <w:p w14:paraId="1ED9207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承包人自行采购的材料应满足设计和规范要求的质量等级，并须按有关技术规范要求对材料质量进行检验；承包人选定的材料供应厂家、质量须经招标人和监理单位备案，如招标人和监理单位对某种或某些材料的质量有异议，有权提出停止使用的要求， 承包人必须服从要求，若该材料经权威检验部门鉴定确有质量问题，由此发生的一切费用由承包人承担；主要材料供应商发生过质量事故及管理混乱的，不得用于重点工程建设，发包人保留否决权；因承包人自行采购的材料质量引起的工程质量问题由承包人承担所造成的一切损失。</w:t>
      </w:r>
    </w:p>
    <w:p w14:paraId="7D798804">
      <w:pPr>
        <w:pStyle w:val="54"/>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4</w:t>
      </w:r>
      <w:r>
        <w:rPr>
          <w:rFonts w:hint="eastAsia" w:ascii="宋体" w:hAnsi="宋体" w:cs="宋体"/>
          <w:color w:val="auto"/>
          <w:sz w:val="21"/>
          <w:szCs w:val="21"/>
          <w:highlight w:val="none"/>
        </w:rPr>
        <w:t>、人员变更</w:t>
      </w:r>
    </w:p>
    <w:p w14:paraId="45901F20">
      <w:pPr>
        <w:pStyle w:val="54"/>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投标承诺配备的同等条件人员，并按照滁州市有关规定履行变更审批程序。</w:t>
      </w:r>
    </w:p>
    <w:p w14:paraId="16A26278">
      <w:pPr>
        <w:pStyle w:val="54"/>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hAnsi="宋体" w:cs="宋体"/>
          <w:color w:val="auto"/>
          <w:sz w:val="21"/>
          <w:szCs w:val="21"/>
          <w:highlight w:val="none"/>
        </w:rPr>
      </w:pPr>
      <w:r>
        <w:rPr>
          <w:rFonts w:hint="eastAsia" w:ascii="宋体" w:hAnsi="宋体" w:cs="宋体"/>
          <w:color w:val="auto"/>
          <w:sz w:val="21"/>
          <w:szCs w:val="21"/>
          <w:highlight w:val="none"/>
        </w:rPr>
        <w:t>（2）技术负责人、项目部“五大员”等关键岗位人员变更必须经发包人批准，除亡故、重大疾病、出国、辞职等原因外，原则上不得变更。其中，亡故的需提供公安部门开具的死亡证明；重大疾病的需提供三甲及以上医院证明；出国、辞职等原因提出变更的，除需提供相关证明外，须缴纳5000元违约金，否则不得变更。变更后的技术负责人、项目部“五大员”等关键岗位人员必须符合本项目招标文件和投标承诺配备的同等条件人员</w:t>
      </w:r>
      <w:r>
        <w:rPr>
          <w:rFonts w:hint="eastAsia" w:hAnsi="宋体" w:cs="宋体"/>
          <w:color w:val="auto"/>
          <w:sz w:val="21"/>
          <w:szCs w:val="21"/>
          <w:highlight w:val="none"/>
        </w:rPr>
        <w:t>。</w:t>
      </w:r>
    </w:p>
    <w:p w14:paraId="080DC46D">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5</w:t>
      </w:r>
      <w:r>
        <w:rPr>
          <w:rFonts w:hint="eastAsia" w:ascii="宋体" w:hAnsi="宋体" w:cs="宋体"/>
          <w:color w:val="auto"/>
          <w:sz w:val="21"/>
          <w:szCs w:val="21"/>
          <w:highlight w:val="none"/>
        </w:rPr>
        <w:t>、监理单位须在监管平台录入以下（但不限于）内容：</w:t>
      </w:r>
    </w:p>
    <w:p w14:paraId="478C35AA">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（1）在进度管理中，每周实际完成工作量、投入人员及机械使用情况；</w:t>
      </w:r>
    </w:p>
    <w:p w14:paraId="0A4B742B">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（2）在安全管理中，现场存在的安全隐患等问题；</w:t>
      </w:r>
    </w:p>
    <w:p w14:paraId="3BB6CF0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（3）在质量控制要点中的关键工序、验收资料及检测资料及存在的质量问题；</w:t>
      </w:r>
    </w:p>
    <w:p w14:paraId="4CC6380D">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（4）监理日志</w:t>
      </w:r>
    </w:p>
    <w:p w14:paraId="0D4B6C3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（5）创城、创卫管理内容</w:t>
      </w:r>
      <w:r>
        <w:rPr>
          <w:rFonts w:hint="eastAsia" w:cs="宋体"/>
          <w:color w:val="auto"/>
          <w:sz w:val="21"/>
          <w:szCs w:val="21"/>
          <w:highlight w:val="none"/>
          <w:lang w:eastAsia="zh-CN"/>
        </w:rPr>
        <w:t>。</w:t>
      </w:r>
    </w:p>
    <w:p w14:paraId="3A126ABC">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6</w:t>
      </w:r>
      <w:r>
        <w:rPr>
          <w:rFonts w:hint="eastAsia" w:ascii="宋体" w:hAnsi="宋体" w:cs="宋体"/>
          <w:color w:val="auto"/>
          <w:sz w:val="21"/>
          <w:szCs w:val="21"/>
          <w:highlight w:val="none"/>
        </w:rPr>
        <w:t>、若本项目存在暂定价材料或暂定项目，由招标人进行二次招标。采保费按照相关规定在工程结算中一次性支付。</w:t>
      </w:r>
    </w:p>
    <w:p w14:paraId="17B7A1B9">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cs="宋体"/>
          <w:color w:val="auto"/>
          <w:sz w:val="21"/>
          <w:szCs w:val="21"/>
          <w:highlight w:val="none"/>
          <w:lang w:val="en-US" w:eastAsia="zh-CN"/>
        </w:rPr>
        <w:t>7</w:t>
      </w:r>
      <w:r>
        <w:rPr>
          <w:rFonts w:hint="eastAsia" w:ascii="宋体" w:hAnsi="宋体" w:cs="宋体"/>
          <w:color w:val="auto"/>
          <w:sz w:val="21"/>
          <w:szCs w:val="21"/>
          <w:highlight w:val="none"/>
        </w:rPr>
        <w:t>、滁州市建设领域农民工工资管理办法</w:t>
      </w:r>
    </w:p>
    <w:p w14:paraId="38A21CE4">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执行《关于进一步完善工程建设领域农民工工资保证金和农民工工资（劳务费）专户管理制度的实施意见》 </w:t>
      </w:r>
    </w:p>
    <w:p w14:paraId="7CACDD6B">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（1）在建筑市政、铁路、电力、通信、交通、水利等工程建设领域全面实施工资保证金和设立工资专户制度，并实现所有在建工程项目全覆盖。</w:t>
      </w:r>
    </w:p>
    <w:p w14:paraId="178E801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（2）市人力资源和社会保障部门主管本市行政区域内工资保证金缴纳和工资专户管理工作。市交通、水利、重点工程建设管理等职能部门按照各自职能配合做好工作保证金和工资专户监管工作。</w:t>
      </w:r>
    </w:p>
    <w:p w14:paraId="589938EB">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（3）工作保证金和工资专户按照工程项目所在地实行属地化管理，由工程建设项目的施工总承包企业（包括直接承包建设单位发包工程的专业承包企业）缴存和开设。</w:t>
      </w:r>
    </w:p>
    <w:p w14:paraId="6A2EBFDA">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（4）工资保证金按工程建设项目合同造价的2%缴存。施工企业未提供劳务保障监察机构出具的缴存工资保证金和开设工资专户证明的，建设单位不予施工企业签订工程承包合同。</w:t>
      </w:r>
    </w:p>
    <w:p w14:paraId="5E6BB6C5">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（5）在同一市级行政区域内，可根据行业特点和企业信用状况等适当调整工资保证金缴存比例。</w:t>
      </w:r>
    </w:p>
    <w:p w14:paraId="04B48244">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对一年内发生拖欠农民工工资行为的，新开工项目工资保证金应按工程项目合同造价的3%缴存。对因欠薪被纳入黑名单的，应按工程项目合同造价的4%缴存，缴存金额不受缴存金额上限限制。</w:t>
      </w:r>
    </w:p>
    <w:p w14:paraId="1D2C3045">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缴存企业可以以银行保函方式缴存工资保证金、银行保函的种类应当是见索即付的独立保函，由施工企业向工程项目所在地的银行申请开立，受益人为工程所在地的人力资源和社会保障部门。银行保函有效期由开立申请人、受益人与银行三方根据合同约定的竣工验收期限合理确定。如银行保函到期时给出尚未竣工验收，或存在农民工工资尚未结清的，开立申请人应与银行协商续开保函；无法续开的，应按规定缴存工资保证金。需动用工资保证金垫付呗拖欠工资时，出具保函的银行原则上应在3个工作日内垫付，紧急特殊情况应当尽快办理垫付手续。符合退还工资保证金条件时，开立申请人应将银行保函退回开立银行予以注销。</w:t>
      </w:r>
    </w:p>
    <w:p w14:paraId="0BECC1DA">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（7）行业主管部门要加强对建设资金监管，同时要对建设单位工程支付和使用情况进行监督。</w:t>
      </w:r>
    </w:p>
    <w:p w14:paraId="245BCDD0">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1）交通、水利、电力、铁路、通信等工程项目在拨付工程款时，应将工程进度款的15%直接汇入施工企业开设的工资专户，专项用于支付农民工工资。</w:t>
      </w:r>
    </w:p>
    <w:p w14:paraId="55D280E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2）道路桥梁等市政工程项目在拨付工程进度款时，应将工程进度款的15%直接汇入施工企业开设的工资专户，专项用于支付农民工工资。</w:t>
      </w:r>
    </w:p>
    <w:p w14:paraId="513A70EA">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3）园林景观（含道路绿化）工程项目在拨付工程款时，应将工程进度款的20%直接汇入施工企业开设的工资专户，用于支付农民工工资。</w:t>
      </w:r>
    </w:p>
    <w:p w14:paraId="5600B671">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4）道路、电梯、强弱电、暖通、智能化等设备采购及安装项目在拨付工程款时，应将工程进度款的5%直接汇入工资专户，用于支付农民工工资。</w:t>
      </w:r>
    </w:p>
    <w:p w14:paraId="79B0B55B">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人力资源和社会保障部门要督促施工企业按规定及时足额缴存工资保证金和开设工资专户。交通、水利等行业主管部门及重点工程建设管理部门应向人力资源和社会保障部门按月通报新建工程项目信息，督促缴存施工企业按规定缴存工资保证金和开设工资专户，未缴存工资保证金或是未开设工资专户的施工企业一律不予开工建设，确保应缴尽缴。</w:t>
      </w:r>
    </w:p>
    <w:p w14:paraId="387BCF69">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工程项目完工并经验收后，未发现拖欠工资行为的，经缴存施工企业申请并公示，人力资源和社会保障部门自公示期满之日起5个工作日内，作出同意缴存施工企业将工资保证金本息一并转入该缴存企业其他同名银行结算账户的决定。</w:t>
      </w:r>
    </w:p>
    <w:p w14:paraId="629106E9">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10）工资保证金由缴存企业存入工资保证金账户，工资专户由施工企业在工程所在地工资保证金专户银行开设，实行专户管理。人力资源和社会保障部门要建立工资保证金和工资专户管理台账，严格规范财务、审计制度，加强账户监管，确保专款专用，防止挪作他用。对擅自减免、超限额收缴、违规挪用、无故拖延返还工资保证金的，要严肃追究责任，依法依规对有关责任人员实行问责。</w:t>
      </w:r>
    </w:p>
    <w:p w14:paraId="37A1C238">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（11）未尽事宜，按《滁州市建设领域农民工工资管理暂行办法》 执行。</w:t>
      </w:r>
    </w:p>
    <w:p w14:paraId="0FD1ABB3">
      <w:pPr>
        <w:pStyle w:val="54"/>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cs="宋体"/>
          <w:color w:val="auto"/>
          <w:sz w:val="21"/>
          <w:szCs w:val="21"/>
          <w:highlight w:val="none"/>
          <w:lang w:val="en-US" w:eastAsia="zh-CN"/>
        </w:rPr>
        <w:t>18</w:t>
      </w:r>
      <w:r>
        <w:rPr>
          <w:rFonts w:hint="eastAsia" w:ascii="宋体" w:hAnsi="宋体" w:cs="宋体"/>
          <w:color w:val="auto"/>
          <w:sz w:val="21"/>
          <w:szCs w:val="21"/>
          <w:highlight w:val="none"/>
        </w:rPr>
        <w:t>、文明施工要求</w:t>
      </w:r>
    </w:p>
    <w:p w14:paraId="2E40F971">
      <w:pPr>
        <w:pStyle w:val="54"/>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（1）公共环境</w:t>
      </w:r>
    </w:p>
    <w:p w14:paraId="02F022D8">
      <w:pPr>
        <w:pStyle w:val="54"/>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①建筑工地采用砌体、钢结构或彩钢夹芯板等，不得使用彩钢板封闭管理，高度不低于3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05C5A6EA">
      <w:pPr>
        <w:pStyle w:val="54"/>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08DA87A2">
      <w:pPr>
        <w:pStyle w:val="54"/>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（2）公益宣传</w:t>
      </w:r>
    </w:p>
    <w:p w14:paraId="76F06781">
      <w:pPr>
        <w:pStyle w:val="54"/>
        <w:keepNext w:val="0"/>
        <w:keepLines w:val="0"/>
        <w:pageBreakBefore w:val="0"/>
        <w:kinsoku/>
        <w:wordWrap/>
        <w:overflowPunct/>
        <w:topLinePunct w:val="0"/>
        <w:autoSpaceDE/>
        <w:autoSpaceDN/>
        <w:bidi w:val="0"/>
        <w:spacing w:after="0" w:afterLines="0" w:line="400" w:lineRule="exact"/>
        <w:ind w:left="0" w:leftChars="0" w:firstLine="420"/>
        <w:textAlignment w:val="auto"/>
        <w:rPr>
          <w:rFonts w:hint="eastAsia" w:hAnsi="宋体" w:cs="宋体"/>
          <w:color w:val="auto"/>
          <w:sz w:val="21"/>
          <w:szCs w:val="21"/>
          <w:highlight w:val="none"/>
        </w:rPr>
      </w:pPr>
      <w:r>
        <w:rPr>
          <w:rFonts w:hint="eastAsia" w:ascii="宋体" w:hAnsi="宋体" w:cs="宋体"/>
          <w:color w:val="auto"/>
          <w:sz w:val="21"/>
          <w:szCs w:val="21"/>
          <w:highlight w:val="none"/>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r>
        <w:rPr>
          <w:rFonts w:hint="eastAsia" w:hAnsi="宋体" w:cs="宋体"/>
          <w:color w:val="auto"/>
          <w:sz w:val="21"/>
          <w:szCs w:val="21"/>
          <w:highlight w:val="none"/>
        </w:rPr>
        <w:t>。</w:t>
      </w:r>
    </w:p>
    <w:p w14:paraId="57C3592C">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hAnsi="宋体" w:cs="宋体"/>
          <w:color w:val="auto"/>
          <w:sz w:val="21"/>
          <w:szCs w:val="21"/>
          <w:highlight w:val="none"/>
        </w:rPr>
      </w:pPr>
      <w:r>
        <w:rPr>
          <w:rFonts w:hint="eastAsia" w:ascii="宋体" w:hAnsi="宋体" w:cs="宋体"/>
          <w:color w:val="auto"/>
          <w:sz w:val="21"/>
          <w:szCs w:val="21"/>
          <w:highlight w:val="none"/>
          <w:lang w:val="en-US" w:eastAsia="zh-CN"/>
        </w:rPr>
        <w:t>21.19</w:t>
      </w:r>
      <w:r>
        <w:rPr>
          <w:rFonts w:hint="eastAsia" w:hAnsi="宋体" w:cs="宋体"/>
          <w:color w:val="auto"/>
          <w:sz w:val="21"/>
          <w:szCs w:val="21"/>
          <w:highlight w:val="none"/>
        </w:rPr>
        <w:t>、滁州市建筑工地围挡要求按关于印发《滁州市建筑工地围挡提档升级标准》的通知（建质﹝2022﹞34号文）执行。</w:t>
      </w:r>
    </w:p>
    <w:p w14:paraId="7453D385">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21.</w:t>
      </w:r>
      <w:r>
        <w:rPr>
          <w:rFonts w:hint="eastAsia" w:cs="宋体"/>
          <w:color w:val="auto"/>
          <w:sz w:val="21"/>
          <w:szCs w:val="21"/>
          <w:highlight w:val="none"/>
          <w:lang w:val="en-US" w:eastAsia="zh-CN"/>
        </w:rPr>
        <w:t>20</w:t>
      </w:r>
      <w:r>
        <w:rPr>
          <w:rFonts w:hint="eastAsia" w:hAnsi="宋体" w:cs="宋体"/>
          <w:color w:val="auto"/>
          <w:sz w:val="21"/>
          <w:szCs w:val="21"/>
          <w:highlight w:val="none"/>
        </w:rPr>
        <w:t>、发包人在施工进场第一个月或施工过程中发现承包人转包、挂靠等行为的，发包人立即解除合同，清退出场，承包人已完合格工程量按合同价款70%进行结算。</w:t>
      </w:r>
    </w:p>
    <w:p w14:paraId="05BD3D4D">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21.2</w:t>
      </w:r>
      <w:r>
        <w:rPr>
          <w:rFonts w:hint="eastAsia" w:cs="宋体"/>
          <w:color w:val="auto"/>
          <w:sz w:val="21"/>
          <w:szCs w:val="21"/>
          <w:highlight w:val="none"/>
          <w:lang w:val="en-US" w:eastAsia="zh-CN"/>
        </w:rPr>
        <w:t>1</w:t>
      </w:r>
      <w:r>
        <w:rPr>
          <w:rFonts w:hint="eastAsia" w:hAnsi="宋体" w:cs="宋体"/>
          <w:color w:val="auto"/>
          <w:sz w:val="21"/>
          <w:szCs w:val="21"/>
          <w:highlight w:val="none"/>
        </w:rPr>
        <w:t>、执行滁州市重点处相关现行文件规定。</w:t>
      </w:r>
    </w:p>
    <w:p w14:paraId="7B4DA4A3">
      <w:pPr>
        <w:keepNext w:val="0"/>
        <w:keepLines w:val="0"/>
        <w:pageBreakBefore w:val="0"/>
        <w:widowControl/>
        <w:kinsoku/>
        <w:wordWrap/>
        <w:overflowPunct/>
        <w:topLinePunct w:val="0"/>
        <w:autoSpaceDE/>
        <w:autoSpaceDN/>
        <w:bidi w:val="0"/>
        <w:snapToGrid w:val="0"/>
        <w:spacing w:line="400" w:lineRule="exact"/>
        <w:ind w:firstLine="420" w:firstLineChars="200"/>
        <w:textAlignment w:val="auto"/>
        <w:rPr>
          <w:rFonts w:cs="宋体"/>
          <w:b/>
          <w:color w:val="auto"/>
          <w:sz w:val="21"/>
          <w:szCs w:val="21"/>
          <w:highlight w:val="none"/>
        </w:rPr>
      </w:pPr>
      <w:r>
        <w:rPr>
          <w:rFonts w:hint="eastAsia" w:hAnsi="宋体" w:cs="宋体"/>
          <w:color w:val="auto"/>
          <w:sz w:val="21"/>
          <w:szCs w:val="21"/>
          <w:highlight w:val="none"/>
        </w:rPr>
        <w:t>21.2</w:t>
      </w:r>
      <w:r>
        <w:rPr>
          <w:rFonts w:hint="eastAsia" w:cs="宋体"/>
          <w:color w:val="auto"/>
          <w:sz w:val="21"/>
          <w:szCs w:val="21"/>
          <w:highlight w:val="none"/>
          <w:lang w:val="en-US" w:eastAsia="zh-CN"/>
        </w:rPr>
        <w:t>2</w:t>
      </w:r>
      <w:r>
        <w:rPr>
          <w:rFonts w:hint="eastAsia" w:hAnsi="宋体" w:cs="宋体"/>
          <w:color w:val="auto"/>
          <w:sz w:val="21"/>
          <w:szCs w:val="21"/>
          <w:highlight w:val="none"/>
        </w:rPr>
        <w:t>、本合同文本未尽事宜，由合同签定双方在发生时具体商定</w:t>
      </w:r>
      <w:r>
        <w:rPr>
          <w:rFonts w:hint="eastAsia" w:ascii="宋体" w:hAnsi="宋体" w:cs="宋体"/>
          <w:color w:val="auto"/>
          <w:sz w:val="21"/>
          <w:szCs w:val="21"/>
          <w:highlight w:val="none"/>
        </w:rPr>
        <w:t>。</w:t>
      </w:r>
    </w:p>
    <w:p w14:paraId="652B1E93">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72E399AD">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1B50B543">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45D2A3B">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DFD6FD4">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75D77B0E">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411CD513">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81C4136">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29A560F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0CEB65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90BBEF9">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1621844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16414F7B">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55"/>
    <w:p w14:paraId="1D860B45">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02825514">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57DDF528">
      <w:pPr>
        <w:snapToGrid w:val="0"/>
        <w:spacing w:line="360" w:lineRule="auto"/>
        <w:rPr>
          <w:rFonts w:cs="宋体"/>
          <w:color w:val="auto"/>
          <w:sz w:val="21"/>
          <w:szCs w:val="21"/>
          <w:highlight w:val="none"/>
        </w:rPr>
      </w:pPr>
      <w:bookmarkStart w:id="571" w:name="_Toc128950221"/>
      <w:r>
        <w:rPr>
          <w:rFonts w:hint="eastAsia" w:cs="宋体"/>
          <w:color w:val="auto"/>
          <w:sz w:val="21"/>
          <w:szCs w:val="21"/>
          <w:highlight w:val="none"/>
        </w:rPr>
        <w:t>附件1：承包人承揽工程项目一览表</w:t>
      </w:r>
      <w:bookmarkEnd w:id="571"/>
    </w:p>
    <w:p w14:paraId="71655008">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5425724D">
      <w:pPr>
        <w:snapToGrid w:val="0"/>
        <w:spacing w:line="360" w:lineRule="auto"/>
        <w:rPr>
          <w:rFonts w:cs="宋体"/>
          <w:color w:val="auto"/>
          <w:sz w:val="21"/>
          <w:szCs w:val="21"/>
          <w:highlight w:val="none"/>
        </w:rPr>
      </w:pPr>
      <w:bookmarkStart w:id="572" w:name="_Toc128950222"/>
      <w:r>
        <w:rPr>
          <w:rFonts w:hint="eastAsia" w:cs="宋体"/>
          <w:color w:val="auto"/>
          <w:sz w:val="21"/>
          <w:szCs w:val="21"/>
          <w:highlight w:val="none"/>
        </w:rPr>
        <w:t>附件2：发包人供应材料设备一览表</w:t>
      </w:r>
      <w:bookmarkEnd w:id="572"/>
    </w:p>
    <w:p w14:paraId="45AC2A4C">
      <w:pPr>
        <w:snapToGrid w:val="0"/>
        <w:spacing w:line="360" w:lineRule="auto"/>
        <w:rPr>
          <w:rFonts w:cs="宋体"/>
          <w:color w:val="auto"/>
          <w:sz w:val="21"/>
          <w:szCs w:val="21"/>
          <w:highlight w:val="none"/>
        </w:rPr>
      </w:pPr>
      <w:bookmarkStart w:id="573" w:name="_Toc128950223"/>
      <w:r>
        <w:rPr>
          <w:rFonts w:hint="eastAsia" w:cs="宋体"/>
          <w:color w:val="auto"/>
          <w:sz w:val="21"/>
          <w:szCs w:val="21"/>
          <w:highlight w:val="none"/>
        </w:rPr>
        <w:t>附件3：工程质量保修书</w:t>
      </w:r>
      <w:bookmarkEnd w:id="573"/>
    </w:p>
    <w:p w14:paraId="533EE064">
      <w:pPr>
        <w:snapToGrid w:val="0"/>
        <w:spacing w:line="360" w:lineRule="auto"/>
        <w:rPr>
          <w:rFonts w:cs="宋体"/>
          <w:color w:val="auto"/>
          <w:sz w:val="21"/>
          <w:szCs w:val="21"/>
          <w:highlight w:val="none"/>
        </w:rPr>
      </w:pPr>
      <w:bookmarkStart w:id="574" w:name="_Toc128950224"/>
      <w:r>
        <w:rPr>
          <w:rFonts w:hint="eastAsia" w:cs="宋体"/>
          <w:color w:val="auto"/>
          <w:sz w:val="21"/>
          <w:szCs w:val="21"/>
          <w:highlight w:val="none"/>
        </w:rPr>
        <w:t>附件4：主要建设工程文件目录</w:t>
      </w:r>
      <w:bookmarkEnd w:id="574"/>
    </w:p>
    <w:p w14:paraId="3E14C298">
      <w:pPr>
        <w:snapToGrid w:val="0"/>
        <w:spacing w:line="360" w:lineRule="auto"/>
        <w:rPr>
          <w:rFonts w:cs="宋体"/>
          <w:color w:val="auto"/>
          <w:sz w:val="21"/>
          <w:szCs w:val="21"/>
          <w:highlight w:val="none"/>
        </w:rPr>
      </w:pPr>
      <w:bookmarkStart w:id="575" w:name="_Toc128950225"/>
      <w:r>
        <w:rPr>
          <w:rFonts w:hint="eastAsia" w:cs="宋体"/>
          <w:color w:val="auto"/>
          <w:sz w:val="21"/>
          <w:szCs w:val="21"/>
          <w:highlight w:val="none"/>
        </w:rPr>
        <w:t>附件5：承包人用于本工程施工的机械设备表</w:t>
      </w:r>
      <w:bookmarkEnd w:id="575"/>
    </w:p>
    <w:p w14:paraId="4EF1AAEA">
      <w:pPr>
        <w:snapToGrid w:val="0"/>
        <w:spacing w:line="360" w:lineRule="auto"/>
        <w:rPr>
          <w:rFonts w:cs="宋体"/>
          <w:color w:val="auto"/>
          <w:sz w:val="21"/>
          <w:szCs w:val="21"/>
          <w:highlight w:val="none"/>
        </w:rPr>
      </w:pPr>
      <w:bookmarkStart w:id="576" w:name="_Toc128950226"/>
      <w:r>
        <w:rPr>
          <w:rFonts w:hint="eastAsia" w:cs="宋体"/>
          <w:color w:val="auto"/>
          <w:sz w:val="21"/>
          <w:szCs w:val="21"/>
          <w:highlight w:val="none"/>
        </w:rPr>
        <w:t>附件6：承包人主要施工管理人员表</w:t>
      </w:r>
      <w:bookmarkEnd w:id="576"/>
    </w:p>
    <w:p w14:paraId="31E7B20F">
      <w:pPr>
        <w:snapToGrid w:val="0"/>
        <w:spacing w:line="360" w:lineRule="auto"/>
        <w:rPr>
          <w:rFonts w:cs="宋体"/>
          <w:color w:val="auto"/>
          <w:sz w:val="21"/>
          <w:szCs w:val="21"/>
          <w:highlight w:val="none"/>
        </w:rPr>
      </w:pPr>
      <w:bookmarkStart w:id="577" w:name="_Toc128950227"/>
      <w:r>
        <w:rPr>
          <w:rFonts w:hint="eastAsia" w:cs="宋体"/>
          <w:color w:val="auto"/>
          <w:sz w:val="21"/>
          <w:szCs w:val="21"/>
          <w:highlight w:val="none"/>
        </w:rPr>
        <w:t>附件7：分包人主要施工管理人员表</w:t>
      </w:r>
      <w:bookmarkEnd w:id="577"/>
    </w:p>
    <w:p w14:paraId="60707DDB">
      <w:pPr>
        <w:snapToGrid w:val="0"/>
        <w:spacing w:line="360" w:lineRule="auto"/>
        <w:rPr>
          <w:rFonts w:cs="宋体"/>
          <w:color w:val="auto"/>
          <w:sz w:val="21"/>
          <w:szCs w:val="21"/>
          <w:highlight w:val="none"/>
        </w:rPr>
      </w:pPr>
      <w:bookmarkStart w:id="578" w:name="_Toc128950228"/>
      <w:r>
        <w:rPr>
          <w:rFonts w:hint="eastAsia" w:cs="宋体"/>
          <w:color w:val="auto"/>
          <w:sz w:val="21"/>
          <w:szCs w:val="21"/>
          <w:highlight w:val="none"/>
        </w:rPr>
        <w:t>附件8：廉政协议</w:t>
      </w:r>
      <w:bookmarkEnd w:id="578"/>
    </w:p>
    <w:p w14:paraId="74EB8D12">
      <w:pPr>
        <w:snapToGrid w:val="0"/>
        <w:spacing w:line="360" w:lineRule="auto"/>
        <w:rPr>
          <w:rFonts w:cs="宋体"/>
          <w:color w:val="auto"/>
          <w:sz w:val="21"/>
          <w:szCs w:val="21"/>
          <w:highlight w:val="none"/>
        </w:rPr>
      </w:pPr>
      <w:bookmarkStart w:id="579" w:name="_Toc128950229"/>
      <w:r>
        <w:rPr>
          <w:rFonts w:hint="eastAsia" w:cs="宋体"/>
          <w:color w:val="auto"/>
          <w:sz w:val="21"/>
          <w:szCs w:val="21"/>
          <w:highlight w:val="none"/>
        </w:rPr>
        <w:t>附件9：履约保证金格式</w:t>
      </w:r>
      <w:bookmarkEnd w:id="579"/>
    </w:p>
    <w:p w14:paraId="3415BA02">
      <w:pPr>
        <w:snapToGrid w:val="0"/>
        <w:spacing w:line="360" w:lineRule="auto"/>
        <w:rPr>
          <w:rFonts w:cs="宋体"/>
          <w:color w:val="auto"/>
          <w:sz w:val="21"/>
          <w:szCs w:val="21"/>
          <w:highlight w:val="none"/>
        </w:rPr>
      </w:pPr>
      <w:bookmarkStart w:id="580" w:name="_Toc128950230"/>
      <w:r>
        <w:rPr>
          <w:rFonts w:hint="eastAsia" w:cs="宋体"/>
          <w:color w:val="auto"/>
          <w:sz w:val="21"/>
          <w:szCs w:val="21"/>
          <w:highlight w:val="none"/>
        </w:rPr>
        <w:t>附件10：预付款担保格式</w:t>
      </w:r>
      <w:bookmarkEnd w:id="580"/>
    </w:p>
    <w:p w14:paraId="2126F53C">
      <w:pPr>
        <w:snapToGrid w:val="0"/>
        <w:spacing w:line="360" w:lineRule="auto"/>
        <w:rPr>
          <w:rFonts w:cs="宋体"/>
          <w:color w:val="auto"/>
          <w:sz w:val="21"/>
          <w:szCs w:val="21"/>
          <w:highlight w:val="none"/>
        </w:rPr>
      </w:pPr>
      <w:bookmarkStart w:id="581" w:name="_Toc128950231"/>
      <w:r>
        <w:rPr>
          <w:rFonts w:hint="eastAsia" w:cs="宋体"/>
          <w:color w:val="auto"/>
          <w:sz w:val="21"/>
          <w:szCs w:val="21"/>
          <w:highlight w:val="none"/>
        </w:rPr>
        <w:t>附件11：支付担保格式</w:t>
      </w:r>
      <w:bookmarkEnd w:id="581"/>
    </w:p>
    <w:p w14:paraId="1DD2AA4B">
      <w:pPr>
        <w:snapToGrid w:val="0"/>
        <w:spacing w:line="360" w:lineRule="auto"/>
        <w:rPr>
          <w:rFonts w:cs="宋体"/>
          <w:color w:val="auto"/>
          <w:sz w:val="21"/>
          <w:szCs w:val="21"/>
          <w:highlight w:val="none"/>
        </w:rPr>
      </w:pPr>
      <w:bookmarkStart w:id="582" w:name="_Toc128950232"/>
      <w:r>
        <w:rPr>
          <w:rFonts w:hint="eastAsia" w:cs="宋体"/>
          <w:color w:val="auto"/>
          <w:sz w:val="21"/>
          <w:szCs w:val="21"/>
          <w:highlight w:val="none"/>
        </w:rPr>
        <w:t>附件12：暂估价一览表</w:t>
      </w:r>
      <w:bookmarkEnd w:id="582"/>
    </w:p>
    <w:p w14:paraId="233FFD24">
      <w:pPr>
        <w:snapToGrid w:val="0"/>
        <w:spacing w:line="360" w:lineRule="auto"/>
        <w:rPr>
          <w:rFonts w:cs="宋体"/>
          <w:color w:val="auto"/>
          <w:sz w:val="21"/>
          <w:szCs w:val="21"/>
          <w:highlight w:val="none"/>
        </w:rPr>
      </w:pPr>
      <w:bookmarkStart w:id="583" w:name="_Toc128950233"/>
      <w:r>
        <w:rPr>
          <w:rFonts w:hint="eastAsia" w:cs="宋体"/>
          <w:color w:val="auto"/>
          <w:sz w:val="21"/>
          <w:szCs w:val="21"/>
          <w:highlight w:val="none"/>
        </w:rPr>
        <w:t>附件13：安全生产合同</w:t>
      </w:r>
      <w:bookmarkEnd w:id="583"/>
    </w:p>
    <w:p w14:paraId="3E3A633A">
      <w:pPr>
        <w:snapToGrid w:val="0"/>
        <w:spacing w:line="360" w:lineRule="auto"/>
        <w:rPr>
          <w:rFonts w:cs="宋体"/>
          <w:color w:val="auto"/>
          <w:sz w:val="21"/>
          <w:szCs w:val="21"/>
          <w:highlight w:val="none"/>
        </w:rPr>
      </w:pPr>
      <w:bookmarkStart w:id="584" w:name="_Toc128950234"/>
      <w:r>
        <w:rPr>
          <w:rFonts w:hint="eastAsia" w:cs="宋体"/>
          <w:color w:val="auto"/>
          <w:sz w:val="21"/>
          <w:szCs w:val="21"/>
          <w:highlight w:val="none"/>
        </w:rPr>
        <w:t>附件14：项目经理质量终身责任制承诺</w:t>
      </w:r>
      <w:bookmarkEnd w:id="584"/>
    </w:p>
    <w:p w14:paraId="47AE1FD2">
      <w:pPr>
        <w:snapToGrid w:val="0"/>
        <w:spacing w:before="312" w:beforeLines="100" w:after="312" w:afterLines="100" w:line="360" w:lineRule="auto"/>
        <w:outlineLvl w:val="2"/>
        <w:rPr>
          <w:rFonts w:ascii="Times New Roman" w:eastAsia="黑体"/>
          <w:color w:val="auto"/>
          <w:szCs w:val="24"/>
          <w:highlight w:val="none"/>
        </w:rPr>
      </w:pPr>
      <w:r>
        <w:rPr>
          <w:rFonts w:hint="eastAsia" w:cs="宋体"/>
          <w:bCs/>
          <w:color w:val="auto"/>
          <w:sz w:val="21"/>
          <w:szCs w:val="21"/>
          <w:highlight w:val="none"/>
        </w:rPr>
        <w:br w:type="page"/>
      </w:r>
      <w:bookmarkStart w:id="585" w:name="_Toc128950235"/>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：承包人承揽工程项目一览表</w:t>
      </w:r>
      <w:bookmarkEnd w:id="585"/>
    </w:p>
    <w:p w14:paraId="7F36DEB7">
      <w:pPr>
        <w:spacing w:line="360" w:lineRule="auto"/>
        <w:jc w:val="center"/>
        <w:rPr>
          <w:rFonts w:cs="宋体"/>
          <w:color w:val="auto"/>
          <w:sz w:val="22"/>
          <w:szCs w:val="21"/>
          <w:highlight w:val="none"/>
        </w:rPr>
      </w:pPr>
      <w:r>
        <w:rPr>
          <w:rFonts w:hint="eastAsia" w:cs="宋体"/>
          <w:color w:val="auto"/>
          <w:sz w:val="22"/>
          <w:szCs w:val="21"/>
          <w:highlight w:val="none"/>
        </w:rPr>
        <w:t>承包人承揽工程项目一览表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3C72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1266467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26F03AF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建设规模</w:t>
            </w:r>
          </w:p>
        </w:tc>
        <w:tc>
          <w:tcPr>
            <w:tcW w:w="778" w:type="pct"/>
            <w:tcBorders>
              <w:top w:val="single" w:color="auto" w:sz="12" w:space="0"/>
              <w:bottom w:val="double" w:color="auto" w:sz="6" w:space="0"/>
            </w:tcBorders>
            <w:vAlign w:val="center"/>
          </w:tcPr>
          <w:p w14:paraId="1182F89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04D15E6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结构形式</w:t>
            </w:r>
          </w:p>
        </w:tc>
        <w:tc>
          <w:tcPr>
            <w:tcW w:w="240" w:type="pct"/>
            <w:tcBorders>
              <w:top w:val="single" w:color="auto" w:sz="12" w:space="0"/>
              <w:bottom w:val="double" w:color="auto" w:sz="6" w:space="0"/>
            </w:tcBorders>
            <w:vAlign w:val="center"/>
          </w:tcPr>
          <w:p w14:paraId="5E2D0E8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层数</w:t>
            </w:r>
          </w:p>
        </w:tc>
        <w:tc>
          <w:tcPr>
            <w:tcW w:w="413" w:type="pct"/>
            <w:tcBorders>
              <w:top w:val="single" w:color="auto" w:sz="12" w:space="0"/>
              <w:bottom w:val="double" w:color="auto" w:sz="6" w:space="0"/>
            </w:tcBorders>
            <w:vAlign w:val="center"/>
          </w:tcPr>
          <w:p w14:paraId="20B69E0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生产能力</w:t>
            </w:r>
          </w:p>
        </w:tc>
        <w:tc>
          <w:tcPr>
            <w:tcW w:w="587" w:type="pct"/>
            <w:tcBorders>
              <w:top w:val="single" w:color="auto" w:sz="12" w:space="0"/>
              <w:bottom w:val="double" w:color="auto" w:sz="6" w:space="0"/>
            </w:tcBorders>
            <w:vAlign w:val="center"/>
          </w:tcPr>
          <w:p w14:paraId="6ED9B0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45147EC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合同价格（元）</w:t>
            </w:r>
          </w:p>
        </w:tc>
        <w:tc>
          <w:tcPr>
            <w:tcW w:w="413" w:type="pct"/>
            <w:tcBorders>
              <w:top w:val="single" w:color="auto" w:sz="12" w:space="0"/>
              <w:bottom w:val="double" w:color="auto" w:sz="6" w:space="0"/>
            </w:tcBorders>
            <w:vAlign w:val="center"/>
          </w:tcPr>
          <w:p w14:paraId="34FF596C">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开工日期</w:t>
            </w:r>
          </w:p>
        </w:tc>
        <w:tc>
          <w:tcPr>
            <w:tcW w:w="413" w:type="pct"/>
            <w:tcBorders>
              <w:top w:val="single" w:color="auto" w:sz="12" w:space="0"/>
              <w:bottom w:val="double" w:color="auto" w:sz="6" w:space="0"/>
            </w:tcBorders>
            <w:vAlign w:val="center"/>
          </w:tcPr>
          <w:p w14:paraId="600D7B0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竣工日期</w:t>
            </w:r>
          </w:p>
        </w:tc>
      </w:tr>
      <w:tr w14:paraId="66120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54E12B97">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5C56A7B">
            <w:pPr>
              <w:keepNext/>
              <w:snapToGrid w:val="0"/>
              <w:spacing w:line="360" w:lineRule="auto"/>
              <w:jc w:val="center"/>
              <w:rPr>
                <w:rFonts w:cs="宋体"/>
                <w:color w:val="auto"/>
                <w:sz w:val="22"/>
                <w:szCs w:val="21"/>
                <w:highlight w:val="none"/>
              </w:rPr>
            </w:pPr>
          </w:p>
        </w:tc>
        <w:tc>
          <w:tcPr>
            <w:tcW w:w="778" w:type="pct"/>
            <w:tcBorders>
              <w:top w:val="double" w:color="auto" w:sz="6" w:space="0"/>
            </w:tcBorders>
            <w:vAlign w:val="center"/>
          </w:tcPr>
          <w:p w14:paraId="22DFA87B">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B534016">
            <w:pPr>
              <w:keepNext/>
              <w:snapToGrid w:val="0"/>
              <w:spacing w:line="360" w:lineRule="auto"/>
              <w:jc w:val="center"/>
              <w:rPr>
                <w:rFonts w:cs="宋体"/>
                <w:color w:val="auto"/>
                <w:sz w:val="22"/>
                <w:szCs w:val="21"/>
                <w:highlight w:val="none"/>
              </w:rPr>
            </w:pPr>
          </w:p>
        </w:tc>
        <w:tc>
          <w:tcPr>
            <w:tcW w:w="240" w:type="pct"/>
            <w:tcBorders>
              <w:top w:val="double" w:color="auto" w:sz="6" w:space="0"/>
            </w:tcBorders>
            <w:vAlign w:val="center"/>
          </w:tcPr>
          <w:p w14:paraId="0FF2411A">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DBCCAFA">
            <w:pPr>
              <w:keepNext/>
              <w:snapToGrid w:val="0"/>
              <w:spacing w:line="360" w:lineRule="auto"/>
              <w:jc w:val="center"/>
              <w:rPr>
                <w:rFonts w:cs="宋体"/>
                <w:color w:val="auto"/>
                <w:sz w:val="22"/>
                <w:szCs w:val="21"/>
                <w:highlight w:val="none"/>
              </w:rPr>
            </w:pPr>
          </w:p>
        </w:tc>
        <w:tc>
          <w:tcPr>
            <w:tcW w:w="587" w:type="pct"/>
            <w:tcBorders>
              <w:top w:val="double" w:color="auto" w:sz="6" w:space="0"/>
            </w:tcBorders>
            <w:vAlign w:val="center"/>
          </w:tcPr>
          <w:p w14:paraId="172AF527">
            <w:pPr>
              <w:keepNext/>
              <w:snapToGrid w:val="0"/>
              <w:spacing w:line="360" w:lineRule="auto"/>
              <w:jc w:val="center"/>
              <w:rPr>
                <w:rFonts w:cs="宋体"/>
                <w:color w:val="auto"/>
                <w:sz w:val="22"/>
                <w:szCs w:val="21"/>
                <w:highlight w:val="none"/>
              </w:rPr>
            </w:pPr>
          </w:p>
        </w:tc>
        <w:tc>
          <w:tcPr>
            <w:tcW w:w="744" w:type="pct"/>
            <w:tcBorders>
              <w:top w:val="double" w:color="auto" w:sz="6" w:space="0"/>
            </w:tcBorders>
            <w:vAlign w:val="center"/>
          </w:tcPr>
          <w:p w14:paraId="77E7F616">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2042DED">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06D32A6">
            <w:pPr>
              <w:keepNext/>
              <w:snapToGrid w:val="0"/>
              <w:spacing w:line="360" w:lineRule="auto"/>
              <w:jc w:val="center"/>
              <w:rPr>
                <w:rFonts w:cs="宋体"/>
                <w:color w:val="auto"/>
                <w:sz w:val="22"/>
                <w:szCs w:val="21"/>
                <w:highlight w:val="none"/>
              </w:rPr>
            </w:pPr>
          </w:p>
        </w:tc>
      </w:tr>
      <w:tr w14:paraId="720F0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395979B0">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BCEAFE7">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67BE03D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178F167">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49043DB8">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8199885">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6F5F14DF">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F770F4D">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79D49E1">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241D642">
            <w:pPr>
              <w:keepNext/>
              <w:snapToGrid w:val="0"/>
              <w:spacing w:line="360" w:lineRule="auto"/>
              <w:jc w:val="center"/>
              <w:rPr>
                <w:rFonts w:cs="宋体"/>
                <w:color w:val="auto"/>
                <w:sz w:val="22"/>
                <w:szCs w:val="21"/>
                <w:highlight w:val="none"/>
              </w:rPr>
            </w:pPr>
          </w:p>
        </w:tc>
      </w:tr>
      <w:tr w14:paraId="60B9B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2779E79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E13234F">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0084F675">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3A14A44">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6AB19A97">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3CE40B7F">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25DB89B4">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3D6043B">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00E1AFFE">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FB074E4">
            <w:pPr>
              <w:keepNext/>
              <w:snapToGrid w:val="0"/>
              <w:spacing w:line="360" w:lineRule="auto"/>
              <w:jc w:val="center"/>
              <w:rPr>
                <w:rFonts w:cs="宋体"/>
                <w:color w:val="auto"/>
                <w:sz w:val="22"/>
                <w:szCs w:val="21"/>
                <w:highlight w:val="none"/>
              </w:rPr>
            </w:pPr>
          </w:p>
        </w:tc>
      </w:tr>
      <w:tr w14:paraId="4785E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25BA471E">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259CCC39">
            <w:pPr>
              <w:keepNext/>
              <w:snapToGrid w:val="0"/>
              <w:spacing w:line="360" w:lineRule="auto"/>
              <w:jc w:val="center"/>
              <w:rPr>
                <w:rFonts w:cs="宋体"/>
                <w:color w:val="auto"/>
                <w:sz w:val="22"/>
                <w:szCs w:val="21"/>
                <w:highlight w:val="none"/>
              </w:rPr>
            </w:pPr>
          </w:p>
        </w:tc>
        <w:tc>
          <w:tcPr>
            <w:tcW w:w="778" w:type="pct"/>
            <w:tcBorders>
              <w:bottom w:val="single" w:color="auto" w:sz="12" w:space="0"/>
            </w:tcBorders>
            <w:vAlign w:val="center"/>
          </w:tcPr>
          <w:p w14:paraId="08F2C0A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541A54AD">
            <w:pPr>
              <w:keepNext/>
              <w:snapToGrid w:val="0"/>
              <w:spacing w:line="360" w:lineRule="auto"/>
              <w:jc w:val="center"/>
              <w:rPr>
                <w:rFonts w:cs="宋体"/>
                <w:color w:val="auto"/>
                <w:sz w:val="22"/>
                <w:szCs w:val="21"/>
                <w:highlight w:val="none"/>
              </w:rPr>
            </w:pPr>
          </w:p>
        </w:tc>
        <w:tc>
          <w:tcPr>
            <w:tcW w:w="240" w:type="pct"/>
            <w:tcBorders>
              <w:bottom w:val="single" w:color="auto" w:sz="12" w:space="0"/>
            </w:tcBorders>
            <w:vAlign w:val="center"/>
          </w:tcPr>
          <w:p w14:paraId="78F37455">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215CE45">
            <w:pPr>
              <w:keepNext/>
              <w:snapToGrid w:val="0"/>
              <w:spacing w:line="360" w:lineRule="auto"/>
              <w:jc w:val="center"/>
              <w:rPr>
                <w:rFonts w:cs="宋体"/>
                <w:color w:val="auto"/>
                <w:sz w:val="22"/>
                <w:szCs w:val="21"/>
                <w:highlight w:val="none"/>
              </w:rPr>
            </w:pPr>
          </w:p>
        </w:tc>
        <w:tc>
          <w:tcPr>
            <w:tcW w:w="587" w:type="pct"/>
            <w:tcBorders>
              <w:bottom w:val="single" w:color="auto" w:sz="12" w:space="0"/>
            </w:tcBorders>
            <w:vAlign w:val="center"/>
          </w:tcPr>
          <w:p w14:paraId="51369A98">
            <w:pPr>
              <w:keepNext/>
              <w:snapToGrid w:val="0"/>
              <w:spacing w:line="360" w:lineRule="auto"/>
              <w:jc w:val="center"/>
              <w:rPr>
                <w:rFonts w:cs="宋体"/>
                <w:color w:val="auto"/>
                <w:sz w:val="22"/>
                <w:szCs w:val="21"/>
                <w:highlight w:val="none"/>
              </w:rPr>
            </w:pPr>
          </w:p>
        </w:tc>
        <w:tc>
          <w:tcPr>
            <w:tcW w:w="744" w:type="pct"/>
            <w:tcBorders>
              <w:bottom w:val="single" w:color="auto" w:sz="12" w:space="0"/>
            </w:tcBorders>
            <w:vAlign w:val="center"/>
          </w:tcPr>
          <w:p w14:paraId="0E66A57B">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25AEB60">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FF5A942">
            <w:pPr>
              <w:keepNext/>
              <w:snapToGrid w:val="0"/>
              <w:spacing w:line="360" w:lineRule="auto"/>
              <w:jc w:val="center"/>
              <w:rPr>
                <w:rFonts w:cs="宋体"/>
                <w:color w:val="auto"/>
                <w:sz w:val="22"/>
                <w:szCs w:val="21"/>
                <w:highlight w:val="none"/>
              </w:rPr>
            </w:pPr>
          </w:p>
        </w:tc>
      </w:tr>
    </w:tbl>
    <w:p w14:paraId="5AE8092B">
      <w:pPr>
        <w:spacing w:before="312" w:beforeLines="100" w:after="312" w:afterLines="100"/>
        <w:outlineLvl w:val="2"/>
        <w:rPr>
          <w:rFonts w:ascii="Times New Roman" w:eastAsia="黑体"/>
          <w:color w:val="auto"/>
          <w:szCs w:val="24"/>
          <w:highlight w:val="none"/>
        </w:rPr>
      </w:pPr>
      <w:bookmarkStart w:id="586" w:name="_Toc128950236"/>
      <w:r>
        <w:rPr>
          <w:rFonts w:hint="eastAsia" w:ascii="Times New Roman" w:eastAsia="黑体"/>
          <w:color w:val="auto"/>
          <w:szCs w:val="24"/>
          <w:highlight w:val="none"/>
        </w:rPr>
        <w:t>附</w:t>
      </w:r>
      <w:bookmarkStart w:id="587" w:name="_Toc296891053"/>
      <w:bookmarkStart w:id="588" w:name="_Toc296503225"/>
      <w:bookmarkStart w:id="589" w:name="_Toc267261692"/>
      <w:bookmarkStart w:id="590" w:name="_Toc296891265"/>
      <w:bookmarkStart w:id="591" w:name="_Toc296346726"/>
      <w:bookmarkStart w:id="592" w:name="_Toc296347224"/>
      <w:bookmarkStart w:id="593" w:name="_Toc296944564"/>
      <w:r>
        <w:rPr>
          <w:rFonts w:hint="eastAsia" w:ascii="Times New Roman" w:eastAsia="黑体"/>
          <w:color w:val="auto"/>
          <w:szCs w:val="24"/>
          <w:highlight w:val="none"/>
        </w:rPr>
        <w:t>件</w:t>
      </w:r>
      <w:r>
        <w:rPr>
          <w:rFonts w:ascii="Times New Roman" w:eastAsia="黑体"/>
          <w:color w:val="auto"/>
          <w:szCs w:val="24"/>
          <w:highlight w:val="none"/>
        </w:rPr>
        <w:t>2</w:t>
      </w:r>
      <w:r>
        <w:rPr>
          <w:rFonts w:hint="eastAsia" w:ascii="Times New Roman" w:eastAsia="黑体"/>
          <w:color w:val="auto"/>
          <w:szCs w:val="24"/>
          <w:highlight w:val="none"/>
        </w:rPr>
        <w:t>：发包人供应材料设备一览表</w:t>
      </w:r>
      <w:bookmarkEnd w:id="586"/>
    </w:p>
    <w:bookmarkEnd w:id="587"/>
    <w:bookmarkEnd w:id="588"/>
    <w:bookmarkEnd w:id="589"/>
    <w:bookmarkEnd w:id="590"/>
    <w:bookmarkEnd w:id="591"/>
    <w:bookmarkEnd w:id="592"/>
    <w:bookmarkEnd w:id="593"/>
    <w:p w14:paraId="0022B17A">
      <w:pPr>
        <w:spacing w:line="360" w:lineRule="auto"/>
        <w:jc w:val="center"/>
        <w:rPr>
          <w:rFonts w:cs="宋体"/>
          <w:color w:val="auto"/>
          <w:sz w:val="22"/>
          <w:szCs w:val="21"/>
          <w:highlight w:val="none"/>
        </w:rPr>
      </w:pPr>
      <w:r>
        <w:rPr>
          <w:rFonts w:hint="eastAsia" w:cs="宋体"/>
          <w:color w:val="auto"/>
          <w:sz w:val="22"/>
          <w:szCs w:val="21"/>
          <w:highlight w:val="none"/>
        </w:rPr>
        <w:t>发包人供应材料设备一览表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0C1C0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92" w:type="pct"/>
            <w:tcBorders>
              <w:top w:val="single" w:color="auto" w:sz="12" w:space="0"/>
              <w:bottom w:val="double" w:color="auto" w:sz="6" w:space="0"/>
            </w:tcBorders>
            <w:vAlign w:val="center"/>
          </w:tcPr>
          <w:p w14:paraId="7D20114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序号</w:t>
            </w:r>
          </w:p>
        </w:tc>
        <w:tc>
          <w:tcPr>
            <w:tcW w:w="941" w:type="pct"/>
            <w:tcBorders>
              <w:top w:val="single" w:color="auto" w:sz="12" w:space="0"/>
              <w:bottom w:val="double" w:color="auto" w:sz="6" w:space="0"/>
            </w:tcBorders>
            <w:vAlign w:val="center"/>
          </w:tcPr>
          <w:p w14:paraId="3DDAE7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5C1B0C4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规格型号</w:t>
            </w:r>
          </w:p>
        </w:tc>
        <w:tc>
          <w:tcPr>
            <w:tcW w:w="292" w:type="pct"/>
            <w:tcBorders>
              <w:top w:val="single" w:color="auto" w:sz="12" w:space="0"/>
              <w:bottom w:val="double" w:color="auto" w:sz="6" w:space="0"/>
            </w:tcBorders>
            <w:vAlign w:val="center"/>
          </w:tcPr>
          <w:p w14:paraId="5094DB1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w:t>
            </w:r>
          </w:p>
        </w:tc>
        <w:tc>
          <w:tcPr>
            <w:tcW w:w="292" w:type="pct"/>
            <w:tcBorders>
              <w:top w:val="single" w:color="auto" w:sz="12" w:space="0"/>
              <w:bottom w:val="double" w:color="auto" w:sz="6" w:space="0"/>
            </w:tcBorders>
            <w:vAlign w:val="center"/>
          </w:tcPr>
          <w:p w14:paraId="3F42643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数量</w:t>
            </w:r>
          </w:p>
        </w:tc>
        <w:tc>
          <w:tcPr>
            <w:tcW w:w="682" w:type="pct"/>
            <w:tcBorders>
              <w:top w:val="single" w:color="auto" w:sz="12" w:space="0"/>
              <w:bottom w:val="double" w:color="auto" w:sz="6" w:space="0"/>
            </w:tcBorders>
            <w:vAlign w:val="center"/>
          </w:tcPr>
          <w:p w14:paraId="58BB0E94">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单价（元）</w:t>
            </w:r>
          </w:p>
        </w:tc>
        <w:tc>
          <w:tcPr>
            <w:tcW w:w="552" w:type="pct"/>
            <w:tcBorders>
              <w:top w:val="single" w:color="auto" w:sz="12" w:space="0"/>
              <w:bottom w:val="double" w:color="auto" w:sz="6" w:space="0"/>
            </w:tcBorders>
            <w:vAlign w:val="center"/>
          </w:tcPr>
          <w:p w14:paraId="137FC9C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质量等级</w:t>
            </w:r>
          </w:p>
        </w:tc>
        <w:tc>
          <w:tcPr>
            <w:tcW w:w="552" w:type="pct"/>
            <w:tcBorders>
              <w:top w:val="single" w:color="auto" w:sz="12" w:space="0"/>
              <w:bottom w:val="double" w:color="auto" w:sz="6" w:space="0"/>
            </w:tcBorders>
            <w:vAlign w:val="center"/>
          </w:tcPr>
          <w:p w14:paraId="2A14BBA9">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供应时间</w:t>
            </w:r>
          </w:p>
        </w:tc>
        <w:tc>
          <w:tcPr>
            <w:tcW w:w="552" w:type="pct"/>
            <w:tcBorders>
              <w:top w:val="single" w:color="auto" w:sz="12" w:space="0"/>
              <w:bottom w:val="double" w:color="auto" w:sz="6" w:space="0"/>
            </w:tcBorders>
            <w:vAlign w:val="center"/>
          </w:tcPr>
          <w:p w14:paraId="35E2CA2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送达地点</w:t>
            </w:r>
          </w:p>
        </w:tc>
        <w:tc>
          <w:tcPr>
            <w:tcW w:w="292" w:type="pct"/>
            <w:tcBorders>
              <w:top w:val="single" w:color="auto" w:sz="12" w:space="0"/>
              <w:bottom w:val="double" w:color="auto" w:sz="6" w:space="0"/>
            </w:tcBorders>
            <w:vAlign w:val="center"/>
          </w:tcPr>
          <w:p w14:paraId="787BDC9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备注</w:t>
            </w:r>
          </w:p>
        </w:tc>
      </w:tr>
      <w:tr w14:paraId="29F0F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5C457E7A">
            <w:pPr>
              <w:keepNext/>
              <w:snapToGrid w:val="0"/>
              <w:spacing w:line="360" w:lineRule="auto"/>
              <w:jc w:val="center"/>
              <w:rPr>
                <w:rFonts w:cs="宋体"/>
                <w:color w:val="auto"/>
                <w:sz w:val="22"/>
                <w:szCs w:val="21"/>
                <w:highlight w:val="none"/>
              </w:rPr>
            </w:pPr>
          </w:p>
        </w:tc>
        <w:tc>
          <w:tcPr>
            <w:tcW w:w="941" w:type="pct"/>
            <w:tcBorders>
              <w:top w:val="double" w:color="auto" w:sz="6" w:space="0"/>
            </w:tcBorders>
            <w:vAlign w:val="center"/>
          </w:tcPr>
          <w:p w14:paraId="77E3FD66">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B176BA7">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22B4A756">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1938CFF7">
            <w:pPr>
              <w:keepNext/>
              <w:snapToGrid w:val="0"/>
              <w:spacing w:line="360" w:lineRule="auto"/>
              <w:jc w:val="center"/>
              <w:rPr>
                <w:rFonts w:cs="宋体"/>
                <w:color w:val="auto"/>
                <w:sz w:val="22"/>
                <w:szCs w:val="21"/>
                <w:highlight w:val="none"/>
              </w:rPr>
            </w:pPr>
          </w:p>
        </w:tc>
        <w:tc>
          <w:tcPr>
            <w:tcW w:w="682" w:type="pct"/>
            <w:tcBorders>
              <w:top w:val="double" w:color="auto" w:sz="6" w:space="0"/>
            </w:tcBorders>
            <w:vAlign w:val="center"/>
          </w:tcPr>
          <w:p w14:paraId="7D12FB4D">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5EFE3454">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924986E">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23B6D5B3">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343EB6B6">
            <w:pPr>
              <w:keepNext/>
              <w:snapToGrid w:val="0"/>
              <w:spacing w:line="360" w:lineRule="auto"/>
              <w:jc w:val="center"/>
              <w:rPr>
                <w:rFonts w:cs="宋体"/>
                <w:color w:val="auto"/>
                <w:sz w:val="22"/>
                <w:szCs w:val="21"/>
                <w:highlight w:val="none"/>
              </w:rPr>
            </w:pPr>
          </w:p>
        </w:tc>
      </w:tr>
      <w:tr w14:paraId="42883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F8E23DB">
            <w:pPr>
              <w:snapToGrid w:val="0"/>
              <w:spacing w:line="360" w:lineRule="auto"/>
              <w:jc w:val="center"/>
              <w:rPr>
                <w:rFonts w:cs="宋体"/>
                <w:color w:val="auto"/>
                <w:sz w:val="22"/>
                <w:szCs w:val="21"/>
                <w:highlight w:val="none"/>
              </w:rPr>
            </w:pPr>
          </w:p>
        </w:tc>
        <w:tc>
          <w:tcPr>
            <w:tcW w:w="941" w:type="pct"/>
            <w:vAlign w:val="center"/>
          </w:tcPr>
          <w:p w14:paraId="231ACD7E">
            <w:pPr>
              <w:snapToGrid w:val="0"/>
              <w:spacing w:line="360" w:lineRule="auto"/>
              <w:jc w:val="center"/>
              <w:rPr>
                <w:rFonts w:cs="宋体"/>
                <w:color w:val="auto"/>
                <w:sz w:val="22"/>
                <w:szCs w:val="21"/>
                <w:highlight w:val="none"/>
              </w:rPr>
            </w:pPr>
          </w:p>
        </w:tc>
        <w:tc>
          <w:tcPr>
            <w:tcW w:w="552" w:type="pct"/>
            <w:vAlign w:val="center"/>
          </w:tcPr>
          <w:p w14:paraId="781DD300">
            <w:pPr>
              <w:snapToGrid w:val="0"/>
              <w:spacing w:line="360" w:lineRule="auto"/>
              <w:jc w:val="center"/>
              <w:rPr>
                <w:rFonts w:cs="宋体"/>
                <w:color w:val="auto"/>
                <w:sz w:val="22"/>
                <w:szCs w:val="21"/>
                <w:highlight w:val="none"/>
              </w:rPr>
            </w:pPr>
          </w:p>
        </w:tc>
        <w:tc>
          <w:tcPr>
            <w:tcW w:w="292" w:type="pct"/>
            <w:vAlign w:val="center"/>
          </w:tcPr>
          <w:p w14:paraId="1F8424A5">
            <w:pPr>
              <w:snapToGrid w:val="0"/>
              <w:spacing w:line="360" w:lineRule="auto"/>
              <w:jc w:val="center"/>
              <w:rPr>
                <w:rFonts w:cs="宋体"/>
                <w:color w:val="auto"/>
                <w:sz w:val="22"/>
                <w:szCs w:val="21"/>
                <w:highlight w:val="none"/>
              </w:rPr>
            </w:pPr>
          </w:p>
        </w:tc>
        <w:tc>
          <w:tcPr>
            <w:tcW w:w="292" w:type="pct"/>
            <w:vAlign w:val="center"/>
          </w:tcPr>
          <w:p w14:paraId="717DB30D">
            <w:pPr>
              <w:snapToGrid w:val="0"/>
              <w:spacing w:line="360" w:lineRule="auto"/>
              <w:jc w:val="center"/>
              <w:rPr>
                <w:rFonts w:cs="宋体"/>
                <w:color w:val="auto"/>
                <w:sz w:val="22"/>
                <w:szCs w:val="21"/>
                <w:highlight w:val="none"/>
              </w:rPr>
            </w:pPr>
          </w:p>
        </w:tc>
        <w:tc>
          <w:tcPr>
            <w:tcW w:w="682" w:type="pct"/>
            <w:vAlign w:val="center"/>
          </w:tcPr>
          <w:p w14:paraId="247A49BF">
            <w:pPr>
              <w:snapToGrid w:val="0"/>
              <w:spacing w:line="360" w:lineRule="auto"/>
              <w:jc w:val="center"/>
              <w:rPr>
                <w:rFonts w:cs="宋体"/>
                <w:color w:val="auto"/>
                <w:sz w:val="22"/>
                <w:szCs w:val="21"/>
                <w:highlight w:val="none"/>
              </w:rPr>
            </w:pPr>
          </w:p>
        </w:tc>
        <w:tc>
          <w:tcPr>
            <w:tcW w:w="552" w:type="pct"/>
            <w:vAlign w:val="center"/>
          </w:tcPr>
          <w:p w14:paraId="5CBA5F39">
            <w:pPr>
              <w:snapToGrid w:val="0"/>
              <w:spacing w:line="360" w:lineRule="auto"/>
              <w:jc w:val="center"/>
              <w:rPr>
                <w:rFonts w:cs="宋体"/>
                <w:color w:val="auto"/>
                <w:sz w:val="22"/>
                <w:szCs w:val="21"/>
                <w:highlight w:val="none"/>
              </w:rPr>
            </w:pPr>
          </w:p>
        </w:tc>
        <w:tc>
          <w:tcPr>
            <w:tcW w:w="552" w:type="pct"/>
            <w:vAlign w:val="center"/>
          </w:tcPr>
          <w:p w14:paraId="34C8B68B">
            <w:pPr>
              <w:snapToGrid w:val="0"/>
              <w:spacing w:line="360" w:lineRule="auto"/>
              <w:jc w:val="center"/>
              <w:rPr>
                <w:rFonts w:cs="宋体"/>
                <w:color w:val="auto"/>
                <w:sz w:val="22"/>
                <w:szCs w:val="21"/>
                <w:highlight w:val="none"/>
              </w:rPr>
            </w:pPr>
          </w:p>
        </w:tc>
        <w:tc>
          <w:tcPr>
            <w:tcW w:w="552" w:type="pct"/>
            <w:vAlign w:val="center"/>
          </w:tcPr>
          <w:p w14:paraId="2CAE7F66">
            <w:pPr>
              <w:snapToGrid w:val="0"/>
              <w:spacing w:line="360" w:lineRule="auto"/>
              <w:jc w:val="center"/>
              <w:rPr>
                <w:rFonts w:cs="宋体"/>
                <w:color w:val="auto"/>
                <w:sz w:val="22"/>
                <w:szCs w:val="21"/>
                <w:highlight w:val="none"/>
              </w:rPr>
            </w:pPr>
          </w:p>
        </w:tc>
        <w:tc>
          <w:tcPr>
            <w:tcW w:w="292" w:type="pct"/>
            <w:vAlign w:val="center"/>
          </w:tcPr>
          <w:p w14:paraId="1A1A3DB1">
            <w:pPr>
              <w:snapToGrid w:val="0"/>
              <w:spacing w:line="360" w:lineRule="auto"/>
              <w:jc w:val="center"/>
              <w:rPr>
                <w:rFonts w:cs="宋体"/>
                <w:color w:val="auto"/>
                <w:sz w:val="22"/>
                <w:szCs w:val="21"/>
                <w:highlight w:val="none"/>
              </w:rPr>
            </w:pPr>
          </w:p>
        </w:tc>
      </w:tr>
      <w:tr w14:paraId="4437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072DD76D">
            <w:pPr>
              <w:snapToGrid w:val="0"/>
              <w:spacing w:line="360" w:lineRule="auto"/>
              <w:jc w:val="center"/>
              <w:rPr>
                <w:rFonts w:cs="宋体"/>
                <w:color w:val="auto"/>
                <w:sz w:val="22"/>
                <w:szCs w:val="21"/>
                <w:highlight w:val="none"/>
              </w:rPr>
            </w:pPr>
          </w:p>
        </w:tc>
        <w:tc>
          <w:tcPr>
            <w:tcW w:w="941" w:type="pct"/>
            <w:tcBorders>
              <w:bottom w:val="single" w:color="auto" w:sz="12" w:space="0"/>
            </w:tcBorders>
            <w:vAlign w:val="center"/>
          </w:tcPr>
          <w:p w14:paraId="61102550">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3C1ED585">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727AF209">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471A0A7F">
            <w:pPr>
              <w:snapToGrid w:val="0"/>
              <w:spacing w:line="360" w:lineRule="auto"/>
              <w:jc w:val="center"/>
              <w:rPr>
                <w:rFonts w:cs="宋体"/>
                <w:color w:val="auto"/>
                <w:sz w:val="22"/>
                <w:szCs w:val="21"/>
                <w:highlight w:val="none"/>
              </w:rPr>
            </w:pPr>
          </w:p>
        </w:tc>
        <w:tc>
          <w:tcPr>
            <w:tcW w:w="682" w:type="pct"/>
            <w:tcBorders>
              <w:bottom w:val="single" w:color="auto" w:sz="12" w:space="0"/>
            </w:tcBorders>
            <w:vAlign w:val="center"/>
          </w:tcPr>
          <w:p w14:paraId="459BD77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9E46F8E">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1730C0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53608F7">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5708C111">
            <w:pPr>
              <w:snapToGrid w:val="0"/>
              <w:spacing w:line="360" w:lineRule="auto"/>
              <w:jc w:val="center"/>
              <w:rPr>
                <w:rFonts w:cs="宋体"/>
                <w:color w:val="auto"/>
                <w:sz w:val="22"/>
                <w:szCs w:val="21"/>
                <w:highlight w:val="none"/>
              </w:rPr>
            </w:pPr>
          </w:p>
        </w:tc>
      </w:tr>
    </w:tbl>
    <w:p w14:paraId="08E7B987">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594" w:name="_Toc128950237"/>
      <w:r>
        <w:rPr>
          <w:rFonts w:hint="eastAsia" w:ascii="Times New Roman" w:eastAsia="黑体"/>
          <w:color w:val="auto"/>
          <w:szCs w:val="24"/>
          <w:highlight w:val="none"/>
        </w:rPr>
        <w:t>附件3：</w:t>
      </w:r>
      <w:bookmarkEnd w:id="594"/>
      <w:bookmarkStart w:id="595" w:name="_Toc128950238"/>
      <w:r>
        <w:rPr>
          <w:rFonts w:hint="eastAsia" w:ascii="Times New Roman" w:eastAsia="黑体"/>
          <w:color w:val="auto"/>
          <w:szCs w:val="24"/>
          <w:highlight w:val="none"/>
        </w:rPr>
        <w:t>工程质量保修书（市政公用工程）</w:t>
      </w:r>
      <w:bookmarkEnd w:id="595"/>
    </w:p>
    <w:p w14:paraId="0F899D44">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52889C01">
      <w:pPr>
        <w:adjustRightInd w:val="0"/>
        <w:snapToGrid w:val="0"/>
        <w:spacing w:line="360" w:lineRule="auto"/>
        <w:ind w:firstLine="420" w:firstLineChars="200"/>
        <w:rPr>
          <w:rFonts w:hint="default" w:cs="宋体"/>
          <w:color w:val="auto"/>
          <w:position w:val="14"/>
          <w:sz w:val="21"/>
          <w:szCs w:val="21"/>
          <w:highlight w:val="none"/>
          <w:lang w:val="en-US" w:eastAsia="zh-CN"/>
        </w:rPr>
      </w:pPr>
      <w:r>
        <w:rPr>
          <w:rFonts w:hint="eastAsia" w:cs="宋体"/>
          <w:bCs/>
          <w:color w:val="auto"/>
          <w:position w:val="14"/>
          <w:sz w:val="21"/>
          <w:szCs w:val="21"/>
          <w:highlight w:val="none"/>
        </w:rPr>
        <w:t>发包人</w:t>
      </w:r>
      <w:r>
        <w:rPr>
          <w:rFonts w:hint="eastAsia" w:cs="宋体"/>
          <w:color w:val="auto"/>
          <w:position w:val="14"/>
          <w:sz w:val="21"/>
          <w:szCs w:val="21"/>
          <w:highlight w:val="none"/>
        </w:rPr>
        <w:t>：</w:t>
      </w:r>
      <w:r>
        <w:rPr>
          <w:rFonts w:hint="eastAsia" w:cs="宋体"/>
          <w:color w:val="auto"/>
          <w:position w:val="14"/>
          <w:sz w:val="21"/>
          <w:szCs w:val="21"/>
          <w:highlight w:val="none"/>
          <w:lang w:val="en-US" w:eastAsia="zh-CN"/>
        </w:rPr>
        <w:t>滁州市重点工程建设管理处</w:t>
      </w:r>
    </w:p>
    <w:p w14:paraId="44251118">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w:t>
      </w:r>
    </w:p>
    <w:p w14:paraId="0165B44D">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w:t>
      </w:r>
      <w:r>
        <w:rPr>
          <w:rFonts w:hint="eastAsia" w:cs="宋体"/>
          <w:color w:val="auto"/>
          <w:position w:val="6"/>
          <w:sz w:val="21"/>
          <w:szCs w:val="21"/>
          <w:highlight w:val="none"/>
          <w:u w:val="single"/>
          <w:lang w:val="en-US" w:eastAsia="zh-CN"/>
        </w:rPr>
        <w:t xml:space="preserve"> 2026年道路交通安全整治提升工程（一批次）</w:t>
      </w:r>
      <w:r>
        <w:rPr>
          <w:rFonts w:hint="eastAsia" w:cs="宋体"/>
          <w:color w:val="auto"/>
          <w:position w:val="6"/>
          <w:sz w:val="21"/>
          <w:szCs w:val="21"/>
          <w:highlight w:val="none"/>
          <w:u w:val="single"/>
        </w:rPr>
        <w:t>工程</w:t>
      </w:r>
      <w:r>
        <w:rPr>
          <w:rFonts w:hint="eastAsia" w:cs="宋体"/>
          <w:color w:val="auto"/>
          <w:position w:val="6"/>
          <w:sz w:val="21"/>
          <w:szCs w:val="21"/>
          <w:highlight w:val="none"/>
        </w:rPr>
        <w:t>签订工程质量保修书。</w:t>
      </w:r>
    </w:p>
    <w:p w14:paraId="324833E3">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72C0D7A0">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3C26BF39">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w:t>
      </w:r>
      <w:r>
        <w:rPr>
          <w:rFonts w:hint="eastAsia" w:cs="宋体"/>
          <w:color w:val="auto"/>
          <w:position w:val="6"/>
          <w:sz w:val="21"/>
          <w:szCs w:val="21"/>
          <w:highlight w:val="none"/>
          <w:u w:val="single"/>
          <w:lang w:val="en-US" w:eastAsia="zh-CN"/>
        </w:rPr>
        <w:t>工程量清单中的所有内容</w:t>
      </w:r>
      <w:r>
        <w:rPr>
          <w:rFonts w:hint="eastAsia" w:cs="宋体"/>
          <w:color w:val="auto"/>
          <w:position w:val="6"/>
          <w:sz w:val="21"/>
          <w:szCs w:val="21"/>
          <w:highlight w:val="none"/>
        </w:rPr>
        <w:t>。</w:t>
      </w:r>
      <w:r>
        <w:rPr>
          <w:rFonts w:hint="eastAsia" w:cs="宋体"/>
          <w:bCs/>
          <w:color w:val="auto"/>
          <w:position w:val="6"/>
          <w:sz w:val="21"/>
          <w:szCs w:val="21"/>
          <w:highlight w:val="none"/>
        </w:rPr>
        <w:t>因不可抗力或使用不当造成的质量缺陷，不属保修范围。</w:t>
      </w:r>
    </w:p>
    <w:p w14:paraId="62320BB9">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17B4270B">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23341D4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146AA35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615F3676">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22849353">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13C66261">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ascii="宋体" w:hAnsi="宋体" w:eastAsia="宋体" w:cs="宋体"/>
          <w:color w:val="auto"/>
          <w:position w:val="6"/>
          <w:sz w:val="21"/>
          <w:szCs w:val="21"/>
          <w:highlight w:val="none"/>
          <w:lang w:val="en-US" w:eastAsia="zh-CN"/>
        </w:rPr>
        <w:t>5.信号灯、电子警察等相关配套设备及系统</w:t>
      </w:r>
      <w:r>
        <w:rPr>
          <w:rFonts w:hint="eastAsia" w:ascii="宋体" w:hAnsi="宋体" w:eastAsia="宋体" w:cs="宋体"/>
          <w:color w:val="auto"/>
          <w:position w:val="6"/>
          <w:sz w:val="21"/>
          <w:szCs w:val="21"/>
          <w:highlight w:val="none"/>
        </w:rPr>
        <w:t>，</w:t>
      </w:r>
      <w:r>
        <w:rPr>
          <w:rFonts w:hint="eastAsia" w:cs="宋体"/>
          <w:color w:val="auto"/>
          <w:position w:val="6"/>
          <w:sz w:val="21"/>
          <w:szCs w:val="21"/>
          <w:highlight w:val="none"/>
        </w:rPr>
        <w:t>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u w:val="single"/>
          <w:lang w:val="en-US" w:eastAsia="zh-CN"/>
        </w:rPr>
        <w:t>5</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4DA18AAF">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54C96707">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B3489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24个月</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34E2BC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1594760C">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14BE304F">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45970965">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480BDE33">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3D38DFB9">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07419FE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13943EC7">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678A4518">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2CF23B51">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17ED0D01">
      <w:pPr>
        <w:adjustRightInd w:val="0"/>
        <w:snapToGrid w:val="0"/>
        <w:spacing w:line="360" w:lineRule="auto"/>
        <w:ind w:firstLine="420"/>
        <w:rPr>
          <w:rFonts w:cs="宋体"/>
          <w:color w:val="auto"/>
          <w:sz w:val="21"/>
          <w:szCs w:val="21"/>
          <w:highlight w:val="none"/>
        </w:rPr>
      </w:pPr>
    </w:p>
    <w:p w14:paraId="471147A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684C5F6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5B7BE99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63236AA5">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32436784">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13BCD3D">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2C842954">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78A4D13A">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7FA954B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009A9760">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596" w:name="_Toc128950239"/>
      <w:r>
        <w:rPr>
          <w:rFonts w:hint="eastAsia" w:ascii="Times New Roman" w:eastAsia="黑体"/>
          <w:color w:val="auto"/>
          <w:szCs w:val="24"/>
          <w:highlight w:val="none"/>
        </w:rPr>
        <w:t>附件</w:t>
      </w:r>
      <w:r>
        <w:rPr>
          <w:rFonts w:ascii="Times New Roman" w:eastAsia="黑体"/>
          <w:color w:val="auto"/>
          <w:szCs w:val="24"/>
          <w:highlight w:val="none"/>
        </w:rPr>
        <w:t>4</w:t>
      </w:r>
      <w:r>
        <w:rPr>
          <w:rFonts w:hint="eastAsia" w:ascii="Times New Roman" w:eastAsia="黑体"/>
          <w:color w:val="auto"/>
          <w:szCs w:val="24"/>
          <w:highlight w:val="none"/>
        </w:rPr>
        <w:t>：主要建设工程文件目录</w:t>
      </w:r>
      <w:bookmarkEnd w:id="596"/>
    </w:p>
    <w:p w14:paraId="5E9D6445">
      <w:pPr>
        <w:spacing w:before="156" w:beforeLines="50" w:after="156" w:afterLines="50"/>
        <w:jc w:val="center"/>
        <w:rPr>
          <w:rFonts w:cs="宋体"/>
          <w:color w:val="auto"/>
          <w:szCs w:val="21"/>
          <w:highlight w:val="none"/>
        </w:rPr>
      </w:pPr>
      <w:r>
        <w:rPr>
          <w:rFonts w:hint="eastAsia" w:cs="宋体"/>
          <w:color w:val="auto"/>
          <w:szCs w:val="21"/>
          <w:highlight w:val="none"/>
        </w:rPr>
        <w:t>主要建设工程文件目录</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52EB3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080" w:type="pct"/>
            <w:tcBorders>
              <w:top w:val="single" w:color="auto" w:sz="12" w:space="0"/>
              <w:bottom w:val="double" w:color="auto" w:sz="6" w:space="0"/>
            </w:tcBorders>
            <w:vAlign w:val="center"/>
          </w:tcPr>
          <w:p w14:paraId="6B5F6158">
            <w:pPr>
              <w:keepNext/>
              <w:jc w:val="center"/>
              <w:rPr>
                <w:rFonts w:cs="宋体"/>
                <w:color w:val="auto"/>
                <w:szCs w:val="21"/>
                <w:highlight w:val="none"/>
              </w:rPr>
            </w:pPr>
            <w:r>
              <w:rPr>
                <w:rFonts w:hint="eastAsia" w:cs="宋体"/>
                <w:color w:val="auto"/>
                <w:szCs w:val="21"/>
                <w:highlight w:val="none"/>
              </w:rPr>
              <w:t>文件名称</w:t>
            </w:r>
          </w:p>
        </w:tc>
        <w:tc>
          <w:tcPr>
            <w:tcW w:w="706" w:type="pct"/>
            <w:tcBorders>
              <w:top w:val="single" w:color="auto" w:sz="12" w:space="0"/>
              <w:bottom w:val="double" w:color="auto" w:sz="6" w:space="0"/>
            </w:tcBorders>
            <w:vAlign w:val="center"/>
          </w:tcPr>
          <w:p w14:paraId="2CC2FB76">
            <w:pPr>
              <w:keepNext/>
              <w:jc w:val="center"/>
              <w:rPr>
                <w:rFonts w:cs="宋体"/>
                <w:color w:val="auto"/>
                <w:szCs w:val="21"/>
                <w:highlight w:val="none"/>
              </w:rPr>
            </w:pPr>
            <w:r>
              <w:rPr>
                <w:rFonts w:hint="eastAsia" w:cs="宋体"/>
                <w:color w:val="auto"/>
                <w:szCs w:val="21"/>
                <w:highlight w:val="none"/>
              </w:rPr>
              <w:t>套数</w:t>
            </w:r>
          </w:p>
        </w:tc>
        <w:tc>
          <w:tcPr>
            <w:tcW w:w="802" w:type="pct"/>
            <w:tcBorders>
              <w:top w:val="single" w:color="auto" w:sz="12" w:space="0"/>
              <w:bottom w:val="double" w:color="auto" w:sz="6" w:space="0"/>
            </w:tcBorders>
            <w:vAlign w:val="center"/>
          </w:tcPr>
          <w:p w14:paraId="39C8166A">
            <w:pPr>
              <w:keepNext/>
              <w:jc w:val="center"/>
              <w:rPr>
                <w:rFonts w:cs="宋体"/>
                <w:color w:val="auto"/>
                <w:szCs w:val="21"/>
                <w:highlight w:val="none"/>
              </w:rPr>
            </w:pPr>
            <w:r>
              <w:rPr>
                <w:rFonts w:hint="eastAsia" w:cs="宋体"/>
                <w:color w:val="auto"/>
                <w:szCs w:val="21"/>
                <w:highlight w:val="none"/>
              </w:rPr>
              <w:t>费用（元）</w:t>
            </w:r>
          </w:p>
        </w:tc>
        <w:tc>
          <w:tcPr>
            <w:tcW w:w="687" w:type="pct"/>
            <w:tcBorders>
              <w:top w:val="single" w:color="auto" w:sz="12" w:space="0"/>
              <w:bottom w:val="double" w:color="auto" w:sz="6" w:space="0"/>
            </w:tcBorders>
            <w:vAlign w:val="center"/>
          </w:tcPr>
          <w:p w14:paraId="505C8AD6">
            <w:pPr>
              <w:keepNext/>
              <w:jc w:val="center"/>
              <w:rPr>
                <w:rFonts w:cs="宋体"/>
                <w:color w:val="auto"/>
                <w:szCs w:val="21"/>
                <w:highlight w:val="none"/>
              </w:rPr>
            </w:pPr>
            <w:r>
              <w:rPr>
                <w:rFonts w:hint="eastAsia" w:cs="宋体"/>
                <w:color w:val="auto"/>
                <w:szCs w:val="21"/>
                <w:highlight w:val="none"/>
              </w:rPr>
              <w:t>质量</w:t>
            </w:r>
          </w:p>
        </w:tc>
        <w:tc>
          <w:tcPr>
            <w:tcW w:w="802" w:type="pct"/>
            <w:tcBorders>
              <w:top w:val="single" w:color="auto" w:sz="12" w:space="0"/>
              <w:bottom w:val="double" w:color="auto" w:sz="6" w:space="0"/>
            </w:tcBorders>
            <w:vAlign w:val="center"/>
          </w:tcPr>
          <w:p w14:paraId="790E1F3A">
            <w:pPr>
              <w:jc w:val="center"/>
              <w:rPr>
                <w:rFonts w:cs="宋体"/>
                <w:color w:val="auto"/>
                <w:szCs w:val="21"/>
                <w:highlight w:val="none"/>
              </w:rPr>
            </w:pPr>
            <w:r>
              <w:rPr>
                <w:rFonts w:hint="eastAsia" w:cs="宋体"/>
                <w:color w:val="auto"/>
                <w:szCs w:val="21"/>
                <w:highlight w:val="none"/>
              </w:rPr>
              <w:t>移交时间</w:t>
            </w:r>
          </w:p>
        </w:tc>
        <w:tc>
          <w:tcPr>
            <w:tcW w:w="922" w:type="pct"/>
            <w:tcBorders>
              <w:top w:val="single" w:color="auto" w:sz="12" w:space="0"/>
              <w:bottom w:val="double" w:color="auto" w:sz="6" w:space="0"/>
            </w:tcBorders>
            <w:vAlign w:val="center"/>
          </w:tcPr>
          <w:p w14:paraId="76EDECAB">
            <w:pPr>
              <w:jc w:val="center"/>
              <w:rPr>
                <w:rFonts w:cs="宋体"/>
                <w:color w:val="auto"/>
                <w:szCs w:val="21"/>
                <w:highlight w:val="none"/>
              </w:rPr>
            </w:pPr>
            <w:r>
              <w:rPr>
                <w:rFonts w:hint="eastAsia" w:cs="宋体"/>
                <w:color w:val="auto"/>
                <w:szCs w:val="21"/>
                <w:highlight w:val="none"/>
              </w:rPr>
              <w:t>责任人</w:t>
            </w:r>
          </w:p>
        </w:tc>
      </w:tr>
      <w:tr w14:paraId="7FE0C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C94D5F3">
            <w:pPr>
              <w:keepNext/>
              <w:jc w:val="center"/>
              <w:rPr>
                <w:rFonts w:cs="宋体"/>
                <w:color w:val="auto"/>
                <w:szCs w:val="21"/>
                <w:highlight w:val="none"/>
              </w:rPr>
            </w:pPr>
          </w:p>
        </w:tc>
        <w:tc>
          <w:tcPr>
            <w:tcW w:w="706" w:type="pct"/>
            <w:tcBorders>
              <w:top w:val="double" w:color="auto" w:sz="6" w:space="0"/>
            </w:tcBorders>
            <w:vAlign w:val="center"/>
          </w:tcPr>
          <w:p w14:paraId="70DAECCE">
            <w:pPr>
              <w:keepNext/>
              <w:jc w:val="center"/>
              <w:rPr>
                <w:rFonts w:cs="宋体"/>
                <w:color w:val="auto"/>
                <w:szCs w:val="21"/>
                <w:highlight w:val="none"/>
              </w:rPr>
            </w:pPr>
          </w:p>
        </w:tc>
        <w:tc>
          <w:tcPr>
            <w:tcW w:w="802" w:type="pct"/>
            <w:tcBorders>
              <w:top w:val="double" w:color="auto" w:sz="6" w:space="0"/>
            </w:tcBorders>
            <w:vAlign w:val="center"/>
          </w:tcPr>
          <w:p w14:paraId="1110A42D">
            <w:pPr>
              <w:keepNext/>
              <w:jc w:val="center"/>
              <w:rPr>
                <w:rFonts w:cs="宋体"/>
                <w:color w:val="auto"/>
                <w:szCs w:val="21"/>
                <w:highlight w:val="none"/>
              </w:rPr>
            </w:pPr>
          </w:p>
        </w:tc>
        <w:tc>
          <w:tcPr>
            <w:tcW w:w="687" w:type="pct"/>
            <w:tcBorders>
              <w:top w:val="double" w:color="auto" w:sz="6" w:space="0"/>
            </w:tcBorders>
            <w:vAlign w:val="center"/>
          </w:tcPr>
          <w:p w14:paraId="39797874">
            <w:pPr>
              <w:keepNext/>
              <w:jc w:val="center"/>
              <w:rPr>
                <w:rFonts w:cs="宋体"/>
                <w:color w:val="auto"/>
                <w:szCs w:val="21"/>
                <w:highlight w:val="none"/>
              </w:rPr>
            </w:pPr>
          </w:p>
        </w:tc>
        <w:tc>
          <w:tcPr>
            <w:tcW w:w="802" w:type="pct"/>
            <w:tcBorders>
              <w:top w:val="double" w:color="auto" w:sz="6" w:space="0"/>
            </w:tcBorders>
            <w:vAlign w:val="center"/>
          </w:tcPr>
          <w:p w14:paraId="6633BE27">
            <w:pPr>
              <w:keepNext/>
              <w:jc w:val="center"/>
              <w:rPr>
                <w:rFonts w:cs="宋体"/>
                <w:color w:val="auto"/>
                <w:szCs w:val="21"/>
                <w:highlight w:val="none"/>
              </w:rPr>
            </w:pPr>
          </w:p>
        </w:tc>
        <w:tc>
          <w:tcPr>
            <w:tcW w:w="922" w:type="pct"/>
            <w:tcBorders>
              <w:top w:val="double" w:color="auto" w:sz="6" w:space="0"/>
            </w:tcBorders>
            <w:vAlign w:val="center"/>
          </w:tcPr>
          <w:p w14:paraId="5FAA7B66">
            <w:pPr>
              <w:keepNext/>
              <w:jc w:val="center"/>
              <w:rPr>
                <w:rFonts w:cs="宋体"/>
                <w:color w:val="auto"/>
                <w:szCs w:val="21"/>
                <w:highlight w:val="none"/>
              </w:rPr>
            </w:pPr>
          </w:p>
        </w:tc>
      </w:tr>
      <w:tr w14:paraId="61102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379CA249">
            <w:pPr>
              <w:keepNext/>
              <w:jc w:val="center"/>
              <w:rPr>
                <w:rFonts w:cs="宋体"/>
                <w:color w:val="auto"/>
                <w:szCs w:val="21"/>
                <w:highlight w:val="none"/>
              </w:rPr>
            </w:pPr>
          </w:p>
        </w:tc>
        <w:tc>
          <w:tcPr>
            <w:tcW w:w="706" w:type="pct"/>
            <w:tcBorders>
              <w:top w:val="nil"/>
            </w:tcBorders>
            <w:vAlign w:val="center"/>
          </w:tcPr>
          <w:p w14:paraId="60EB2E7D">
            <w:pPr>
              <w:keepNext/>
              <w:jc w:val="center"/>
              <w:rPr>
                <w:rFonts w:cs="宋体"/>
                <w:color w:val="auto"/>
                <w:szCs w:val="21"/>
                <w:highlight w:val="none"/>
              </w:rPr>
            </w:pPr>
          </w:p>
        </w:tc>
        <w:tc>
          <w:tcPr>
            <w:tcW w:w="802" w:type="pct"/>
            <w:tcBorders>
              <w:top w:val="nil"/>
            </w:tcBorders>
            <w:vAlign w:val="center"/>
          </w:tcPr>
          <w:p w14:paraId="1B38062F">
            <w:pPr>
              <w:keepNext/>
              <w:jc w:val="center"/>
              <w:rPr>
                <w:rFonts w:cs="宋体"/>
                <w:color w:val="auto"/>
                <w:szCs w:val="21"/>
                <w:highlight w:val="none"/>
              </w:rPr>
            </w:pPr>
          </w:p>
        </w:tc>
        <w:tc>
          <w:tcPr>
            <w:tcW w:w="687" w:type="pct"/>
            <w:tcBorders>
              <w:top w:val="nil"/>
            </w:tcBorders>
            <w:vAlign w:val="center"/>
          </w:tcPr>
          <w:p w14:paraId="0940D773">
            <w:pPr>
              <w:keepNext/>
              <w:jc w:val="center"/>
              <w:rPr>
                <w:rFonts w:cs="宋体"/>
                <w:color w:val="auto"/>
                <w:szCs w:val="21"/>
                <w:highlight w:val="none"/>
              </w:rPr>
            </w:pPr>
          </w:p>
        </w:tc>
        <w:tc>
          <w:tcPr>
            <w:tcW w:w="802" w:type="pct"/>
            <w:tcBorders>
              <w:top w:val="nil"/>
            </w:tcBorders>
            <w:vAlign w:val="center"/>
          </w:tcPr>
          <w:p w14:paraId="77FE344D">
            <w:pPr>
              <w:keepNext/>
              <w:jc w:val="center"/>
              <w:rPr>
                <w:rFonts w:cs="宋体"/>
                <w:color w:val="auto"/>
                <w:szCs w:val="21"/>
                <w:highlight w:val="none"/>
              </w:rPr>
            </w:pPr>
          </w:p>
        </w:tc>
        <w:tc>
          <w:tcPr>
            <w:tcW w:w="922" w:type="pct"/>
            <w:tcBorders>
              <w:top w:val="nil"/>
            </w:tcBorders>
            <w:vAlign w:val="center"/>
          </w:tcPr>
          <w:p w14:paraId="41879AFA">
            <w:pPr>
              <w:keepNext/>
              <w:jc w:val="center"/>
              <w:rPr>
                <w:rFonts w:cs="宋体"/>
                <w:color w:val="auto"/>
                <w:szCs w:val="21"/>
                <w:highlight w:val="none"/>
              </w:rPr>
            </w:pPr>
          </w:p>
        </w:tc>
      </w:tr>
      <w:tr w14:paraId="042D1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33DCBAA1">
            <w:pPr>
              <w:jc w:val="center"/>
              <w:rPr>
                <w:rFonts w:cs="宋体"/>
                <w:color w:val="auto"/>
                <w:szCs w:val="21"/>
                <w:highlight w:val="none"/>
              </w:rPr>
            </w:pPr>
          </w:p>
        </w:tc>
        <w:tc>
          <w:tcPr>
            <w:tcW w:w="706" w:type="pct"/>
            <w:vAlign w:val="center"/>
          </w:tcPr>
          <w:p w14:paraId="2D66CBFC">
            <w:pPr>
              <w:jc w:val="center"/>
              <w:rPr>
                <w:rFonts w:cs="宋体"/>
                <w:color w:val="auto"/>
                <w:szCs w:val="21"/>
                <w:highlight w:val="none"/>
              </w:rPr>
            </w:pPr>
          </w:p>
        </w:tc>
        <w:tc>
          <w:tcPr>
            <w:tcW w:w="802" w:type="pct"/>
            <w:vAlign w:val="center"/>
          </w:tcPr>
          <w:p w14:paraId="55751855">
            <w:pPr>
              <w:jc w:val="center"/>
              <w:rPr>
                <w:rFonts w:cs="宋体"/>
                <w:color w:val="auto"/>
                <w:szCs w:val="21"/>
                <w:highlight w:val="none"/>
              </w:rPr>
            </w:pPr>
          </w:p>
        </w:tc>
        <w:tc>
          <w:tcPr>
            <w:tcW w:w="687" w:type="pct"/>
            <w:vAlign w:val="center"/>
          </w:tcPr>
          <w:p w14:paraId="076DC997">
            <w:pPr>
              <w:jc w:val="center"/>
              <w:rPr>
                <w:rFonts w:cs="宋体"/>
                <w:color w:val="auto"/>
                <w:szCs w:val="21"/>
                <w:highlight w:val="none"/>
              </w:rPr>
            </w:pPr>
          </w:p>
        </w:tc>
        <w:tc>
          <w:tcPr>
            <w:tcW w:w="802" w:type="pct"/>
            <w:vAlign w:val="center"/>
          </w:tcPr>
          <w:p w14:paraId="4FD28897">
            <w:pPr>
              <w:jc w:val="center"/>
              <w:rPr>
                <w:rFonts w:cs="宋体"/>
                <w:color w:val="auto"/>
                <w:szCs w:val="21"/>
                <w:highlight w:val="none"/>
              </w:rPr>
            </w:pPr>
          </w:p>
        </w:tc>
        <w:tc>
          <w:tcPr>
            <w:tcW w:w="922" w:type="pct"/>
            <w:vAlign w:val="center"/>
          </w:tcPr>
          <w:p w14:paraId="64E89AD6">
            <w:pPr>
              <w:jc w:val="center"/>
              <w:rPr>
                <w:rFonts w:cs="宋体"/>
                <w:color w:val="auto"/>
                <w:szCs w:val="21"/>
                <w:highlight w:val="none"/>
              </w:rPr>
            </w:pPr>
          </w:p>
        </w:tc>
      </w:tr>
      <w:tr w14:paraId="2E1EB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5B611FE9">
            <w:pPr>
              <w:jc w:val="center"/>
              <w:rPr>
                <w:rFonts w:cs="宋体"/>
                <w:color w:val="auto"/>
                <w:szCs w:val="21"/>
                <w:highlight w:val="none"/>
              </w:rPr>
            </w:pPr>
          </w:p>
        </w:tc>
        <w:tc>
          <w:tcPr>
            <w:tcW w:w="706" w:type="pct"/>
            <w:vAlign w:val="center"/>
          </w:tcPr>
          <w:p w14:paraId="2443CB80">
            <w:pPr>
              <w:jc w:val="center"/>
              <w:rPr>
                <w:rFonts w:cs="宋体"/>
                <w:color w:val="auto"/>
                <w:szCs w:val="21"/>
                <w:highlight w:val="none"/>
              </w:rPr>
            </w:pPr>
          </w:p>
        </w:tc>
        <w:tc>
          <w:tcPr>
            <w:tcW w:w="802" w:type="pct"/>
            <w:vAlign w:val="center"/>
          </w:tcPr>
          <w:p w14:paraId="0F10973F">
            <w:pPr>
              <w:jc w:val="center"/>
              <w:rPr>
                <w:rFonts w:cs="宋体"/>
                <w:color w:val="auto"/>
                <w:szCs w:val="21"/>
                <w:highlight w:val="none"/>
              </w:rPr>
            </w:pPr>
          </w:p>
        </w:tc>
        <w:tc>
          <w:tcPr>
            <w:tcW w:w="687" w:type="pct"/>
            <w:vAlign w:val="center"/>
          </w:tcPr>
          <w:p w14:paraId="00DD9983">
            <w:pPr>
              <w:jc w:val="center"/>
              <w:rPr>
                <w:rFonts w:cs="宋体"/>
                <w:color w:val="auto"/>
                <w:szCs w:val="21"/>
                <w:highlight w:val="none"/>
              </w:rPr>
            </w:pPr>
          </w:p>
        </w:tc>
        <w:tc>
          <w:tcPr>
            <w:tcW w:w="802" w:type="pct"/>
            <w:vAlign w:val="center"/>
          </w:tcPr>
          <w:p w14:paraId="1AEC2475">
            <w:pPr>
              <w:jc w:val="center"/>
              <w:rPr>
                <w:rFonts w:cs="宋体"/>
                <w:color w:val="auto"/>
                <w:szCs w:val="21"/>
                <w:highlight w:val="none"/>
              </w:rPr>
            </w:pPr>
          </w:p>
        </w:tc>
        <w:tc>
          <w:tcPr>
            <w:tcW w:w="922" w:type="pct"/>
            <w:vAlign w:val="center"/>
          </w:tcPr>
          <w:p w14:paraId="2D03D46C">
            <w:pPr>
              <w:jc w:val="center"/>
              <w:rPr>
                <w:rFonts w:cs="宋体"/>
                <w:color w:val="auto"/>
                <w:szCs w:val="21"/>
                <w:highlight w:val="none"/>
              </w:rPr>
            </w:pPr>
          </w:p>
        </w:tc>
      </w:tr>
      <w:tr w14:paraId="66BB8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37BBE12E">
            <w:pPr>
              <w:jc w:val="center"/>
              <w:rPr>
                <w:rFonts w:cs="宋体"/>
                <w:color w:val="auto"/>
                <w:szCs w:val="21"/>
                <w:highlight w:val="none"/>
              </w:rPr>
            </w:pPr>
          </w:p>
        </w:tc>
        <w:tc>
          <w:tcPr>
            <w:tcW w:w="706" w:type="pct"/>
            <w:tcBorders>
              <w:bottom w:val="single" w:color="auto" w:sz="12" w:space="0"/>
            </w:tcBorders>
            <w:vAlign w:val="center"/>
          </w:tcPr>
          <w:p w14:paraId="3C364044">
            <w:pPr>
              <w:jc w:val="center"/>
              <w:rPr>
                <w:rFonts w:cs="宋体"/>
                <w:color w:val="auto"/>
                <w:szCs w:val="21"/>
                <w:highlight w:val="none"/>
              </w:rPr>
            </w:pPr>
          </w:p>
        </w:tc>
        <w:tc>
          <w:tcPr>
            <w:tcW w:w="802" w:type="pct"/>
            <w:tcBorders>
              <w:bottom w:val="single" w:color="auto" w:sz="12" w:space="0"/>
            </w:tcBorders>
            <w:vAlign w:val="center"/>
          </w:tcPr>
          <w:p w14:paraId="1905B4FA">
            <w:pPr>
              <w:jc w:val="center"/>
              <w:rPr>
                <w:rFonts w:cs="宋体"/>
                <w:color w:val="auto"/>
                <w:szCs w:val="21"/>
                <w:highlight w:val="none"/>
              </w:rPr>
            </w:pPr>
          </w:p>
        </w:tc>
        <w:tc>
          <w:tcPr>
            <w:tcW w:w="687" w:type="pct"/>
            <w:tcBorders>
              <w:bottom w:val="single" w:color="auto" w:sz="12" w:space="0"/>
            </w:tcBorders>
            <w:vAlign w:val="center"/>
          </w:tcPr>
          <w:p w14:paraId="1D7B8D1E">
            <w:pPr>
              <w:jc w:val="center"/>
              <w:rPr>
                <w:rFonts w:cs="宋体"/>
                <w:color w:val="auto"/>
                <w:szCs w:val="21"/>
                <w:highlight w:val="none"/>
              </w:rPr>
            </w:pPr>
          </w:p>
        </w:tc>
        <w:tc>
          <w:tcPr>
            <w:tcW w:w="802" w:type="pct"/>
            <w:tcBorders>
              <w:bottom w:val="single" w:color="auto" w:sz="12" w:space="0"/>
            </w:tcBorders>
            <w:vAlign w:val="center"/>
          </w:tcPr>
          <w:p w14:paraId="66319A94">
            <w:pPr>
              <w:jc w:val="center"/>
              <w:rPr>
                <w:rFonts w:cs="宋体"/>
                <w:color w:val="auto"/>
                <w:szCs w:val="21"/>
                <w:highlight w:val="none"/>
              </w:rPr>
            </w:pPr>
          </w:p>
        </w:tc>
        <w:tc>
          <w:tcPr>
            <w:tcW w:w="922" w:type="pct"/>
            <w:tcBorders>
              <w:bottom w:val="single" w:color="auto" w:sz="12" w:space="0"/>
            </w:tcBorders>
            <w:vAlign w:val="center"/>
          </w:tcPr>
          <w:p w14:paraId="5821108C">
            <w:pPr>
              <w:jc w:val="center"/>
              <w:rPr>
                <w:rFonts w:cs="宋体"/>
                <w:color w:val="auto"/>
                <w:szCs w:val="21"/>
                <w:highlight w:val="none"/>
              </w:rPr>
            </w:pPr>
          </w:p>
        </w:tc>
      </w:tr>
    </w:tbl>
    <w:p w14:paraId="46902590">
      <w:pPr>
        <w:spacing w:before="312" w:beforeLines="100" w:after="312" w:afterLines="100"/>
        <w:outlineLvl w:val="2"/>
        <w:rPr>
          <w:rFonts w:ascii="Times New Roman" w:eastAsia="黑体"/>
          <w:color w:val="auto"/>
          <w:szCs w:val="24"/>
          <w:highlight w:val="none"/>
        </w:rPr>
      </w:pPr>
      <w:bookmarkStart w:id="597" w:name="_Toc128950240"/>
      <w:r>
        <w:rPr>
          <w:rFonts w:hint="eastAsia" w:ascii="Times New Roman" w:eastAsia="黑体"/>
          <w:color w:val="auto"/>
          <w:szCs w:val="24"/>
          <w:highlight w:val="none"/>
        </w:rPr>
        <w:t>附</w:t>
      </w:r>
      <w:bookmarkStart w:id="598" w:name="_Toc267261698"/>
      <w:bookmarkStart w:id="599" w:name="_Toc296347226"/>
      <w:bookmarkStart w:id="600" w:name="_Toc296503227"/>
      <w:bookmarkStart w:id="601" w:name="_Toc296891055"/>
      <w:bookmarkStart w:id="602" w:name="_Toc296891267"/>
      <w:bookmarkStart w:id="603" w:name="_Toc296346728"/>
      <w:bookmarkStart w:id="604" w:name="_Toc296944566"/>
      <w:r>
        <w:rPr>
          <w:rFonts w:hint="eastAsia" w:ascii="Times New Roman" w:eastAsia="黑体"/>
          <w:color w:val="auto"/>
          <w:szCs w:val="24"/>
          <w:highlight w:val="none"/>
        </w:rPr>
        <w:t>件</w:t>
      </w:r>
      <w:r>
        <w:rPr>
          <w:rFonts w:ascii="Times New Roman" w:eastAsia="黑体"/>
          <w:color w:val="auto"/>
          <w:szCs w:val="24"/>
          <w:highlight w:val="none"/>
        </w:rPr>
        <w:t>5</w:t>
      </w:r>
      <w:r>
        <w:rPr>
          <w:rFonts w:hint="eastAsia" w:ascii="Times New Roman" w:eastAsia="黑体"/>
          <w:color w:val="auto"/>
          <w:szCs w:val="24"/>
          <w:highlight w:val="none"/>
        </w:rPr>
        <w:t>：承包人用于本工程施工的机械设备表</w:t>
      </w:r>
      <w:bookmarkEnd w:id="597"/>
    </w:p>
    <w:bookmarkEnd w:id="598"/>
    <w:bookmarkEnd w:id="599"/>
    <w:bookmarkEnd w:id="600"/>
    <w:bookmarkEnd w:id="601"/>
    <w:bookmarkEnd w:id="602"/>
    <w:bookmarkEnd w:id="603"/>
    <w:bookmarkEnd w:id="604"/>
    <w:p w14:paraId="281EF0FB">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0C77A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35217834">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0C7B197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56756377">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5D28195C">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734DF86A">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6B1241BB">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0AA4EB9F">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422679EA">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3BD55819">
            <w:pPr>
              <w:keepNext/>
              <w:jc w:val="center"/>
              <w:rPr>
                <w:rFonts w:cs="宋体"/>
                <w:color w:val="auto"/>
                <w:szCs w:val="21"/>
                <w:highlight w:val="none"/>
              </w:rPr>
            </w:pPr>
            <w:r>
              <w:rPr>
                <w:rFonts w:hint="eastAsia" w:cs="宋体"/>
                <w:color w:val="auto"/>
                <w:szCs w:val="21"/>
                <w:highlight w:val="none"/>
              </w:rPr>
              <w:t>备注</w:t>
            </w:r>
          </w:p>
        </w:tc>
      </w:tr>
      <w:tr w14:paraId="075A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5D7A8F20">
            <w:pPr>
              <w:keepNext/>
              <w:jc w:val="center"/>
              <w:rPr>
                <w:rFonts w:cs="宋体"/>
                <w:color w:val="auto"/>
                <w:szCs w:val="21"/>
                <w:highlight w:val="none"/>
              </w:rPr>
            </w:pPr>
          </w:p>
        </w:tc>
        <w:tc>
          <w:tcPr>
            <w:tcW w:w="792" w:type="pct"/>
            <w:tcBorders>
              <w:top w:val="double" w:color="auto" w:sz="6" w:space="0"/>
            </w:tcBorders>
            <w:vAlign w:val="center"/>
          </w:tcPr>
          <w:p w14:paraId="20481A73">
            <w:pPr>
              <w:keepNext/>
              <w:jc w:val="center"/>
              <w:rPr>
                <w:rFonts w:cs="宋体"/>
                <w:color w:val="auto"/>
                <w:szCs w:val="21"/>
                <w:highlight w:val="none"/>
              </w:rPr>
            </w:pPr>
          </w:p>
        </w:tc>
        <w:tc>
          <w:tcPr>
            <w:tcW w:w="474" w:type="pct"/>
            <w:tcBorders>
              <w:top w:val="double" w:color="auto" w:sz="6" w:space="0"/>
            </w:tcBorders>
            <w:vAlign w:val="center"/>
          </w:tcPr>
          <w:p w14:paraId="3AF930B0">
            <w:pPr>
              <w:keepNext/>
              <w:jc w:val="center"/>
              <w:rPr>
                <w:rFonts w:cs="宋体"/>
                <w:color w:val="auto"/>
                <w:szCs w:val="21"/>
                <w:highlight w:val="none"/>
              </w:rPr>
            </w:pPr>
          </w:p>
        </w:tc>
        <w:tc>
          <w:tcPr>
            <w:tcW w:w="396" w:type="pct"/>
            <w:tcBorders>
              <w:top w:val="double" w:color="auto" w:sz="6" w:space="0"/>
            </w:tcBorders>
            <w:vAlign w:val="center"/>
          </w:tcPr>
          <w:p w14:paraId="3A058FBA">
            <w:pPr>
              <w:keepNext/>
              <w:jc w:val="center"/>
              <w:rPr>
                <w:rFonts w:cs="宋体"/>
                <w:color w:val="auto"/>
                <w:szCs w:val="21"/>
                <w:highlight w:val="none"/>
              </w:rPr>
            </w:pPr>
          </w:p>
        </w:tc>
        <w:tc>
          <w:tcPr>
            <w:tcW w:w="474" w:type="pct"/>
            <w:tcBorders>
              <w:top w:val="double" w:color="auto" w:sz="6" w:space="0"/>
            </w:tcBorders>
            <w:vAlign w:val="center"/>
          </w:tcPr>
          <w:p w14:paraId="5E14D776">
            <w:pPr>
              <w:keepNext/>
              <w:jc w:val="center"/>
              <w:rPr>
                <w:rFonts w:cs="宋体"/>
                <w:color w:val="auto"/>
                <w:szCs w:val="21"/>
                <w:highlight w:val="none"/>
              </w:rPr>
            </w:pPr>
          </w:p>
        </w:tc>
        <w:tc>
          <w:tcPr>
            <w:tcW w:w="537" w:type="pct"/>
            <w:tcBorders>
              <w:top w:val="double" w:color="auto" w:sz="6" w:space="0"/>
            </w:tcBorders>
            <w:vAlign w:val="center"/>
          </w:tcPr>
          <w:p w14:paraId="207DA7A4">
            <w:pPr>
              <w:keepNext/>
              <w:jc w:val="center"/>
              <w:rPr>
                <w:rFonts w:cs="宋体"/>
                <w:color w:val="auto"/>
                <w:szCs w:val="21"/>
                <w:highlight w:val="none"/>
              </w:rPr>
            </w:pPr>
          </w:p>
        </w:tc>
        <w:tc>
          <w:tcPr>
            <w:tcW w:w="827" w:type="pct"/>
            <w:tcBorders>
              <w:top w:val="double" w:color="auto" w:sz="6" w:space="0"/>
            </w:tcBorders>
            <w:vAlign w:val="center"/>
          </w:tcPr>
          <w:p w14:paraId="688741F5">
            <w:pPr>
              <w:keepNext/>
              <w:jc w:val="center"/>
              <w:rPr>
                <w:rFonts w:cs="宋体"/>
                <w:color w:val="auto"/>
                <w:szCs w:val="21"/>
                <w:highlight w:val="none"/>
              </w:rPr>
            </w:pPr>
          </w:p>
        </w:tc>
        <w:tc>
          <w:tcPr>
            <w:tcW w:w="569" w:type="pct"/>
            <w:tcBorders>
              <w:top w:val="double" w:color="auto" w:sz="6" w:space="0"/>
            </w:tcBorders>
            <w:vAlign w:val="center"/>
          </w:tcPr>
          <w:p w14:paraId="11B840E4">
            <w:pPr>
              <w:keepNext/>
              <w:jc w:val="center"/>
              <w:rPr>
                <w:rFonts w:cs="宋体"/>
                <w:color w:val="auto"/>
                <w:szCs w:val="21"/>
                <w:highlight w:val="none"/>
              </w:rPr>
            </w:pPr>
          </w:p>
        </w:tc>
        <w:tc>
          <w:tcPr>
            <w:tcW w:w="519" w:type="pct"/>
            <w:tcBorders>
              <w:top w:val="double" w:color="auto" w:sz="6" w:space="0"/>
            </w:tcBorders>
            <w:vAlign w:val="center"/>
          </w:tcPr>
          <w:p w14:paraId="1F6D7D24">
            <w:pPr>
              <w:keepNext/>
              <w:jc w:val="center"/>
              <w:rPr>
                <w:rFonts w:cs="宋体"/>
                <w:color w:val="auto"/>
                <w:szCs w:val="21"/>
                <w:highlight w:val="none"/>
              </w:rPr>
            </w:pPr>
          </w:p>
        </w:tc>
      </w:tr>
      <w:tr w14:paraId="1440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1DCEBBBB">
            <w:pPr>
              <w:keepNext/>
              <w:jc w:val="center"/>
              <w:rPr>
                <w:rFonts w:cs="宋体"/>
                <w:color w:val="auto"/>
                <w:szCs w:val="21"/>
                <w:highlight w:val="none"/>
              </w:rPr>
            </w:pPr>
          </w:p>
        </w:tc>
        <w:tc>
          <w:tcPr>
            <w:tcW w:w="792" w:type="pct"/>
            <w:tcBorders>
              <w:top w:val="nil"/>
            </w:tcBorders>
            <w:vAlign w:val="center"/>
          </w:tcPr>
          <w:p w14:paraId="042C2E82">
            <w:pPr>
              <w:keepNext/>
              <w:jc w:val="center"/>
              <w:rPr>
                <w:rFonts w:cs="宋体"/>
                <w:color w:val="auto"/>
                <w:szCs w:val="21"/>
                <w:highlight w:val="none"/>
              </w:rPr>
            </w:pPr>
          </w:p>
        </w:tc>
        <w:tc>
          <w:tcPr>
            <w:tcW w:w="474" w:type="pct"/>
            <w:tcBorders>
              <w:top w:val="nil"/>
            </w:tcBorders>
            <w:vAlign w:val="center"/>
          </w:tcPr>
          <w:p w14:paraId="0EF1B0D4">
            <w:pPr>
              <w:keepNext/>
              <w:jc w:val="center"/>
              <w:rPr>
                <w:rFonts w:cs="宋体"/>
                <w:color w:val="auto"/>
                <w:szCs w:val="21"/>
                <w:highlight w:val="none"/>
              </w:rPr>
            </w:pPr>
          </w:p>
        </w:tc>
        <w:tc>
          <w:tcPr>
            <w:tcW w:w="396" w:type="pct"/>
            <w:tcBorders>
              <w:top w:val="nil"/>
            </w:tcBorders>
            <w:vAlign w:val="center"/>
          </w:tcPr>
          <w:p w14:paraId="10826426">
            <w:pPr>
              <w:keepNext/>
              <w:jc w:val="center"/>
              <w:rPr>
                <w:rFonts w:cs="宋体"/>
                <w:color w:val="auto"/>
                <w:szCs w:val="21"/>
                <w:highlight w:val="none"/>
              </w:rPr>
            </w:pPr>
          </w:p>
        </w:tc>
        <w:tc>
          <w:tcPr>
            <w:tcW w:w="474" w:type="pct"/>
            <w:tcBorders>
              <w:top w:val="nil"/>
            </w:tcBorders>
            <w:vAlign w:val="center"/>
          </w:tcPr>
          <w:p w14:paraId="190FDDE3">
            <w:pPr>
              <w:keepNext/>
              <w:jc w:val="center"/>
              <w:rPr>
                <w:rFonts w:cs="宋体"/>
                <w:color w:val="auto"/>
                <w:szCs w:val="21"/>
                <w:highlight w:val="none"/>
              </w:rPr>
            </w:pPr>
          </w:p>
        </w:tc>
        <w:tc>
          <w:tcPr>
            <w:tcW w:w="537" w:type="pct"/>
            <w:tcBorders>
              <w:top w:val="nil"/>
            </w:tcBorders>
            <w:vAlign w:val="center"/>
          </w:tcPr>
          <w:p w14:paraId="1C35110C">
            <w:pPr>
              <w:keepNext/>
              <w:jc w:val="center"/>
              <w:rPr>
                <w:rFonts w:cs="宋体"/>
                <w:color w:val="auto"/>
                <w:szCs w:val="21"/>
                <w:highlight w:val="none"/>
              </w:rPr>
            </w:pPr>
          </w:p>
        </w:tc>
        <w:tc>
          <w:tcPr>
            <w:tcW w:w="827" w:type="pct"/>
            <w:tcBorders>
              <w:top w:val="nil"/>
            </w:tcBorders>
            <w:vAlign w:val="center"/>
          </w:tcPr>
          <w:p w14:paraId="7CC923D5">
            <w:pPr>
              <w:keepNext/>
              <w:jc w:val="center"/>
              <w:rPr>
                <w:rFonts w:cs="宋体"/>
                <w:color w:val="auto"/>
                <w:szCs w:val="21"/>
                <w:highlight w:val="none"/>
              </w:rPr>
            </w:pPr>
          </w:p>
        </w:tc>
        <w:tc>
          <w:tcPr>
            <w:tcW w:w="569" w:type="pct"/>
            <w:tcBorders>
              <w:top w:val="nil"/>
            </w:tcBorders>
            <w:vAlign w:val="center"/>
          </w:tcPr>
          <w:p w14:paraId="613B9BE5">
            <w:pPr>
              <w:keepNext/>
              <w:jc w:val="center"/>
              <w:rPr>
                <w:rFonts w:cs="宋体"/>
                <w:color w:val="auto"/>
                <w:szCs w:val="21"/>
                <w:highlight w:val="none"/>
              </w:rPr>
            </w:pPr>
          </w:p>
        </w:tc>
        <w:tc>
          <w:tcPr>
            <w:tcW w:w="519" w:type="pct"/>
            <w:tcBorders>
              <w:top w:val="nil"/>
            </w:tcBorders>
            <w:vAlign w:val="center"/>
          </w:tcPr>
          <w:p w14:paraId="767EC3BF">
            <w:pPr>
              <w:keepNext/>
              <w:jc w:val="center"/>
              <w:rPr>
                <w:rFonts w:cs="宋体"/>
                <w:color w:val="auto"/>
                <w:szCs w:val="21"/>
                <w:highlight w:val="none"/>
              </w:rPr>
            </w:pPr>
          </w:p>
        </w:tc>
      </w:tr>
      <w:tr w14:paraId="5AC0D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F19D5ED">
            <w:pPr>
              <w:jc w:val="center"/>
              <w:rPr>
                <w:rFonts w:cs="宋体"/>
                <w:color w:val="auto"/>
                <w:szCs w:val="21"/>
                <w:highlight w:val="none"/>
              </w:rPr>
            </w:pPr>
          </w:p>
        </w:tc>
        <w:tc>
          <w:tcPr>
            <w:tcW w:w="792" w:type="pct"/>
            <w:vAlign w:val="center"/>
          </w:tcPr>
          <w:p w14:paraId="54BBB7B4">
            <w:pPr>
              <w:jc w:val="center"/>
              <w:rPr>
                <w:rFonts w:cs="宋体"/>
                <w:color w:val="auto"/>
                <w:szCs w:val="21"/>
                <w:highlight w:val="none"/>
              </w:rPr>
            </w:pPr>
          </w:p>
        </w:tc>
        <w:tc>
          <w:tcPr>
            <w:tcW w:w="474" w:type="pct"/>
            <w:vAlign w:val="center"/>
          </w:tcPr>
          <w:p w14:paraId="5C134097">
            <w:pPr>
              <w:jc w:val="center"/>
              <w:rPr>
                <w:rFonts w:cs="宋体"/>
                <w:color w:val="auto"/>
                <w:szCs w:val="21"/>
                <w:highlight w:val="none"/>
              </w:rPr>
            </w:pPr>
          </w:p>
        </w:tc>
        <w:tc>
          <w:tcPr>
            <w:tcW w:w="396" w:type="pct"/>
            <w:vAlign w:val="center"/>
          </w:tcPr>
          <w:p w14:paraId="66929AB2">
            <w:pPr>
              <w:jc w:val="center"/>
              <w:rPr>
                <w:rFonts w:cs="宋体"/>
                <w:color w:val="auto"/>
                <w:szCs w:val="21"/>
                <w:highlight w:val="none"/>
              </w:rPr>
            </w:pPr>
          </w:p>
        </w:tc>
        <w:tc>
          <w:tcPr>
            <w:tcW w:w="474" w:type="pct"/>
            <w:vAlign w:val="center"/>
          </w:tcPr>
          <w:p w14:paraId="1BF8E46C">
            <w:pPr>
              <w:jc w:val="center"/>
              <w:rPr>
                <w:rFonts w:cs="宋体"/>
                <w:color w:val="auto"/>
                <w:szCs w:val="21"/>
                <w:highlight w:val="none"/>
              </w:rPr>
            </w:pPr>
          </w:p>
        </w:tc>
        <w:tc>
          <w:tcPr>
            <w:tcW w:w="537" w:type="pct"/>
            <w:vAlign w:val="center"/>
          </w:tcPr>
          <w:p w14:paraId="4988D191">
            <w:pPr>
              <w:jc w:val="center"/>
              <w:rPr>
                <w:rFonts w:cs="宋体"/>
                <w:color w:val="auto"/>
                <w:szCs w:val="21"/>
                <w:highlight w:val="none"/>
              </w:rPr>
            </w:pPr>
          </w:p>
        </w:tc>
        <w:tc>
          <w:tcPr>
            <w:tcW w:w="827" w:type="pct"/>
            <w:vAlign w:val="center"/>
          </w:tcPr>
          <w:p w14:paraId="6FC15C35">
            <w:pPr>
              <w:jc w:val="center"/>
              <w:rPr>
                <w:rFonts w:cs="宋体"/>
                <w:color w:val="auto"/>
                <w:szCs w:val="21"/>
                <w:highlight w:val="none"/>
              </w:rPr>
            </w:pPr>
          </w:p>
        </w:tc>
        <w:tc>
          <w:tcPr>
            <w:tcW w:w="569" w:type="pct"/>
            <w:vAlign w:val="center"/>
          </w:tcPr>
          <w:p w14:paraId="661E7AFC">
            <w:pPr>
              <w:jc w:val="center"/>
              <w:rPr>
                <w:rFonts w:cs="宋体"/>
                <w:color w:val="auto"/>
                <w:szCs w:val="21"/>
                <w:highlight w:val="none"/>
              </w:rPr>
            </w:pPr>
          </w:p>
        </w:tc>
        <w:tc>
          <w:tcPr>
            <w:tcW w:w="519" w:type="pct"/>
            <w:vAlign w:val="center"/>
          </w:tcPr>
          <w:p w14:paraId="2EF96365">
            <w:pPr>
              <w:jc w:val="center"/>
              <w:rPr>
                <w:rFonts w:cs="宋体"/>
                <w:color w:val="auto"/>
                <w:szCs w:val="21"/>
                <w:highlight w:val="none"/>
              </w:rPr>
            </w:pPr>
          </w:p>
        </w:tc>
      </w:tr>
      <w:tr w14:paraId="389B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3A3A02D">
            <w:pPr>
              <w:jc w:val="center"/>
              <w:rPr>
                <w:rFonts w:cs="宋体"/>
                <w:color w:val="auto"/>
                <w:szCs w:val="21"/>
                <w:highlight w:val="none"/>
              </w:rPr>
            </w:pPr>
          </w:p>
        </w:tc>
        <w:tc>
          <w:tcPr>
            <w:tcW w:w="792" w:type="pct"/>
            <w:vAlign w:val="center"/>
          </w:tcPr>
          <w:p w14:paraId="4B95D18D">
            <w:pPr>
              <w:jc w:val="center"/>
              <w:rPr>
                <w:rFonts w:cs="宋体"/>
                <w:color w:val="auto"/>
                <w:szCs w:val="21"/>
                <w:highlight w:val="none"/>
              </w:rPr>
            </w:pPr>
          </w:p>
        </w:tc>
        <w:tc>
          <w:tcPr>
            <w:tcW w:w="474" w:type="pct"/>
            <w:vAlign w:val="center"/>
          </w:tcPr>
          <w:p w14:paraId="20965875">
            <w:pPr>
              <w:jc w:val="center"/>
              <w:rPr>
                <w:rFonts w:cs="宋体"/>
                <w:color w:val="auto"/>
                <w:szCs w:val="21"/>
                <w:highlight w:val="none"/>
              </w:rPr>
            </w:pPr>
          </w:p>
        </w:tc>
        <w:tc>
          <w:tcPr>
            <w:tcW w:w="396" w:type="pct"/>
            <w:vAlign w:val="center"/>
          </w:tcPr>
          <w:p w14:paraId="0C1EAA2A">
            <w:pPr>
              <w:jc w:val="center"/>
              <w:rPr>
                <w:rFonts w:cs="宋体"/>
                <w:color w:val="auto"/>
                <w:szCs w:val="21"/>
                <w:highlight w:val="none"/>
              </w:rPr>
            </w:pPr>
          </w:p>
        </w:tc>
        <w:tc>
          <w:tcPr>
            <w:tcW w:w="474" w:type="pct"/>
            <w:vAlign w:val="center"/>
          </w:tcPr>
          <w:p w14:paraId="1FD1BBF0">
            <w:pPr>
              <w:jc w:val="center"/>
              <w:rPr>
                <w:rFonts w:cs="宋体"/>
                <w:color w:val="auto"/>
                <w:szCs w:val="21"/>
                <w:highlight w:val="none"/>
              </w:rPr>
            </w:pPr>
          </w:p>
        </w:tc>
        <w:tc>
          <w:tcPr>
            <w:tcW w:w="537" w:type="pct"/>
            <w:vAlign w:val="center"/>
          </w:tcPr>
          <w:p w14:paraId="1DF5CB66">
            <w:pPr>
              <w:jc w:val="center"/>
              <w:rPr>
                <w:rFonts w:cs="宋体"/>
                <w:color w:val="auto"/>
                <w:szCs w:val="21"/>
                <w:highlight w:val="none"/>
              </w:rPr>
            </w:pPr>
          </w:p>
        </w:tc>
        <w:tc>
          <w:tcPr>
            <w:tcW w:w="827" w:type="pct"/>
            <w:vAlign w:val="center"/>
          </w:tcPr>
          <w:p w14:paraId="6492CE62">
            <w:pPr>
              <w:jc w:val="center"/>
              <w:rPr>
                <w:rFonts w:cs="宋体"/>
                <w:color w:val="auto"/>
                <w:szCs w:val="21"/>
                <w:highlight w:val="none"/>
              </w:rPr>
            </w:pPr>
          </w:p>
        </w:tc>
        <w:tc>
          <w:tcPr>
            <w:tcW w:w="569" w:type="pct"/>
            <w:vAlign w:val="center"/>
          </w:tcPr>
          <w:p w14:paraId="09805F93">
            <w:pPr>
              <w:jc w:val="center"/>
              <w:rPr>
                <w:rFonts w:cs="宋体"/>
                <w:color w:val="auto"/>
                <w:szCs w:val="21"/>
                <w:highlight w:val="none"/>
              </w:rPr>
            </w:pPr>
          </w:p>
        </w:tc>
        <w:tc>
          <w:tcPr>
            <w:tcW w:w="519" w:type="pct"/>
            <w:vAlign w:val="center"/>
          </w:tcPr>
          <w:p w14:paraId="42378160">
            <w:pPr>
              <w:jc w:val="center"/>
              <w:rPr>
                <w:rFonts w:cs="宋体"/>
                <w:color w:val="auto"/>
                <w:szCs w:val="21"/>
                <w:highlight w:val="none"/>
              </w:rPr>
            </w:pPr>
          </w:p>
        </w:tc>
      </w:tr>
      <w:tr w14:paraId="29A0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54DD642">
            <w:pPr>
              <w:jc w:val="center"/>
              <w:rPr>
                <w:rFonts w:cs="宋体"/>
                <w:color w:val="auto"/>
                <w:szCs w:val="21"/>
                <w:highlight w:val="none"/>
              </w:rPr>
            </w:pPr>
          </w:p>
        </w:tc>
        <w:tc>
          <w:tcPr>
            <w:tcW w:w="792" w:type="pct"/>
            <w:tcBorders>
              <w:bottom w:val="single" w:color="auto" w:sz="12" w:space="0"/>
            </w:tcBorders>
            <w:vAlign w:val="center"/>
          </w:tcPr>
          <w:p w14:paraId="464EC5AB">
            <w:pPr>
              <w:jc w:val="center"/>
              <w:rPr>
                <w:rFonts w:cs="宋体"/>
                <w:color w:val="auto"/>
                <w:szCs w:val="21"/>
                <w:highlight w:val="none"/>
              </w:rPr>
            </w:pPr>
          </w:p>
        </w:tc>
        <w:tc>
          <w:tcPr>
            <w:tcW w:w="474" w:type="pct"/>
            <w:tcBorders>
              <w:bottom w:val="single" w:color="auto" w:sz="12" w:space="0"/>
            </w:tcBorders>
            <w:vAlign w:val="center"/>
          </w:tcPr>
          <w:p w14:paraId="4D2B0DC0">
            <w:pPr>
              <w:jc w:val="center"/>
              <w:rPr>
                <w:rFonts w:cs="宋体"/>
                <w:color w:val="auto"/>
                <w:szCs w:val="21"/>
                <w:highlight w:val="none"/>
              </w:rPr>
            </w:pPr>
          </w:p>
        </w:tc>
        <w:tc>
          <w:tcPr>
            <w:tcW w:w="396" w:type="pct"/>
            <w:tcBorders>
              <w:bottom w:val="single" w:color="auto" w:sz="12" w:space="0"/>
            </w:tcBorders>
            <w:vAlign w:val="center"/>
          </w:tcPr>
          <w:p w14:paraId="7A37BE94">
            <w:pPr>
              <w:jc w:val="center"/>
              <w:rPr>
                <w:rFonts w:cs="宋体"/>
                <w:color w:val="auto"/>
                <w:szCs w:val="21"/>
                <w:highlight w:val="none"/>
              </w:rPr>
            </w:pPr>
          </w:p>
        </w:tc>
        <w:tc>
          <w:tcPr>
            <w:tcW w:w="474" w:type="pct"/>
            <w:tcBorders>
              <w:bottom w:val="single" w:color="auto" w:sz="12" w:space="0"/>
            </w:tcBorders>
            <w:vAlign w:val="center"/>
          </w:tcPr>
          <w:p w14:paraId="4F732BF1">
            <w:pPr>
              <w:jc w:val="center"/>
              <w:rPr>
                <w:rFonts w:cs="宋体"/>
                <w:color w:val="auto"/>
                <w:szCs w:val="21"/>
                <w:highlight w:val="none"/>
              </w:rPr>
            </w:pPr>
          </w:p>
        </w:tc>
        <w:tc>
          <w:tcPr>
            <w:tcW w:w="537" w:type="pct"/>
            <w:tcBorders>
              <w:bottom w:val="single" w:color="auto" w:sz="12" w:space="0"/>
            </w:tcBorders>
            <w:vAlign w:val="center"/>
          </w:tcPr>
          <w:p w14:paraId="32B2184A">
            <w:pPr>
              <w:jc w:val="center"/>
              <w:rPr>
                <w:rFonts w:cs="宋体"/>
                <w:color w:val="auto"/>
                <w:szCs w:val="21"/>
                <w:highlight w:val="none"/>
              </w:rPr>
            </w:pPr>
          </w:p>
        </w:tc>
        <w:tc>
          <w:tcPr>
            <w:tcW w:w="827" w:type="pct"/>
            <w:tcBorders>
              <w:bottom w:val="single" w:color="auto" w:sz="12" w:space="0"/>
            </w:tcBorders>
            <w:vAlign w:val="center"/>
          </w:tcPr>
          <w:p w14:paraId="3954AD06">
            <w:pPr>
              <w:jc w:val="center"/>
              <w:rPr>
                <w:rFonts w:cs="宋体"/>
                <w:color w:val="auto"/>
                <w:szCs w:val="21"/>
                <w:highlight w:val="none"/>
              </w:rPr>
            </w:pPr>
          </w:p>
        </w:tc>
        <w:tc>
          <w:tcPr>
            <w:tcW w:w="569" w:type="pct"/>
            <w:tcBorders>
              <w:bottom w:val="single" w:color="auto" w:sz="12" w:space="0"/>
            </w:tcBorders>
            <w:vAlign w:val="center"/>
          </w:tcPr>
          <w:p w14:paraId="161D320A">
            <w:pPr>
              <w:jc w:val="center"/>
              <w:rPr>
                <w:rFonts w:cs="宋体"/>
                <w:color w:val="auto"/>
                <w:szCs w:val="21"/>
                <w:highlight w:val="none"/>
              </w:rPr>
            </w:pPr>
          </w:p>
        </w:tc>
        <w:tc>
          <w:tcPr>
            <w:tcW w:w="519" w:type="pct"/>
            <w:tcBorders>
              <w:bottom w:val="single" w:color="auto" w:sz="12" w:space="0"/>
            </w:tcBorders>
            <w:vAlign w:val="center"/>
          </w:tcPr>
          <w:p w14:paraId="4FE28A99">
            <w:pPr>
              <w:jc w:val="center"/>
              <w:rPr>
                <w:rFonts w:cs="宋体"/>
                <w:color w:val="auto"/>
                <w:szCs w:val="21"/>
                <w:highlight w:val="none"/>
              </w:rPr>
            </w:pPr>
          </w:p>
        </w:tc>
      </w:tr>
    </w:tbl>
    <w:p w14:paraId="2C376A9C">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05" w:name="_Toc128950241"/>
      <w:r>
        <w:rPr>
          <w:rFonts w:hint="eastAsia" w:ascii="Times New Roman" w:eastAsia="黑体"/>
          <w:color w:val="auto"/>
          <w:szCs w:val="24"/>
          <w:highlight w:val="none"/>
        </w:rPr>
        <w:t>附</w:t>
      </w:r>
      <w:bookmarkStart w:id="606" w:name="_Toc296891268"/>
      <w:bookmarkStart w:id="607" w:name="_Toc296944567"/>
      <w:bookmarkStart w:id="608" w:name="_Toc267261699"/>
      <w:bookmarkStart w:id="609" w:name="_Toc296346729"/>
      <w:bookmarkStart w:id="610" w:name="_Toc296347227"/>
      <w:bookmarkStart w:id="611" w:name="_Toc296891056"/>
      <w:bookmarkStart w:id="612" w:name="_Toc296503228"/>
      <w:r>
        <w:rPr>
          <w:rFonts w:hint="eastAsia" w:ascii="Times New Roman" w:eastAsia="黑体"/>
          <w:color w:val="auto"/>
          <w:szCs w:val="24"/>
          <w:highlight w:val="none"/>
        </w:rPr>
        <w:t>件</w:t>
      </w:r>
      <w:bookmarkEnd w:id="606"/>
      <w:bookmarkEnd w:id="607"/>
      <w:bookmarkEnd w:id="608"/>
      <w:bookmarkEnd w:id="609"/>
      <w:bookmarkEnd w:id="610"/>
      <w:bookmarkEnd w:id="611"/>
      <w:bookmarkEnd w:id="612"/>
      <w:r>
        <w:rPr>
          <w:rFonts w:ascii="Times New Roman" w:eastAsia="黑体"/>
          <w:color w:val="auto"/>
          <w:szCs w:val="24"/>
          <w:highlight w:val="none"/>
        </w:rPr>
        <w:t>6</w:t>
      </w:r>
      <w:r>
        <w:rPr>
          <w:rFonts w:hint="eastAsia" w:ascii="Times New Roman" w:eastAsia="黑体"/>
          <w:color w:val="auto"/>
          <w:szCs w:val="24"/>
          <w:highlight w:val="none"/>
        </w:rPr>
        <w:t>：承包人主要施工管理人员表</w:t>
      </w:r>
      <w:bookmarkEnd w:id="605"/>
    </w:p>
    <w:p w14:paraId="79AB893E">
      <w:pPr>
        <w:spacing w:line="360" w:lineRule="auto"/>
        <w:jc w:val="center"/>
        <w:rPr>
          <w:rFonts w:cs="宋体"/>
          <w:color w:val="auto"/>
          <w:highlight w:val="none"/>
        </w:rPr>
      </w:pPr>
      <w:r>
        <w:rPr>
          <w:rFonts w:hint="eastAsia" w:cs="宋体"/>
          <w:color w:val="auto"/>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83F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00DFF61">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5D3F6993">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0D5636DB">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1B562247">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25224D21">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FEF9089">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DA05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1A6E18">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E34C854">
            <w:pPr>
              <w:keepNext/>
              <w:spacing w:line="360" w:lineRule="auto"/>
              <w:jc w:val="center"/>
              <w:rPr>
                <w:rFonts w:cs="宋体"/>
                <w:color w:val="auto"/>
                <w:szCs w:val="21"/>
                <w:highlight w:val="none"/>
              </w:rPr>
            </w:pPr>
          </w:p>
        </w:tc>
      </w:tr>
      <w:tr w14:paraId="59C4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04AE1A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415FDBEC">
            <w:pPr>
              <w:keepNext/>
              <w:spacing w:line="360" w:lineRule="auto"/>
              <w:jc w:val="center"/>
              <w:rPr>
                <w:rFonts w:cs="宋体"/>
                <w:color w:val="auto"/>
                <w:szCs w:val="21"/>
                <w:highlight w:val="none"/>
              </w:rPr>
            </w:pPr>
          </w:p>
        </w:tc>
        <w:tc>
          <w:tcPr>
            <w:tcW w:w="502" w:type="pct"/>
            <w:tcBorders>
              <w:top w:val="nil"/>
            </w:tcBorders>
            <w:vAlign w:val="center"/>
          </w:tcPr>
          <w:p w14:paraId="24FD7573">
            <w:pPr>
              <w:keepNext/>
              <w:spacing w:line="360" w:lineRule="auto"/>
              <w:jc w:val="center"/>
              <w:rPr>
                <w:rFonts w:cs="宋体"/>
                <w:color w:val="auto"/>
                <w:szCs w:val="21"/>
                <w:highlight w:val="none"/>
              </w:rPr>
            </w:pPr>
          </w:p>
        </w:tc>
        <w:tc>
          <w:tcPr>
            <w:tcW w:w="502" w:type="pct"/>
            <w:tcBorders>
              <w:top w:val="nil"/>
            </w:tcBorders>
            <w:vAlign w:val="center"/>
          </w:tcPr>
          <w:p w14:paraId="3DC25A3E">
            <w:pPr>
              <w:keepNext/>
              <w:spacing w:line="360" w:lineRule="auto"/>
              <w:jc w:val="center"/>
              <w:rPr>
                <w:rFonts w:cs="宋体"/>
                <w:color w:val="auto"/>
                <w:szCs w:val="21"/>
                <w:highlight w:val="none"/>
              </w:rPr>
            </w:pPr>
          </w:p>
        </w:tc>
        <w:tc>
          <w:tcPr>
            <w:tcW w:w="1281" w:type="pct"/>
            <w:tcBorders>
              <w:top w:val="nil"/>
            </w:tcBorders>
            <w:vAlign w:val="center"/>
          </w:tcPr>
          <w:p w14:paraId="632C365A">
            <w:pPr>
              <w:keepNext/>
              <w:spacing w:line="360" w:lineRule="auto"/>
              <w:jc w:val="center"/>
              <w:rPr>
                <w:rFonts w:cs="宋体"/>
                <w:color w:val="auto"/>
                <w:szCs w:val="21"/>
                <w:highlight w:val="none"/>
              </w:rPr>
            </w:pPr>
          </w:p>
        </w:tc>
        <w:tc>
          <w:tcPr>
            <w:tcW w:w="1151" w:type="pct"/>
            <w:tcBorders>
              <w:top w:val="nil"/>
            </w:tcBorders>
            <w:vAlign w:val="center"/>
          </w:tcPr>
          <w:p w14:paraId="286545CD">
            <w:pPr>
              <w:keepNext/>
              <w:spacing w:line="360" w:lineRule="auto"/>
              <w:jc w:val="center"/>
              <w:rPr>
                <w:rFonts w:cs="宋体"/>
                <w:color w:val="auto"/>
                <w:szCs w:val="21"/>
                <w:highlight w:val="none"/>
              </w:rPr>
            </w:pPr>
          </w:p>
        </w:tc>
      </w:tr>
      <w:tr w14:paraId="04AC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6D89E3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07C5BAA5">
            <w:pPr>
              <w:keepNext/>
              <w:spacing w:line="360" w:lineRule="auto"/>
              <w:jc w:val="center"/>
              <w:rPr>
                <w:rFonts w:cs="宋体"/>
                <w:color w:val="auto"/>
                <w:szCs w:val="21"/>
                <w:highlight w:val="none"/>
              </w:rPr>
            </w:pPr>
          </w:p>
        </w:tc>
        <w:tc>
          <w:tcPr>
            <w:tcW w:w="502" w:type="pct"/>
            <w:vAlign w:val="center"/>
          </w:tcPr>
          <w:p w14:paraId="262D8C9C">
            <w:pPr>
              <w:keepNext/>
              <w:spacing w:line="360" w:lineRule="auto"/>
              <w:jc w:val="center"/>
              <w:rPr>
                <w:rFonts w:cs="宋体"/>
                <w:color w:val="auto"/>
                <w:szCs w:val="21"/>
                <w:highlight w:val="none"/>
              </w:rPr>
            </w:pPr>
          </w:p>
        </w:tc>
        <w:tc>
          <w:tcPr>
            <w:tcW w:w="502" w:type="pct"/>
            <w:vAlign w:val="center"/>
          </w:tcPr>
          <w:p w14:paraId="4DAA18D0">
            <w:pPr>
              <w:keepNext/>
              <w:spacing w:line="360" w:lineRule="auto"/>
              <w:jc w:val="center"/>
              <w:rPr>
                <w:rFonts w:cs="宋体"/>
                <w:color w:val="auto"/>
                <w:szCs w:val="21"/>
                <w:highlight w:val="none"/>
              </w:rPr>
            </w:pPr>
          </w:p>
        </w:tc>
        <w:tc>
          <w:tcPr>
            <w:tcW w:w="1281" w:type="pct"/>
            <w:vAlign w:val="center"/>
          </w:tcPr>
          <w:p w14:paraId="2EC2FE8C">
            <w:pPr>
              <w:keepNext/>
              <w:spacing w:line="360" w:lineRule="auto"/>
              <w:jc w:val="center"/>
              <w:rPr>
                <w:rFonts w:cs="宋体"/>
                <w:color w:val="auto"/>
                <w:szCs w:val="21"/>
                <w:highlight w:val="none"/>
              </w:rPr>
            </w:pPr>
          </w:p>
        </w:tc>
        <w:tc>
          <w:tcPr>
            <w:tcW w:w="1151" w:type="pct"/>
            <w:vAlign w:val="center"/>
          </w:tcPr>
          <w:p w14:paraId="5CD64D0C">
            <w:pPr>
              <w:keepNext/>
              <w:spacing w:line="360" w:lineRule="auto"/>
              <w:jc w:val="center"/>
              <w:rPr>
                <w:rFonts w:cs="宋体"/>
                <w:color w:val="auto"/>
                <w:szCs w:val="21"/>
                <w:highlight w:val="none"/>
              </w:rPr>
            </w:pPr>
          </w:p>
        </w:tc>
      </w:tr>
      <w:tr w14:paraId="19BF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11432A">
            <w:pPr>
              <w:spacing w:line="360" w:lineRule="auto"/>
              <w:jc w:val="center"/>
              <w:rPr>
                <w:rFonts w:cs="宋体"/>
                <w:color w:val="auto"/>
                <w:szCs w:val="21"/>
                <w:highlight w:val="none"/>
              </w:rPr>
            </w:pPr>
          </w:p>
        </w:tc>
        <w:tc>
          <w:tcPr>
            <w:tcW w:w="627" w:type="pct"/>
            <w:vAlign w:val="center"/>
          </w:tcPr>
          <w:p w14:paraId="06A27F2F">
            <w:pPr>
              <w:keepNext/>
              <w:spacing w:line="360" w:lineRule="auto"/>
              <w:jc w:val="center"/>
              <w:rPr>
                <w:rFonts w:cs="宋体"/>
                <w:color w:val="auto"/>
                <w:szCs w:val="21"/>
                <w:highlight w:val="none"/>
              </w:rPr>
            </w:pPr>
          </w:p>
        </w:tc>
        <w:tc>
          <w:tcPr>
            <w:tcW w:w="502" w:type="pct"/>
            <w:vAlign w:val="center"/>
          </w:tcPr>
          <w:p w14:paraId="41605F13">
            <w:pPr>
              <w:keepNext/>
              <w:spacing w:line="360" w:lineRule="auto"/>
              <w:jc w:val="center"/>
              <w:rPr>
                <w:rFonts w:cs="宋体"/>
                <w:color w:val="auto"/>
                <w:szCs w:val="21"/>
                <w:highlight w:val="none"/>
              </w:rPr>
            </w:pPr>
          </w:p>
        </w:tc>
        <w:tc>
          <w:tcPr>
            <w:tcW w:w="502" w:type="pct"/>
            <w:vAlign w:val="center"/>
          </w:tcPr>
          <w:p w14:paraId="7D389C02">
            <w:pPr>
              <w:keepNext/>
              <w:spacing w:line="360" w:lineRule="auto"/>
              <w:jc w:val="center"/>
              <w:rPr>
                <w:rFonts w:cs="宋体"/>
                <w:color w:val="auto"/>
                <w:szCs w:val="21"/>
                <w:highlight w:val="none"/>
              </w:rPr>
            </w:pPr>
          </w:p>
        </w:tc>
        <w:tc>
          <w:tcPr>
            <w:tcW w:w="1281" w:type="pct"/>
            <w:vAlign w:val="center"/>
          </w:tcPr>
          <w:p w14:paraId="4C85C54E">
            <w:pPr>
              <w:keepNext/>
              <w:spacing w:line="360" w:lineRule="auto"/>
              <w:jc w:val="center"/>
              <w:rPr>
                <w:rFonts w:cs="宋体"/>
                <w:color w:val="auto"/>
                <w:szCs w:val="21"/>
                <w:highlight w:val="none"/>
              </w:rPr>
            </w:pPr>
          </w:p>
        </w:tc>
        <w:tc>
          <w:tcPr>
            <w:tcW w:w="1151" w:type="pct"/>
            <w:vAlign w:val="center"/>
          </w:tcPr>
          <w:p w14:paraId="53824455">
            <w:pPr>
              <w:keepNext/>
              <w:spacing w:line="360" w:lineRule="auto"/>
              <w:jc w:val="center"/>
              <w:rPr>
                <w:rFonts w:cs="宋体"/>
                <w:color w:val="auto"/>
                <w:szCs w:val="21"/>
                <w:highlight w:val="none"/>
              </w:rPr>
            </w:pPr>
          </w:p>
        </w:tc>
      </w:tr>
      <w:tr w14:paraId="3F055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9A11480">
            <w:pPr>
              <w:spacing w:line="360" w:lineRule="auto"/>
              <w:jc w:val="center"/>
              <w:rPr>
                <w:rFonts w:cs="宋体"/>
                <w:color w:val="auto"/>
                <w:szCs w:val="21"/>
                <w:highlight w:val="none"/>
              </w:rPr>
            </w:pPr>
          </w:p>
        </w:tc>
        <w:tc>
          <w:tcPr>
            <w:tcW w:w="627" w:type="pct"/>
            <w:vAlign w:val="center"/>
          </w:tcPr>
          <w:p w14:paraId="0E212A0B">
            <w:pPr>
              <w:keepNext/>
              <w:spacing w:line="360" w:lineRule="auto"/>
              <w:jc w:val="center"/>
              <w:rPr>
                <w:rFonts w:cs="宋体"/>
                <w:color w:val="auto"/>
                <w:szCs w:val="21"/>
                <w:highlight w:val="none"/>
              </w:rPr>
            </w:pPr>
          </w:p>
        </w:tc>
        <w:tc>
          <w:tcPr>
            <w:tcW w:w="502" w:type="pct"/>
            <w:vAlign w:val="center"/>
          </w:tcPr>
          <w:p w14:paraId="0F7451B6">
            <w:pPr>
              <w:keepNext/>
              <w:spacing w:line="360" w:lineRule="auto"/>
              <w:jc w:val="center"/>
              <w:rPr>
                <w:rFonts w:cs="宋体"/>
                <w:color w:val="auto"/>
                <w:szCs w:val="21"/>
                <w:highlight w:val="none"/>
              </w:rPr>
            </w:pPr>
          </w:p>
        </w:tc>
        <w:tc>
          <w:tcPr>
            <w:tcW w:w="502" w:type="pct"/>
            <w:vAlign w:val="center"/>
          </w:tcPr>
          <w:p w14:paraId="1392C4E7">
            <w:pPr>
              <w:keepNext/>
              <w:spacing w:line="360" w:lineRule="auto"/>
              <w:jc w:val="center"/>
              <w:rPr>
                <w:rFonts w:cs="宋体"/>
                <w:color w:val="auto"/>
                <w:szCs w:val="21"/>
                <w:highlight w:val="none"/>
              </w:rPr>
            </w:pPr>
          </w:p>
        </w:tc>
        <w:tc>
          <w:tcPr>
            <w:tcW w:w="1281" w:type="pct"/>
            <w:vAlign w:val="center"/>
          </w:tcPr>
          <w:p w14:paraId="5B4A9073">
            <w:pPr>
              <w:keepNext/>
              <w:spacing w:line="360" w:lineRule="auto"/>
              <w:jc w:val="center"/>
              <w:rPr>
                <w:rFonts w:cs="宋体"/>
                <w:color w:val="auto"/>
                <w:szCs w:val="21"/>
                <w:highlight w:val="none"/>
              </w:rPr>
            </w:pPr>
          </w:p>
        </w:tc>
        <w:tc>
          <w:tcPr>
            <w:tcW w:w="1151" w:type="pct"/>
            <w:vAlign w:val="center"/>
          </w:tcPr>
          <w:p w14:paraId="2E85CDB1">
            <w:pPr>
              <w:keepNext/>
              <w:spacing w:line="360" w:lineRule="auto"/>
              <w:jc w:val="center"/>
              <w:rPr>
                <w:rFonts w:cs="宋体"/>
                <w:color w:val="auto"/>
                <w:szCs w:val="21"/>
                <w:highlight w:val="none"/>
              </w:rPr>
            </w:pPr>
          </w:p>
        </w:tc>
      </w:tr>
      <w:tr w14:paraId="44465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5CC70AC5">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5AE934D">
            <w:pPr>
              <w:keepNext/>
              <w:spacing w:line="360" w:lineRule="auto"/>
              <w:jc w:val="center"/>
              <w:rPr>
                <w:rFonts w:cs="宋体"/>
                <w:color w:val="auto"/>
                <w:szCs w:val="21"/>
                <w:highlight w:val="none"/>
              </w:rPr>
            </w:pPr>
          </w:p>
        </w:tc>
      </w:tr>
      <w:tr w14:paraId="273AB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227C449">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5D77DC6D">
            <w:pPr>
              <w:keepNext/>
              <w:spacing w:line="360" w:lineRule="auto"/>
              <w:jc w:val="center"/>
              <w:rPr>
                <w:rFonts w:cs="宋体"/>
                <w:color w:val="auto"/>
                <w:szCs w:val="21"/>
                <w:highlight w:val="none"/>
              </w:rPr>
            </w:pPr>
          </w:p>
        </w:tc>
        <w:tc>
          <w:tcPr>
            <w:tcW w:w="502" w:type="pct"/>
            <w:vAlign w:val="center"/>
          </w:tcPr>
          <w:p w14:paraId="4881413C">
            <w:pPr>
              <w:keepNext/>
              <w:spacing w:line="360" w:lineRule="auto"/>
              <w:jc w:val="center"/>
              <w:rPr>
                <w:rFonts w:cs="宋体"/>
                <w:color w:val="auto"/>
                <w:szCs w:val="21"/>
                <w:highlight w:val="none"/>
              </w:rPr>
            </w:pPr>
          </w:p>
        </w:tc>
        <w:tc>
          <w:tcPr>
            <w:tcW w:w="502" w:type="pct"/>
            <w:vAlign w:val="center"/>
          </w:tcPr>
          <w:p w14:paraId="25CA5AAB">
            <w:pPr>
              <w:keepNext/>
              <w:spacing w:line="360" w:lineRule="auto"/>
              <w:jc w:val="center"/>
              <w:rPr>
                <w:rFonts w:cs="宋体"/>
                <w:color w:val="auto"/>
                <w:szCs w:val="21"/>
                <w:highlight w:val="none"/>
              </w:rPr>
            </w:pPr>
          </w:p>
        </w:tc>
        <w:tc>
          <w:tcPr>
            <w:tcW w:w="1281" w:type="pct"/>
            <w:vAlign w:val="center"/>
          </w:tcPr>
          <w:p w14:paraId="07FA62B0">
            <w:pPr>
              <w:keepNext/>
              <w:spacing w:line="360" w:lineRule="auto"/>
              <w:jc w:val="center"/>
              <w:rPr>
                <w:rFonts w:cs="宋体"/>
                <w:color w:val="auto"/>
                <w:szCs w:val="21"/>
                <w:highlight w:val="none"/>
              </w:rPr>
            </w:pPr>
          </w:p>
        </w:tc>
        <w:tc>
          <w:tcPr>
            <w:tcW w:w="1151" w:type="pct"/>
            <w:vAlign w:val="center"/>
          </w:tcPr>
          <w:p w14:paraId="1A7C41CC">
            <w:pPr>
              <w:keepNext/>
              <w:spacing w:line="360" w:lineRule="auto"/>
              <w:jc w:val="center"/>
              <w:rPr>
                <w:rFonts w:cs="宋体"/>
                <w:color w:val="auto"/>
                <w:szCs w:val="21"/>
                <w:highlight w:val="none"/>
              </w:rPr>
            </w:pPr>
          </w:p>
        </w:tc>
      </w:tr>
      <w:tr w14:paraId="19E8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4592846">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423C73EB">
            <w:pPr>
              <w:keepNext/>
              <w:spacing w:line="360" w:lineRule="auto"/>
              <w:jc w:val="center"/>
              <w:rPr>
                <w:rFonts w:cs="宋体"/>
                <w:color w:val="auto"/>
                <w:szCs w:val="21"/>
                <w:highlight w:val="none"/>
              </w:rPr>
            </w:pPr>
          </w:p>
        </w:tc>
        <w:tc>
          <w:tcPr>
            <w:tcW w:w="502" w:type="pct"/>
            <w:vAlign w:val="center"/>
          </w:tcPr>
          <w:p w14:paraId="04A6CB2B">
            <w:pPr>
              <w:keepNext/>
              <w:spacing w:line="360" w:lineRule="auto"/>
              <w:jc w:val="center"/>
              <w:rPr>
                <w:rFonts w:cs="宋体"/>
                <w:color w:val="auto"/>
                <w:szCs w:val="21"/>
                <w:highlight w:val="none"/>
              </w:rPr>
            </w:pPr>
          </w:p>
        </w:tc>
        <w:tc>
          <w:tcPr>
            <w:tcW w:w="502" w:type="pct"/>
            <w:vAlign w:val="center"/>
          </w:tcPr>
          <w:p w14:paraId="6F90FD94">
            <w:pPr>
              <w:keepNext/>
              <w:spacing w:line="360" w:lineRule="auto"/>
              <w:jc w:val="center"/>
              <w:rPr>
                <w:rFonts w:cs="宋体"/>
                <w:color w:val="auto"/>
                <w:szCs w:val="21"/>
                <w:highlight w:val="none"/>
              </w:rPr>
            </w:pPr>
          </w:p>
        </w:tc>
        <w:tc>
          <w:tcPr>
            <w:tcW w:w="1281" w:type="pct"/>
            <w:vAlign w:val="center"/>
          </w:tcPr>
          <w:p w14:paraId="6FB8AFA5">
            <w:pPr>
              <w:keepNext/>
              <w:spacing w:line="360" w:lineRule="auto"/>
              <w:jc w:val="center"/>
              <w:rPr>
                <w:rFonts w:cs="宋体"/>
                <w:color w:val="auto"/>
                <w:szCs w:val="21"/>
                <w:highlight w:val="none"/>
              </w:rPr>
            </w:pPr>
          </w:p>
        </w:tc>
        <w:tc>
          <w:tcPr>
            <w:tcW w:w="1151" w:type="pct"/>
            <w:vAlign w:val="center"/>
          </w:tcPr>
          <w:p w14:paraId="65604C77">
            <w:pPr>
              <w:keepNext/>
              <w:spacing w:line="360" w:lineRule="auto"/>
              <w:jc w:val="center"/>
              <w:rPr>
                <w:rFonts w:cs="宋体"/>
                <w:color w:val="auto"/>
                <w:szCs w:val="21"/>
                <w:highlight w:val="none"/>
              </w:rPr>
            </w:pPr>
          </w:p>
        </w:tc>
      </w:tr>
      <w:tr w14:paraId="45267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A92EF0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322EE4BD">
            <w:pPr>
              <w:keepNext/>
              <w:spacing w:line="360" w:lineRule="auto"/>
              <w:jc w:val="center"/>
              <w:rPr>
                <w:rFonts w:cs="宋体"/>
                <w:color w:val="auto"/>
                <w:szCs w:val="21"/>
                <w:highlight w:val="none"/>
              </w:rPr>
            </w:pPr>
          </w:p>
        </w:tc>
        <w:tc>
          <w:tcPr>
            <w:tcW w:w="502" w:type="pct"/>
            <w:vAlign w:val="center"/>
          </w:tcPr>
          <w:p w14:paraId="3CA4E195">
            <w:pPr>
              <w:keepNext/>
              <w:spacing w:line="360" w:lineRule="auto"/>
              <w:jc w:val="center"/>
              <w:rPr>
                <w:rFonts w:cs="宋体"/>
                <w:color w:val="auto"/>
                <w:szCs w:val="21"/>
                <w:highlight w:val="none"/>
              </w:rPr>
            </w:pPr>
          </w:p>
        </w:tc>
        <w:tc>
          <w:tcPr>
            <w:tcW w:w="502" w:type="pct"/>
            <w:vAlign w:val="center"/>
          </w:tcPr>
          <w:p w14:paraId="5428547F">
            <w:pPr>
              <w:keepNext/>
              <w:spacing w:line="360" w:lineRule="auto"/>
              <w:jc w:val="center"/>
              <w:rPr>
                <w:rFonts w:cs="宋体"/>
                <w:color w:val="auto"/>
                <w:szCs w:val="21"/>
                <w:highlight w:val="none"/>
              </w:rPr>
            </w:pPr>
          </w:p>
        </w:tc>
        <w:tc>
          <w:tcPr>
            <w:tcW w:w="1281" w:type="pct"/>
            <w:vAlign w:val="center"/>
          </w:tcPr>
          <w:p w14:paraId="7524DB89">
            <w:pPr>
              <w:keepNext/>
              <w:spacing w:line="360" w:lineRule="auto"/>
              <w:jc w:val="center"/>
              <w:rPr>
                <w:rFonts w:cs="宋体"/>
                <w:color w:val="auto"/>
                <w:szCs w:val="21"/>
                <w:highlight w:val="none"/>
              </w:rPr>
            </w:pPr>
          </w:p>
        </w:tc>
        <w:tc>
          <w:tcPr>
            <w:tcW w:w="1151" w:type="pct"/>
            <w:vAlign w:val="center"/>
          </w:tcPr>
          <w:p w14:paraId="27C32C92">
            <w:pPr>
              <w:keepNext/>
              <w:spacing w:line="360" w:lineRule="auto"/>
              <w:jc w:val="center"/>
              <w:rPr>
                <w:rFonts w:cs="宋体"/>
                <w:color w:val="auto"/>
                <w:szCs w:val="21"/>
                <w:highlight w:val="none"/>
              </w:rPr>
            </w:pPr>
          </w:p>
        </w:tc>
      </w:tr>
      <w:tr w14:paraId="6209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B5CA5DE">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BE6B18">
            <w:pPr>
              <w:keepNext/>
              <w:spacing w:line="360" w:lineRule="auto"/>
              <w:jc w:val="center"/>
              <w:rPr>
                <w:rFonts w:cs="宋体"/>
                <w:color w:val="auto"/>
                <w:szCs w:val="21"/>
                <w:highlight w:val="none"/>
              </w:rPr>
            </w:pPr>
          </w:p>
        </w:tc>
        <w:tc>
          <w:tcPr>
            <w:tcW w:w="502" w:type="pct"/>
            <w:vAlign w:val="center"/>
          </w:tcPr>
          <w:p w14:paraId="0A766F2A">
            <w:pPr>
              <w:keepNext/>
              <w:spacing w:line="360" w:lineRule="auto"/>
              <w:jc w:val="center"/>
              <w:rPr>
                <w:rFonts w:cs="宋体"/>
                <w:color w:val="auto"/>
                <w:szCs w:val="21"/>
                <w:highlight w:val="none"/>
              </w:rPr>
            </w:pPr>
          </w:p>
        </w:tc>
        <w:tc>
          <w:tcPr>
            <w:tcW w:w="502" w:type="pct"/>
            <w:vAlign w:val="center"/>
          </w:tcPr>
          <w:p w14:paraId="0A180FAA">
            <w:pPr>
              <w:keepNext/>
              <w:spacing w:line="360" w:lineRule="auto"/>
              <w:jc w:val="center"/>
              <w:rPr>
                <w:rFonts w:cs="宋体"/>
                <w:color w:val="auto"/>
                <w:szCs w:val="21"/>
                <w:highlight w:val="none"/>
              </w:rPr>
            </w:pPr>
          </w:p>
        </w:tc>
        <w:tc>
          <w:tcPr>
            <w:tcW w:w="1281" w:type="pct"/>
            <w:vAlign w:val="center"/>
          </w:tcPr>
          <w:p w14:paraId="36E1B89F">
            <w:pPr>
              <w:keepNext/>
              <w:spacing w:line="360" w:lineRule="auto"/>
              <w:jc w:val="center"/>
              <w:rPr>
                <w:rFonts w:cs="宋体"/>
                <w:color w:val="auto"/>
                <w:szCs w:val="21"/>
                <w:highlight w:val="none"/>
              </w:rPr>
            </w:pPr>
          </w:p>
        </w:tc>
        <w:tc>
          <w:tcPr>
            <w:tcW w:w="1151" w:type="pct"/>
            <w:vAlign w:val="center"/>
          </w:tcPr>
          <w:p w14:paraId="3B05EF8B">
            <w:pPr>
              <w:keepNext/>
              <w:spacing w:line="360" w:lineRule="auto"/>
              <w:jc w:val="center"/>
              <w:rPr>
                <w:rFonts w:cs="宋体"/>
                <w:color w:val="auto"/>
                <w:szCs w:val="21"/>
                <w:highlight w:val="none"/>
              </w:rPr>
            </w:pPr>
          </w:p>
        </w:tc>
      </w:tr>
      <w:tr w14:paraId="288F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142BED2">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7B74755E">
            <w:pPr>
              <w:keepNext/>
              <w:spacing w:line="360" w:lineRule="auto"/>
              <w:jc w:val="center"/>
              <w:rPr>
                <w:rFonts w:cs="宋体"/>
                <w:color w:val="auto"/>
                <w:szCs w:val="21"/>
                <w:highlight w:val="none"/>
              </w:rPr>
            </w:pPr>
          </w:p>
        </w:tc>
        <w:tc>
          <w:tcPr>
            <w:tcW w:w="502" w:type="pct"/>
            <w:vAlign w:val="center"/>
          </w:tcPr>
          <w:p w14:paraId="7D795308">
            <w:pPr>
              <w:keepNext/>
              <w:spacing w:line="360" w:lineRule="auto"/>
              <w:jc w:val="center"/>
              <w:rPr>
                <w:rFonts w:cs="宋体"/>
                <w:color w:val="auto"/>
                <w:szCs w:val="21"/>
                <w:highlight w:val="none"/>
              </w:rPr>
            </w:pPr>
          </w:p>
        </w:tc>
        <w:tc>
          <w:tcPr>
            <w:tcW w:w="502" w:type="pct"/>
            <w:vAlign w:val="center"/>
          </w:tcPr>
          <w:p w14:paraId="7D1303BB">
            <w:pPr>
              <w:keepNext/>
              <w:spacing w:line="360" w:lineRule="auto"/>
              <w:jc w:val="center"/>
              <w:rPr>
                <w:rFonts w:cs="宋体"/>
                <w:color w:val="auto"/>
                <w:szCs w:val="21"/>
                <w:highlight w:val="none"/>
              </w:rPr>
            </w:pPr>
          </w:p>
        </w:tc>
        <w:tc>
          <w:tcPr>
            <w:tcW w:w="1281" w:type="pct"/>
            <w:vAlign w:val="center"/>
          </w:tcPr>
          <w:p w14:paraId="6CCC700D">
            <w:pPr>
              <w:keepNext/>
              <w:spacing w:line="360" w:lineRule="auto"/>
              <w:jc w:val="center"/>
              <w:rPr>
                <w:rFonts w:cs="宋体"/>
                <w:color w:val="auto"/>
                <w:szCs w:val="21"/>
                <w:highlight w:val="none"/>
              </w:rPr>
            </w:pPr>
          </w:p>
        </w:tc>
        <w:tc>
          <w:tcPr>
            <w:tcW w:w="1151" w:type="pct"/>
            <w:vAlign w:val="center"/>
          </w:tcPr>
          <w:p w14:paraId="613EBCFB">
            <w:pPr>
              <w:keepNext/>
              <w:spacing w:line="360" w:lineRule="auto"/>
              <w:jc w:val="center"/>
              <w:rPr>
                <w:rFonts w:cs="宋体"/>
                <w:color w:val="auto"/>
                <w:szCs w:val="21"/>
                <w:highlight w:val="none"/>
              </w:rPr>
            </w:pPr>
          </w:p>
        </w:tc>
      </w:tr>
      <w:tr w14:paraId="7076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DB222B8">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79AF9251">
            <w:pPr>
              <w:keepNext/>
              <w:spacing w:line="360" w:lineRule="auto"/>
              <w:jc w:val="center"/>
              <w:rPr>
                <w:rFonts w:cs="宋体"/>
                <w:color w:val="auto"/>
                <w:szCs w:val="21"/>
                <w:highlight w:val="none"/>
              </w:rPr>
            </w:pPr>
          </w:p>
        </w:tc>
        <w:tc>
          <w:tcPr>
            <w:tcW w:w="502" w:type="pct"/>
            <w:vAlign w:val="center"/>
          </w:tcPr>
          <w:p w14:paraId="1E2DFFC1">
            <w:pPr>
              <w:keepNext/>
              <w:spacing w:line="360" w:lineRule="auto"/>
              <w:jc w:val="center"/>
              <w:rPr>
                <w:rFonts w:cs="宋体"/>
                <w:color w:val="auto"/>
                <w:szCs w:val="21"/>
                <w:highlight w:val="none"/>
              </w:rPr>
            </w:pPr>
          </w:p>
        </w:tc>
        <w:tc>
          <w:tcPr>
            <w:tcW w:w="502" w:type="pct"/>
            <w:vAlign w:val="center"/>
          </w:tcPr>
          <w:p w14:paraId="6076DD47">
            <w:pPr>
              <w:keepNext/>
              <w:spacing w:line="360" w:lineRule="auto"/>
              <w:jc w:val="center"/>
              <w:rPr>
                <w:rFonts w:cs="宋体"/>
                <w:color w:val="auto"/>
                <w:szCs w:val="21"/>
                <w:highlight w:val="none"/>
              </w:rPr>
            </w:pPr>
          </w:p>
        </w:tc>
        <w:tc>
          <w:tcPr>
            <w:tcW w:w="1281" w:type="pct"/>
            <w:vAlign w:val="center"/>
          </w:tcPr>
          <w:p w14:paraId="1EA5DF51">
            <w:pPr>
              <w:keepNext/>
              <w:spacing w:line="360" w:lineRule="auto"/>
              <w:jc w:val="center"/>
              <w:rPr>
                <w:rFonts w:cs="宋体"/>
                <w:color w:val="auto"/>
                <w:szCs w:val="21"/>
                <w:highlight w:val="none"/>
              </w:rPr>
            </w:pPr>
          </w:p>
        </w:tc>
        <w:tc>
          <w:tcPr>
            <w:tcW w:w="1151" w:type="pct"/>
            <w:vAlign w:val="center"/>
          </w:tcPr>
          <w:p w14:paraId="41ED79A6">
            <w:pPr>
              <w:keepNext/>
              <w:spacing w:line="360" w:lineRule="auto"/>
              <w:jc w:val="center"/>
              <w:rPr>
                <w:rFonts w:cs="宋体"/>
                <w:color w:val="auto"/>
                <w:szCs w:val="21"/>
                <w:highlight w:val="none"/>
              </w:rPr>
            </w:pPr>
          </w:p>
        </w:tc>
      </w:tr>
      <w:tr w14:paraId="60705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E59231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35574179">
            <w:pPr>
              <w:keepNext/>
              <w:spacing w:line="360" w:lineRule="auto"/>
              <w:jc w:val="center"/>
              <w:rPr>
                <w:rFonts w:cs="宋体"/>
                <w:color w:val="auto"/>
                <w:szCs w:val="21"/>
                <w:highlight w:val="none"/>
              </w:rPr>
            </w:pPr>
          </w:p>
        </w:tc>
        <w:tc>
          <w:tcPr>
            <w:tcW w:w="502" w:type="pct"/>
            <w:vAlign w:val="center"/>
          </w:tcPr>
          <w:p w14:paraId="45AFAE91">
            <w:pPr>
              <w:keepNext/>
              <w:spacing w:line="360" w:lineRule="auto"/>
              <w:jc w:val="center"/>
              <w:rPr>
                <w:rFonts w:cs="宋体"/>
                <w:color w:val="auto"/>
                <w:szCs w:val="21"/>
                <w:highlight w:val="none"/>
              </w:rPr>
            </w:pPr>
          </w:p>
        </w:tc>
        <w:tc>
          <w:tcPr>
            <w:tcW w:w="502" w:type="pct"/>
            <w:vAlign w:val="center"/>
          </w:tcPr>
          <w:p w14:paraId="3604F53E">
            <w:pPr>
              <w:keepNext/>
              <w:spacing w:line="360" w:lineRule="auto"/>
              <w:jc w:val="center"/>
              <w:rPr>
                <w:rFonts w:cs="宋体"/>
                <w:color w:val="auto"/>
                <w:szCs w:val="21"/>
                <w:highlight w:val="none"/>
              </w:rPr>
            </w:pPr>
          </w:p>
        </w:tc>
        <w:tc>
          <w:tcPr>
            <w:tcW w:w="1281" w:type="pct"/>
            <w:vAlign w:val="center"/>
          </w:tcPr>
          <w:p w14:paraId="35955662">
            <w:pPr>
              <w:keepNext/>
              <w:spacing w:line="360" w:lineRule="auto"/>
              <w:jc w:val="center"/>
              <w:rPr>
                <w:rFonts w:cs="宋体"/>
                <w:color w:val="auto"/>
                <w:szCs w:val="21"/>
                <w:highlight w:val="none"/>
              </w:rPr>
            </w:pPr>
          </w:p>
        </w:tc>
        <w:tc>
          <w:tcPr>
            <w:tcW w:w="1151" w:type="pct"/>
            <w:vAlign w:val="center"/>
          </w:tcPr>
          <w:p w14:paraId="6CCD08A8">
            <w:pPr>
              <w:keepNext/>
              <w:spacing w:line="360" w:lineRule="auto"/>
              <w:jc w:val="center"/>
              <w:rPr>
                <w:rFonts w:cs="宋体"/>
                <w:color w:val="auto"/>
                <w:szCs w:val="21"/>
                <w:highlight w:val="none"/>
              </w:rPr>
            </w:pPr>
          </w:p>
        </w:tc>
      </w:tr>
      <w:tr w14:paraId="509D5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0AA24CF">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B98EEB2">
            <w:pPr>
              <w:keepNext/>
              <w:spacing w:line="360" w:lineRule="auto"/>
              <w:jc w:val="center"/>
              <w:rPr>
                <w:rFonts w:cs="宋体"/>
                <w:color w:val="auto"/>
                <w:szCs w:val="21"/>
                <w:highlight w:val="none"/>
              </w:rPr>
            </w:pPr>
          </w:p>
        </w:tc>
        <w:tc>
          <w:tcPr>
            <w:tcW w:w="502" w:type="pct"/>
            <w:vAlign w:val="center"/>
          </w:tcPr>
          <w:p w14:paraId="35E9D66C">
            <w:pPr>
              <w:keepNext/>
              <w:spacing w:line="360" w:lineRule="auto"/>
              <w:jc w:val="center"/>
              <w:rPr>
                <w:rFonts w:cs="宋体"/>
                <w:color w:val="auto"/>
                <w:szCs w:val="21"/>
                <w:highlight w:val="none"/>
              </w:rPr>
            </w:pPr>
          </w:p>
        </w:tc>
        <w:tc>
          <w:tcPr>
            <w:tcW w:w="502" w:type="pct"/>
            <w:vAlign w:val="center"/>
          </w:tcPr>
          <w:p w14:paraId="7312B941">
            <w:pPr>
              <w:keepNext/>
              <w:spacing w:line="360" w:lineRule="auto"/>
              <w:jc w:val="center"/>
              <w:rPr>
                <w:rFonts w:cs="宋体"/>
                <w:color w:val="auto"/>
                <w:szCs w:val="21"/>
                <w:highlight w:val="none"/>
              </w:rPr>
            </w:pPr>
          </w:p>
        </w:tc>
        <w:tc>
          <w:tcPr>
            <w:tcW w:w="1281" w:type="pct"/>
            <w:vAlign w:val="center"/>
          </w:tcPr>
          <w:p w14:paraId="03A8B7F0">
            <w:pPr>
              <w:keepNext/>
              <w:spacing w:line="360" w:lineRule="auto"/>
              <w:jc w:val="center"/>
              <w:rPr>
                <w:rFonts w:cs="宋体"/>
                <w:color w:val="auto"/>
                <w:szCs w:val="21"/>
                <w:highlight w:val="none"/>
              </w:rPr>
            </w:pPr>
          </w:p>
        </w:tc>
        <w:tc>
          <w:tcPr>
            <w:tcW w:w="1151" w:type="pct"/>
            <w:vAlign w:val="center"/>
          </w:tcPr>
          <w:p w14:paraId="6CE5BF49">
            <w:pPr>
              <w:keepNext/>
              <w:spacing w:line="360" w:lineRule="auto"/>
              <w:jc w:val="center"/>
              <w:rPr>
                <w:rFonts w:cs="宋体"/>
                <w:color w:val="auto"/>
                <w:szCs w:val="21"/>
                <w:highlight w:val="none"/>
              </w:rPr>
            </w:pPr>
          </w:p>
        </w:tc>
      </w:tr>
      <w:tr w14:paraId="7196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B61CBA8">
            <w:pPr>
              <w:keepNext/>
              <w:spacing w:line="360" w:lineRule="auto"/>
              <w:jc w:val="center"/>
              <w:rPr>
                <w:rFonts w:cs="宋体"/>
                <w:color w:val="auto"/>
                <w:szCs w:val="21"/>
                <w:highlight w:val="none"/>
              </w:rPr>
            </w:pPr>
          </w:p>
        </w:tc>
        <w:tc>
          <w:tcPr>
            <w:tcW w:w="627" w:type="pct"/>
            <w:tcBorders>
              <w:bottom w:val="nil"/>
            </w:tcBorders>
            <w:vAlign w:val="center"/>
          </w:tcPr>
          <w:p w14:paraId="629B064A">
            <w:pPr>
              <w:keepNext/>
              <w:spacing w:line="360" w:lineRule="auto"/>
              <w:jc w:val="center"/>
              <w:rPr>
                <w:rFonts w:cs="宋体"/>
                <w:color w:val="auto"/>
                <w:szCs w:val="21"/>
                <w:highlight w:val="none"/>
              </w:rPr>
            </w:pPr>
          </w:p>
        </w:tc>
        <w:tc>
          <w:tcPr>
            <w:tcW w:w="502" w:type="pct"/>
            <w:tcBorders>
              <w:bottom w:val="nil"/>
            </w:tcBorders>
            <w:vAlign w:val="center"/>
          </w:tcPr>
          <w:p w14:paraId="55D3C76B">
            <w:pPr>
              <w:keepNext/>
              <w:spacing w:line="360" w:lineRule="auto"/>
              <w:jc w:val="center"/>
              <w:rPr>
                <w:rFonts w:cs="宋体"/>
                <w:color w:val="auto"/>
                <w:szCs w:val="21"/>
                <w:highlight w:val="none"/>
              </w:rPr>
            </w:pPr>
          </w:p>
        </w:tc>
        <w:tc>
          <w:tcPr>
            <w:tcW w:w="502" w:type="pct"/>
            <w:tcBorders>
              <w:bottom w:val="nil"/>
            </w:tcBorders>
            <w:vAlign w:val="center"/>
          </w:tcPr>
          <w:p w14:paraId="4306AEBD">
            <w:pPr>
              <w:keepNext/>
              <w:spacing w:line="360" w:lineRule="auto"/>
              <w:jc w:val="center"/>
              <w:rPr>
                <w:rFonts w:cs="宋体"/>
                <w:color w:val="auto"/>
                <w:szCs w:val="21"/>
                <w:highlight w:val="none"/>
              </w:rPr>
            </w:pPr>
          </w:p>
        </w:tc>
        <w:tc>
          <w:tcPr>
            <w:tcW w:w="1281" w:type="pct"/>
            <w:tcBorders>
              <w:bottom w:val="nil"/>
            </w:tcBorders>
            <w:vAlign w:val="center"/>
          </w:tcPr>
          <w:p w14:paraId="4A5C92BE">
            <w:pPr>
              <w:keepNext/>
              <w:spacing w:line="360" w:lineRule="auto"/>
              <w:jc w:val="center"/>
              <w:rPr>
                <w:rFonts w:cs="宋体"/>
                <w:color w:val="auto"/>
                <w:szCs w:val="21"/>
                <w:highlight w:val="none"/>
              </w:rPr>
            </w:pPr>
          </w:p>
        </w:tc>
        <w:tc>
          <w:tcPr>
            <w:tcW w:w="1151" w:type="pct"/>
            <w:tcBorders>
              <w:bottom w:val="nil"/>
            </w:tcBorders>
            <w:vAlign w:val="center"/>
          </w:tcPr>
          <w:p w14:paraId="6CFFC2A2">
            <w:pPr>
              <w:keepNext/>
              <w:spacing w:line="360" w:lineRule="auto"/>
              <w:jc w:val="center"/>
              <w:rPr>
                <w:rFonts w:cs="宋体"/>
                <w:color w:val="auto"/>
                <w:szCs w:val="21"/>
                <w:highlight w:val="none"/>
              </w:rPr>
            </w:pPr>
          </w:p>
        </w:tc>
      </w:tr>
      <w:tr w14:paraId="6816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2727B8">
            <w:pPr>
              <w:keepNext/>
              <w:spacing w:line="360" w:lineRule="auto"/>
              <w:jc w:val="center"/>
              <w:rPr>
                <w:rFonts w:cs="宋体"/>
                <w:color w:val="auto"/>
                <w:szCs w:val="21"/>
                <w:highlight w:val="none"/>
              </w:rPr>
            </w:pPr>
          </w:p>
        </w:tc>
        <w:tc>
          <w:tcPr>
            <w:tcW w:w="627" w:type="pct"/>
            <w:vAlign w:val="center"/>
          </w:tcPr>
          <w:p w14:paraId="1A4E3496">
            <w:pPr>
              <w:keepNext/>
              <w:spacing w:line="360" w:lineRule="auto"/>
              <w:jc w:val="center"/>
              <w:rPr>
                <w:rFonts w:cs="宋体"/>
                <w:color w:val="auto"/>
                <w:szCs w:val="21"/>
                <w:highlight w:val="none"/>
              </w:rPr>
            </w:pPr>
          </w:p>
        </w:tc>
        <w:tc>
          <w:tcPr>
            <w:tcW w:w="502" w:type="pct"/>
            <w:vAlign w:val="center"/>
          </w:tcPr>
          <w:p w14:paraId="7C353AD2">
            <w:pPr>
              <w:keepNext/>
              <w:spacing w:line="360" w:lineRule="auto"/>
              <w:jc w:val="center"/>
              <w:rPr>
                <w:rFonts w:cs="宋体"/>
                <w:color w:val="auto"/>
                <w:szCs w:val="21"/>
                <w:highlight w:val="none"/>
              </w:rPr>
            </w:pPr>
          </w:p>
        </w:tc>
        <w:tc>
          <w:tcPr>
            <w:tcW w:w="502" w:type="pct"/>
            <w:vAlign w:val="center"/>
          </w:tcPr>
          <w:p w14:paraId="5E5CFAE9">
            <w:pPr>
              <w:keepNext/>
              <w:spacing w:line="360" w:lineRule="auto"/>
              <w:jc w:val="center"/>
              <w:rPr>
                <w:rFonts w:cs="宋体"/>
                <w:color w:val="auto"/>
                <w:szCs w:val="21"/>
                <w:highlight w:val="none"/>
              </w:rPr>
            </w:pPr>
          </w:p>
        </w:tc>
        <w:tc>
          <w:tcPr>
            <w:tcW w:w="1281" w:type="pct"/>
            <w:vAlign w:val="center"/>
          </w:tcPr>
          <w:p w14:paraId="34416B4B">
            <w:pPr>
              <w:keepNext/>
              <w:spacing w:line="360" w:lineRule="auto"/>
              <w:jc w:val="center"/>
              <w:rPr>
                <w:rFonts w:cs="宋体"/>
                <w:color w:val="auto"/>
                <w:szCs w:val="21"/>
                <w:highlight w:val="none"/>
              </w:rPr>
            </w:pPr>
          </w:p>
        </w:tc>
        <w:tc>
          <w:tcPr>
            <w:tcW w:w="1151" w:type="pct"/>
            <w:vAlign w:val="center"/>
          </w:tcPr>
          <w:p w14:paraId="4733C28E">
            <w:pPr>
              <w:keepNext/>
              <w:spacing w:line="360" w:lineRule="auto"/>
              <w:jc w:val="center"/>
              <w:rPr>
                <w:rFonts w:cs="宋体"/>
                <w:color w:val="auto"/>
                <w:szCs w:val="21"/>
                <w:highlight w:val="none"/>
              </w:rPr>
            </w:pPr>
          </w:p>
        </w:tc>
      </w:tr>
      <w:tr w14:paraId="27CC0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06DDDA">
            <w:pPr>
              <w:keepNext/>
              <w:spacing w:line="360" w:lineRule="auto"/>
              <w:jc w:val="center"/>
              <w:rPr>
                <w:rFonts w:cs="宋体"/>
                <w:color w:val="auto"/>
                <w:szCs w:val="21"/>
                <w:highlight w:val="none"/>
              </w:rPr>
            </w:pPr>
          </w:p>
        </w:tc>
        <w:tc>
          <w:tcPr>
            <w:tcW w:w="627" w:type="pct"/>
            <w:vAlign w:val="center"/>
          </w:tcPr>
          <w:p w14:paraId="3DE0ED1B">
            <w:pPr>
              <w:keepNext/>
              <w:spacing w:line="360" w:lineRule="auto"/>
              <w:jc w:val="center"/>
              <w:rPr>
                <w:rFonts w:cs="宋体"/>
                <w:color w:val="auto"/>
                <w:szCs w:val="21"/>
                <w:highlight w:val="none"/>
              </w:rPr>
            </w:pPr>
          </w:p>
        </w:tc>
        <w:tc>
          <w:tcPr>
            <w:tcW w:w="502" w:type="pct"/>
            <w:vAlign w:val="center"/>
          </w:tcPr>
          <w:p w14:paraId="4A97C194">
            <w:pPr>
              <w:keepNext/>
              <w:spacing w:line="360" w:lineRule="auto"/>
              <w:jc w:val="center"/>
              <w:rPr>
                <w:rFonts w:cs="宋体"/>
                <w:color w:val="auto"/>
                <w:szCs w:val="21"/>
                <w:highlight w:val="none"/>
              </w:rPr>
            </w:pPr>
          </w:p>
        </w:tc>
        <w:tc>
          <w:tcPr>
            <w:tcW w:w="502" w:type="pct"/>
            <w:vAlign w:val="center"/>
          </w:tcPr>
          <w:p w14:paraId="30011F64">
            <w:pPr>
              <w:keepNext/>
              <w:spacing w:line="360" w:lineRule="auto"/>
              <w:jc w:val="center"/>
              <w:rPr>
                <w:rFonts w:cs="宋体"/>
                <w:color w:val="auto"/>
                <w:szCs w:val="21"/>
                <w:highlight w:val="none"/>
              </w:rPr>
            </w:pPr>
          </w:p>
        </w:tc>
        <w:tc>
          <w:tcPr>
            <w:tcW w:w="1281" w:type="pct"/>
            <w:vAlign w:val="center"/>
          </w:tcPr>
          <w:p w14:paraId="7F1D8340">
            <w:pPr>
              <w:keepNext/>
              <w:spacing w:line="360" w:lineRule="auto"/>
              <w:jc w:val="center"/>
              <w:rPr>
                <w:rFonts w:cs="宋体"/>
                <w:color w:val="auto"/>
                <w:szCs w:val="21"/>
                <w:highlight w:val="none"/>
              </w:rPr>
            </w:pPr>
          </w:p>
        </w:tc>
        <w:tc>
          <w:tcPr>
            <w:tcW w:w="1151" w:type="pct"/>
            <w:vAlign w:val="center"/>
          </w:tcPr>
          <w:p w14:paraId="42A9EC97">
            <w:pPr>
              <w:keepNext/>
              <w:spacing w:line="360" w:lineRule="auto"/>
              <w:jc w:val="center"/>
              <w:rPr>
                <w:rFonts w:cs="宋体"/>
                <w:color w:val="auto"/>
                <w:szCs w:val="21"/>
                <w:highlight w:val="none"/>
              </w:rPr>
            </w:pPr>
          </w:p>
        </w:tc>
      </w:tr>
      <w:tr w14:paraId="3D175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C842EE0">
            <w:pPr>
              <w:keepNext/>
              <w:spacing w:line="360" w:lineRule="auto"/>
              <w:jc w:val="center"/>
              <w:rPr>
                <w:rFonts w:cs="宋体"/>
                <w:color w:val="auto"/>
                <w:szCs w:val="21"/>
                <w:highlight w:val="none"/>
              </w:rPr>
            </w:pPr>
          </w:p>
        </w:tc>
        <w:tc>
          <w:tcPr>
            <w:tcW w:w="627" w:type="pct"/>
            <w:vAlign w:val="center"/>
          </w:tcPr>
          <w:p w14:paraId="02AC5ED5">
            <w:pPr>
              <w:keepNext/>
              <w:spacing w:line="360" w:lineRule="auto"/>
              <w:jc w:val="center"/>
              <w:rPr>
                <w:rFonts w:cs="宋体"/>
                <w:color w:val="auto"/>
                <w:szCs w:val="21"/>
                <w:highlight w:val="none"/>
              </w:rPr>
            </w:pPr>
          </w:p>
        </w:tc>
        <w:tc>
          <w:tcPr>
            <w:tcW w:w="502" w:type="pct"/>
            <w:vAlign w:val="center"/>
          </w:tcPr>
          <w:p w14:paraId="6E430F3A">
            <w:pPr>
              <w:keepNext/>
              <w:spacing w:line="360" w:lineRule="auto"/>
              <w:jc w:val="center"/>
              <w:rPr>
                <w:rFonts w:cs="宋体"/>
                <w:color w:val="auto"/>
                <w:szCs w:val="21"/>
                <w:highlight w:val="none"/>
              </w:rPr>
            </w:pPr>
          </w:p>
        </w:tc>
        <w:tc>
          <w:tcPr>
            <w:tcW w:w="502" w:type="pct"/>
            <w:vAlign w:val="center"/>
          </w:tcPr>
          <w:p w14:paraId="538250C9">
            <w:pPr>
              <w:keepNext/>
              <w:spacing w:line="360" w:lineRule="auto"/>
              <w:jc w:val="center"/>
              <w:rPr>
                <w:rFonts w:cs="宋体"/>
                <w:color w:val="auto"/>
                <w:szCs w:val="21"/>
                <w:highlight w:val="none"/>
              </w:rPr>
            </w:pPr>
          </w:p>
        </w:tc>
        <w:tc>
          <w:tcPr>
            <w:tcW w:w="1281" w:type="pct"/>
            <w:vAlign w:val="center"/>
          </w:tcPr>
          <w:p w14:paraId="6D2AF35A">
            <w:pPr>
              <w:keepNext/>
              <w:spacing w:line="360" w:lineRule="auto"/>
              <w:jc w:val="center"/>
              <w:rPr>
                <w:rFonts w:cs="宋体"/>
                <w:color w:val="auto"/>
                <w:szCs w:val="21"/>
                <w:highlight w:val="none"/>
              </w:rPr>
            </w:pPr>
          </w:p>
        </w:tc>
        <w:tc>
          <w:tcPr>
            <w:tcW w:w="1151" w:type="pct"/>
            <w:vAlign w:val="center"/>
          </w:tcPr>
          <w:p w14:paraId="64D5FD5E">
            <w:pPr>
              <w:keepNext/>
              <w:spacing w:line="360" w:lineRule="auto"/>
              <w:jc w:val="center"/>
              <w:rPr>
                <w:rFonts w:cs="宋体"/>
                <w:color w:val="auto"/>
                <w:szCs w:val="21"/>
                <w:highlight w:val="none"/>
              </w:rPr>
            </w:pPr>
          </w:p>
        </w:tc>
      </w:tr>
      <w:tr w14:paraId="20CD2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71463465">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064A306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0AA63B4">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6562F53C">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7295FFD9">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6830C343">
            <w:pPr>
              <w:keepNext/>
              <w:spacing w:line="360" w:lineRule="auto"/>
              <w:jc w:val="center"/>
              <w:rPr>
                <w:rFonts w:cs="宋体"/>
                <w:color w:val="auto"/>
                <w:szCs w:val="21"/>
                <w:highlight w:val="none"/>
              </w:rPr>
            </w:pPr>
          </w:p>
        </w:tc>
      </w:tr>
    </w:tbl>
    <w:p w14:paraId="12FC7F3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13" w:name="_Toc128950242"/>
      <w:r>
        <w:rPr>
          <w:rFonts w:hint="eastAsia" w:ascii="Times New Roman" w:eastAsia="黑体"/>
          <w:color w:val="auto"/>
          <w:szCs w:val="24"/>
          <w:highlight w:val="none"/>
        </w:rPr>
        <w:t>附</w:t>
      </w:r>
      <w:bookmarkStart w:id="614" w:name="_Toc296891057"/>
      <w:bookmarkStart w:id="615" w:name="_Toc296347228"/>
      <w:bookmarkStart w:id="616" w:name="_Toc296891269"/>
      <w:bookmarkStart w:id="617" w:name="_Toc296944568"/>
      <w:bookmarkStart w:id="618" w:name="_Toc296346730"/>
      <w:bookmarkStart w:id="619" w:name="_Toc296503229"/>
      <w:r>
        <w:rPr>
          <w:rFonts w:hint="eastAsia" w:ascii="Times New Roman" w:eastAsia="黑体"/>
          <w:color w:val="auto"/>
          <w:szCs w:val="24"/>
          <w:highlight w:val="none"/>
        </w:rPr>
        <w:t>件</w:t>
      </w:r>
      <w:r>
        <w:rPr>
          <w:rFonts w:ascii="Times New Roman" w:eastAsia="黑体"/>
          <w:color w:val="auto"/>
          <w:szCs w:val="24"/>
          <w:highlight w:val="none"/>
        </w:rPr>
        <w:t>7</w:t>
      </w:r>
      <w:r>
        <w:rPr>
          <w:rFonts w:hint="eastAsia" w:ascii="Times New Roman" w:eastAsia="黑体"/>
          <w:color w:val="auto"/>
          <w:szCs w:val="24"/>
          <w:highlight w:val="none"/>
        </w:rPr>
        <w:t>：分包人主要施工管理人员表</w:t>
      </w:r>
      <w:bookmarkEnd w:id="613"/>
    </w:p>
    <w:bookmarkEnd w:id="614"/>
    <w:bookmarkEnd w:id="615"/>
    <w:bookmarkEnd w:id="616"/>
    <w:bookmarkEnd w:id="617"/>
    <w:bookmarkEnd w:id="618"/>
    <w:bookmarkEnd w:id="619"/>
    <w:p w14:paraId="71201B7E">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7F8D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41568E47">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626E4894">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656A2419">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6377F946">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1F139FF3">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894A071">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8C3C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68463CA0">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750AE7D6">
            <w:pPr>
              <w:keepNext/>
              <w:spacing w:line="360" w:lineRule="auto"/>
              <w:jc w:val="center"/>
              <w:rPr>
                <w:rFonts w:cs="宋体"/>
                <w:color w:val="auto"/>
                <w:szCs w:val="21"/>
                <w:highlight w:val="none"/>
              </w:rPr>
            </w:pPr>
          </w:p>
        </w:tc>
      </w:tr>
      <w:tr w14:paraId="20215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7D50ADBC">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1B8F6B3D">
            <w:pPr>
              <w:keepNext/>
              <w:spacing w:line="360" w:lineRule="auto"/>
              <w:jc w:val="center"/>
              <w:rPr>
                <w:rFonts w:cs="宋体"/>
                <w:color w:val="auto"/>
                <w:szCs w:val="21"/>
                <w:highlight w:val="none"/>
              </w:rPr>
            </w:pPr>
          </w:p>
        </w:tc>
        <w:tc>
          <w:tcPr>
            <w:tcW w:w="513" w:type="pct"/>
            <w:tcBorders>
              <w:top w:val="nil"/>
            </w:tcBorders>
            <w:vAlign w:val="center"/>
          </w:tcPr>
          <w:p w14:paraId="4E080934">
            <w:pPr>
              <w:keepNext/>
              <w:spacing w:line="360" w:lineRule="auto"/>
              <w:jc w:val="center"/>
              <w:rPr>
                <w:rFonts w:cs="宋体"/>
                <w:color w:val="auto"/>
                <w:szCs w:val="21"/>
                <w:highlight w:val="none"/>
              </w:rPr>
            </w:pPr>
          </w:p>
        </w:tc>
        <w:tc>
          <w:tcPr>
            <w:tcW w:w="373" w:type="pct"/>
            <w:tcBorders>
              <w:top w:val="nil"/>
            </w:tcBorders>
            <w:vAlign w:val="center"/>
          </w:tcPr>
          <w:p w14:paraId="27DE80EC">
            <w:pPr>
              <w:keepNext/>
              <w:spacing w:line="360" w:lineRule="auto"/>
              <w:jc w:val="center"/>
              <w:rPr>
                <w:rFonts w:cs="宋体"/>
                <w:color w:val="auto"/>
                <w:szCs w:val="21"/>
                <w:highlight w:val="none"/>
              </w:rPr>
            </w:pPr>
          </w:p>
        </w:tc>
        <w:tc>
          <w:tcPr>
            <w:tcW w:w="1889" w:type="pct"/>
            <w:tcBorders>
              <w:top w:val="nil"/>
            </w:tcBorders>
            <w:vAlign w:val="center"/>
          </w:tcPr>
          <w:p w14:paraId="0FD88E14">
            <w:pPr>
              <w:keepNext/>
              <w:spacing w:line="360" w:lineRule="auto"/>
              <w:jc w:val="center"/>
              <w:rPr>
                <w:rFonts w:cs="宋体"/>
                <w:color w:val="auto"/>
                <w:szCs w:val="21"/>
                <w:highlight w:val="none"/>
              </w:rPr>
            </w:pPr>
          </w:p>
        </w:tc>
        <w:tc>
          <w:tcPr>
            <w:tcW w:w="739" w:type="pct"/>
            <w:tcBorders>
              <w:top w:val="nil"/>
            </w:tcBorders>
            <w:vAlign w:val="center"/>
          </w:tcPr>
          <w:p w14:paraId="4BD8D787">
            <w:pPr>
              <w:keepNext/>
              <w:spacing w:line="360" w:lineRule="auto"/>
              <w:jc w:val="center"/>
              <w:rPr>
                <w:rFonts w:cs="宋体"/>
                <w:color w:val="auto"/>
                <w:szCs w:val="21"/>
                <w:highlight w:val="none"/>
              </w:rPr>
            </w:pPr>
          </w:p>
        </w:tc>
      </w:tr>
      <w:tr w14:paraId="3CF18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F6117DF">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3EC174E4">
            <w:pPr>
              <w:keepNext/>
              <w:spacing w:line="360" w:lineRule="auto"/>
              <w:jc w:val="center"/>
              <w:rPr>
                <w:rFonts w:cs="宋体"/>
                <w:color w:val="auto"/>
                <w:szCs w:val="21"/>
                <w:highlight w:val="none"/>
              </w:rPr>
            </w:pPr>
          </w:p>
        </w:tc>
        <w:tc>
          <w:tcPr>
            <w:tcW w:w="513" w:type="pct"/>
            <w:vAlign w:val="center"/>
          </w:tcPr>
          <w:p w14:paraId="04F23C32">
            <w:pPr>
              <w:keepNext/>
              <w:spacing w:line="360" w:lineRule="auto"/>
              <w:jc w:val="center"/>
              <w:rPr>
                <w:rFonts w:cs="宋体"/>
                <w:color w:val="auto"/>
                <w:szCs w:val="21"/>
                <w:highlight w:val="none"/>
              </w:rPr>
            </w:pPr>
          </w:p>
        </w:tc>
        <w:tc>
          <w:tcPr>
            <w:tcW w:w="373" w:type="pct"/>
            <w:vAlign w:val="center"/>
          </w:tcPr>
          <w:p w14:paraId="57065CD0">
            <w:pPr>
              <w:keepNext/>
              <w:spacing w:line="360" w:lineRule="auto"/>
              <w:jc w:val="center"/>
              <w:rPr>
                <w:rFonts w:cs="宋体"/>
                <w:color w:val="auto"/>
                <w:szCs w:val="21"/>
                <w:highlight w:val="none"/>
              </w:rPr>
            </w:pPr>
          </w:p>
        </w:tc>
        <w:tc>
          <w:tcPr>
            <w:tcW w:w="1889" w:type="pct"/>
            <w:vAlign w:val="center"/>
          </w:tcPr>
          <w:p w14:paraId="50009C7A">
            <w:pPr>
              <w:keepNext/>
              <w:spacing w:line="360" w:lineRule="auto"/>
              <w:jc w:val="center"/>
              <w:rPr>
                <w:rFonts w:cs="宋体"/>
                <w:color w:val="auto"/>
                <w:szCs w:val="21"/>
                <w:highlight w:val="none"/>
              </w:rPr>
            </w:pPr>
          </w:p>
        </w:tc>
        <w:tc>
          <w:tcPr>
            <w:tcW w:w="739" w:type="pct"/>
            <w:vAlign w:val="center"/>
          </w:tcPr>
          <w:p w14:paraId="592F5264">
            <w:pPr>
              <w:keepNext/>
              <w:spacing w:line="360" w:lineRule="auto"/>
              <w:jc w:val="center"/>
              <w:rPr>
                <w:rFonts w:cs="宋体"/>
                <w:color w:val="auto"/>
                <w:szCs w:val="21"/>
                <w:highlight w:val="none"/>
              </w:rPr>
            </w:pPr>
          </w:p>
        </w:tc>
      </w:tr>
      <w:tr w14:paraId="3245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0C78D04">
            <w:pPr>
              <w:keepNext/>
              <w:spacing w:line="360" w:lineRule="auto"/>
              <w:jc w:val="center"/>
              <w:rPr>
                <w:rFonts w:cs="宋体"/>
                <w:color w:val="auto"/>
                <w:szCs w:val="21"/>
                <w:highlight w:val="none"/>
              </w:rPr>
            </w:pPr>
          </w:p>
        </w:tc>
        <w:tc>
          <w:tcPr>
            <w:tcW w:w="641" w:type="pct"/>
            <w:vAlign w:val="center"/>
          </w:tcPr>
          <w:p w14:paraId="7E9827E0">
            <w:pPr>
              <w:keepNext/>
              <w:spacing w:line="360" w:lineRule="auto"/>
              <w:jc w:val="center"/>
              <w:rPr>
                <w:rFonts w:cs="宋体"/>
                <w:color w:val="auto"/>
                <w:szCs w:val="21"/>
                <w:highlight w:val="none"/>
              </w:rPr>
            </w:pPr>
          </w:p>
        </w:tc>
        <w:tc>
          <w:tcPr>
            <w:tcW w:w="513" w:type="pct"/>
            <w:vAlign w:val="center"/>
          </w:tcPr>
          <w:p w14:paraId="49E9B0A7">
            <w:pPr>
              <w:keepNext/>
              <w:spacing w:line="360" w:lineRule="auto"/>
              <w:jc w:val="center"/>
              <w:rPr>
                <w:rFonts w:cs="宋体"/>
                <w:color w:val="auto"/>
                <w:szCs w:val="21"/>
                <w:highlight w:val="none"/>
              </w:rPr>
            </w:pPr>
          </w:p>
        </w:tc>
        <w:tc>
          <w:tcPr>
            <w:tcW w:w="373" w:type="pct"/>
            <w:vAlign w:val="center"/>
          </w:tcPr>
          <w:p w14:paraId="31536D89">
            <w:pPr>
              <w:keepNext/>
              <w:spacing w:line="360" w:lineRule="auto"/>
              <w:jc w:val="center"/>
              <w:rPr>
                <w:rFonts w:cs="宋体"/>
                <w:color w:val="auto"/>
                <w:szCs w:val="21"/>
                <w:highlight w:val="none"/>
              </w:rPr>
            </w:pPr>
          </w:p>
        </w:tc>
        <w:tc>
          <w:tcPr>
            <w:tcW w:w="1889" w:type="pct"/>
            <w:vAlign w:val="center"/>
          </w:tcPr>
          <w:p w14:paraId="35ECBAC3">
            <w:pPr>
              <w:keepNext/>
              <w:spacing w:line="360" w:lineRule="auto"/>
              <w:jc w:val="center"/>
              <w:rPr>
                <w:rFonts w:cs="宋体"/>
                <w:color w:val="auto"/>
                <w:szCs w:val="21"/>
                <w:highlight w:val="none"/>
              </w:rPr>
            </w:pPr>
          </w:p>
        </w:tc>
        <w:tc>
          <w:tcPr>
            <w:tcW w:w="739" w:type="pct"/>
            <w:vAlign w:val="center"/>
          </w:tcPr>
          <w:p w14:paraId="22B1257D">
            <w:pPr>
              <w:keepNext/>
              <w:spacing w:line="360" w:lineRule="auto"/>
              <w:jc w:val="center"/>
              <w:rPr>
                <w:rFonts w:cs="宋体"/>
                <w:color w:val="auto"/>
                <w:szCs w:val="21"/>
                <w:highlight w:val="none"/>
              </w:rPr>
            </w:pPr>
          </w:p>
        </w:tc>
      </w:tr>
      <w:tr w14:paraId="49683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2DA95C75">
            <w:pPr>
              <w:keepNext/>
              <w:spacing w:line="360" w:lineRule="auto"/>
              <w:jc w:val="center"/>
              <w:rPr>
                <w:rFonts w:cs="宋体"/>
                <w:color w:val="auto"/>
                <w:szCs w:val="21"/>
                <w:highlight w:val="none"/>
              </w:rPr>
            </w:pPr>
          </w:p>
        </w:tc>
        <w:tc>
          <w:tcPr>
            <w:tcW w:w="641" w:type="pct"/>
            <w:vAlign w:val="center"/>
          </w:tcPr>
          <w:p w14:paraId="3703C0DF">
            <w:pPr>
              <w:keepNext/>
              <w:spacing w:line="360" w:lineRule="auto"/>
              <w:jc w:val="center"/>
              <w:rPr>
                <w:rFonts w:cs="宋体"/>
                <w:color w:val="auto"/>
                <w:szCs w:val="21"/>
                <w:highlight w:val="none"/>
              </w:rPr>
            </w:pPr>
          </w:p>
        </w:tc>
        <w:tc>
          <w:tcPr>
            <w:tcW w:w="513" w:type="pct"/>
            <w:vAlign w:val="center"/>
          </w:tcPr>
          <w:p w14:paraId="2801A0E4">
            <w:pPr>
              <w:keepNext/>
              <w:spacing w:line="360" w:lineRule="auto"/>
              <w:jc w:val="center"/>
              <w:rPr>
                <w:rFonts w:cs="宋体"/>
                <w:color w:val="auto"/>
                <w:szCs w:val="21"/>
                <w:highlight w:val="none"/>
              </w:rPr>
            </w:pPr>
          </w:p>
        </w:tc>
        <w:tc>
          <w:tcPr>
            <w:tcW w:w="373" w:type="pct"/>
            <w:vAlign w:val="center"/>
          </w:tcPr>
          <w:p w14:paraId="5E8106BD">
            <w:pPr>
              <w:keepNext/>
              <w:spacing w:line="360" w:lineRule="auto"/>
              <w:jc w:val="center"/>
              <w:rPr>
                <w:rFonts w:cs="宋体"/>
                <w:color w:val="auto"/>
                <w:szCs w:val="21"/>
                <w:highlight w:val="none"/>
              </w:rPr>
            </w:pPr>
          </w:p>
        </w:tc>
        <w:tc>
          <w:tcPr>
            <w:tcW w:w="1889" w:type="pct"/>
            <w:vAlign w:val="center"/>
          </w:tcPr>
          <w:p w14:paraId="0B0E4AFE">
            <w:pPr>
              <w:keepNext/>
              <w:spacing w:line="360" w:lineRule="auto"/>
              <w:jc w:val="center"/>
              <w:rPr>
                <w:rFonts w:cs="宋体"/>
                <w:color w:val="auto"/>
                <w:szCs w:val="21"/>
                <w:highlight w:val="none"/>
              </w:rPr>
            </w:pPr>
          </w:p>
        </w:tc>
        <w:tc>
          <w:tcPr>
            <w:tcW w:w="739" w:type="pct"/>
            <w:vAlign w:val="center"/>
          </w:tcPr>
          <w:p w14:paraId="5FCE80B0">
            <w:pPr>
              <w:keepNext/>
              <w:spacing w:line="360" w:lineRule="auto"/>
              <w:jc w:val="center"/>
              <w:rPr>
                <w:rFonts w:cs="宋体"/>
                <w:color w:val="auto"/>
                <w:szCs w:val="21"/>
                <w:highlight w:val="none"/>
              </w:rPr>
            </w:pPr>
          </w:p>
        </w:tc>
      </w:tr>
      <w:tr w14:paraId="6659F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5F787451">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6AF3CE64">
            <w:pPr>
              <w:keepNext/>
              <w:spacing w:line="360" w:lineRule="auto"/>
              <w:jc w:val="center"/>
              <w:rPr>
                <w:rFonts w:cs="宋体"/>
                <w:color w:val="auto"/>
                <w:szCs w:val="21"/>
                <w:highlight w:val="none"/>
              </w:rPr>
            </w:pPr>
          </w:p>
        </w:tc>
      </w:tr>
      <w:tr w14:paraId="34B4F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FB1F66F">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4F328485">
            <w:pPr>
              <w:keepNext/>
              <w:spacing w:line="360" w:lineRule="auto"/>
              <w:jc w:val="center"/>
              <w:rPr>
                <w:rFonts w:cs="宋体"/>
                <w:color w:val="auto"/>
                <w:szCs w:val="21"/>
                <w:highlight w:val="none"/>
              </w:rPr>
            </w:pPr>
          </w:p>
        </w:tc>
        <w:tc>
          <w:tcPr>
            <w:tcW w:w="513" w:type="pct"/>
            <w:vAlign w:val="center"/>
          </w:tcPr>
          <w:p w14:paraId="731C474F">
            <w:pPr>
              <w:keepNext/>
              <w:spacing w:line="360" w:lineRule="auto"/>
              <w:jc w:val="center"/>
              <w:rPr>
                <w:rFonts w:cs="宋体"/>
                <w:color w:val="auto"/>
                <w:szCs w:val="21"/>
                <w:highlight w:val="none"/>
              </w:rPr>
            </w:pPr>
          </w:p>
        </w:tc>
        <w:tc>
          <w:tcPr>
            <w:tcW w:w="373" w:type="pct"/>
            <w:vAlign w:val="center"/>
          </w:tcPr>
          <w:p w14:paraId="38739130">
            <w:pPr>
              <w:keepNext/>
              <w:spacing w:line="360" w:lineRule="auto"/>
              <w:jc w:val="center"/>
              <w:rPr>
                <w:rFonts w:cs="宋体"/>
                <w:color w:val="auto"/>
                <w:szCs w:val="21"/>
                <w:highlight w:val="none"/>
              </w:rPr>
            </w:pPr>
          </w:p>
        </w:tc>
        <w:tc>
          <w:tcPr>
            <w:tcW w:w="1889" w:type="pct"/>
            <w:vAlign w:val="center"/>
          </w:tcPr>
          <w:p w14:paraId="55154B0A">
            <w:pPr>
              <w:keepNext/>
              <w:spacing w:line="360" w:lineRule="auto"/>
              <w:jc w:val="center"/>
              <w:rPr>
                <w:rFonts w:cs="宋体"/>
                <w:color w:val="auto"/>
                <w:szCs w:val="21"/>
                <w:highlight w:val="none"/>
              </w:rPr>
            </w:pPr>
          </w:p>
        </w:tc>
        <w:tc>
          <w:tcPr>
            <w:tcW w:w="739" w:type="pct"/>
            <w:vAlign w:val="center"/>
          </w:tcPr>
          <w:p w14:paraId="2E9B37F5">
            <w:pPr>
              <w:keepNext/>
              <w:spacing w:line="360" w:lineRule="auto"/>
              <w:jc w:val="center"/>
              <w:rPr>
                <w:rFonts w:cs="宋体"/>
                <w:color w:val="auto"/>
                <w:szCs w:val="21"/>
                <w:highlight w:val="none"/>
              </w:rPr>
            </w:pPr>
          </w:p>
        </w:tc>
      </w:tr>
      <w:tr w14:paraId="4F3FB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3246643">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44401445">
            <w:pPr>
              <w:keepNext/>
              <w:spacing w:line="360" w:lineRule="auto"/>
              <w:jc w:val="center"/>
              <w:rPr>
                <w:rFonts w:cs="宋体"/>
                <w:color w:val="auto"/>
                <w:szCs w:val="21"/>
                <w:highlight w:val="none"/>
              </w:rPr>
            </w:pPr>
          </w:p>
        </w:tc>
        <w:tc>
          <w:tcPr>
            <w:tcW w:w="513" w:type="pct"/>
            <w:vAlign w:val="center"/>
          </w:tcPr>
          <w:p w14:paraId="38631FDB">
            <w:pPr>
              <w:keepNext/>
              <w:spacing w:line="360" w:lineRule="auto"/>
              <w:jc w:val="center"/>
              <w:rPr>
                <w:rFonts w:cs="宋体"/>
                <w:color w:val="auto"/>
                <w:szCs w:val="21"/>
                <w:highlight w:val="none"/>
              </w:rPr>
            </w:pPr>
          </w:p>
        </w:tc>
        <w:tc>
          <w:tcPr>
            <w:tcW w:w="373" w:type="pct"/>
            <w:vAlign w:val="center"/>
          </w:tcPr>
          <w:p w14:paraId="2EFDBFBF">
            <w:pPr>
              <w:keepNext/>
              <w:spacing w:line="360" w:lineRule="auto"/>
              <w:jc w:val="center"/>
              <w:rPr>
                <w:rFonts w:cs="宋体"/>
                <w:color w:val="auto"/>
                <w:szCs w:val="21"/>
                <w:highlight w:val="none"/>
              </w:rPr>
            </w:pPr>
          </w:p>
        </w:tc>
        <w:tc>
          <w:tcPr>
            <w:tcW w:w="1889" w:type="pct"/>
            <w:vAlign w:val="center"/>
          </w:tcPr>
          <w:p w14:paraId="609BEFB2">
            <w:pPr>
              <w:keepNext/>
              <w:spacing w:line="360" w:lineRule="auto"/>
              <w:jc w:val="center"/>
              <w:rPr>
                <w:rFonts w:cs="宋体"/>
                <w:color w:val="auto"/>
                <w:szCs w:val="21"/>
                <w:highlight w:val="none"/>
              </w:rPr>
            </w:pPr>
          </w:p>
        </w:tc>
        <w:tc>
          <w:tcPr>
            <w:tcW w:w="739" w:type="pct"/>
            <w:vAlign w:val="center"/>
          </w:tcPr>
          <w:p w14:paraId="1D4CBAD7">
            <w:pPr>
              <w:keepNext/>
              <w:spacing w:line="360" w:lineRule="auto"/>
              <w:jc w:val="center"/>
              <w:rPr>
                <w:rFonts w:cs="宋体"/>
                <w:color w:val="auto"/>
                <w:szCs w:val="21"/>
                <w:highlight w:val="none"/>
              </w:rPr>
            </w:pPr>
          </w:p>
        </w:tc>
      </w:tr>
      <w:tr w14:paraId="65A55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55B9576">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59D9CE81">
            <w:pPr>
              <w:keepNext/>
              <w:spacing w:line="360" w:lineRule="auto"/>
              <w:jc w:val="center"/>
              <w:rPr>
                <w:rFonts w:cs="宋体"/>
                <w:color w:val="auto"/>
                <w:szCs w:val="21"/>
                <w:highlight w:val="none"/>
              </w:rPr>
            </w:pPr>
          </w:p>
        </w:tc>
        <w:tc>
          <w:tcPr>
            <w:tcW w:w="513" w:type="pct"/>
            <w:vAlign w:val="center"/>
          </w:tcPr>
          <w:p w14:paraId="2024D12E">
            <w:pPr>
              <w:keepNext/>
              <w:spacing w:line="360" w:lineRule="auto"/>
              <w:jc w:val="center"/>
              <w:rPr>
                <w:rFonts w:cs="宋体"/>
                <w:color w:val="auto"/>
                <w:szCs w:val="21"/>
                <w:highlight w:val="none"/>
              </w:rPr>
            </w:pPr>
          </w:p>
        </w:tc>
        <w:tc>
          <w:tcPr>
            <w:tcW w:w="373" w:type="pct"/>
            <w:vAlign w:val="center"/>
          </w:tcPr>
          <w:p w14:paraId="5E55A1AF">
            <w:pPr>
              <w:keepNext/>
              <w:spacing w:line="360" w:lineRule="auto"/>
              <w:jc w:val="center"/>
              <w:rPr>
                <w:rFonts w:cs="宋体"/>
                <w:color w:val="auto"/>
                <w:szCs w:val="21"/>
                <w:highlight w:val="none"/>
              </w:rPr>
            </w:pPr>
          </w:p>
        </w:tc>
        <w:tc>
          <w:tcPr>
            <w:tcW w:w="1889" w:type="pct"/>
            <w:vAlign w:val="center"/>
          </w:tcPr>
          <w:p w14:paraId="316083D3">
            <w:pPr>
              <w:keepNext/>
              <w:spacing w:line="360" w:lineRule="auto"/>
              <w:jc w:val="center"/>
              <w:rPr>
                <w:rFonts w:cs="宋体"/>
                <w:color w:val="auto"/>
                <w:szCs w:val="21"/>
                <w:highlight w:val="none"/>
              </w:rPr>
            </w:pPr>
          </w:p>
        </w:tc>
        <w:tc>
          <w:tcPr>
            <w:tcW w:w="739" w:type="pct"/>
            <w:vAlign w:val="center"/>
          </w:tcPr>
          <w:p w14:paraId="15101DC5">
            <w:pPr>
              <w:keepNext/>
              <w:spacing w:line="360" w:lineRule="auto"/>
              <w:jc w:val="center"/>
              <w:rPr>
                <w:rFonts w:cs="宋体"/>
                <w:color w:val="auto"/>
                <w:szCs w:val="21"/>
                <w:highlight w:val="none"/>
              </w:rPr>
            </w:pPr>
          </w:p>
        </w:tc>
      </w:tr>
      <w:tr w14:paraId="2EF8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214FE00">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41DC4E1D">
            <w:pPr>
              <w:keepNext/>
              <w:spacing w:line="360" w:lineRule="auto"/>
              <w:jc w:val="center"/>
              <w:rPr>
                <w:rFonts w:cs="宋体"/>
                <w:color w:val="auto"/>
                <w:szCs w:val="21"/>
                <w:highlight w:val="none"/>
              </w:rPr>
            </w:pPr>
          </w:p>
        </w:tc>
        <w:tc>
          <w:tcPr>
            <w:tcW w:w="513" w:type="pct"/>
            <w:vAlign w:val="center"/>
          </w:tcPr>
          <w:p w14:paraId="1275983A">
            <w:pPr>
              <w:keepNext/>
              <w:spacing w:line="360" w:lineRule="auto"/>
              <w:jc w:val="center"/>
              <w:rPr>
                <w:rFonts w:cs="宋体"/>
                <w:color w:val="auto"/>
                <w:szCs w:val="21"/>
                <w:highlight w:val="none"/>
              </w:rPr>
            </w:pPr>
          </w:p>
        </w:tc>
        <w:tc>
          <w:tcPr>
            <w:tcW w:w="373" w:type="pct"/>
            <w:vAlign w:val="center"/>
          </w:tcPr>
          <w:p w14:paraId="3456FEBC">
            <w:pPr>
              <w:keepNext/>
              <w:spacing w:line="360" w:lineRule="auto"/>
              <w:jc w:val="center"/>
              <w:rPr>
                <w:rFonts w:cs="宋体"/>
                <w:color w:val="auto"/>
                <w:szCs w:val="21"/>
                <w:highlight w:val="none"/>
              </w:rPr>
            </w:pPr>
          </w:p>
        </w:tc>
        <w:tc>
          <w:tcPr>
            <w:tcW w:w="1889" w:type="pct"/>
            <w:vAlign w:val="center"/>
          </w:tcPr>
          <w:p w14:paraId="0E0236B2">
            <w:pPr>
              <w:keepNext/>
              <w:spacing w:line="360" w:lineRule="auto"/>
              <w:jc w:val="center"/>
              <w:rPr>
                <w:rFonts w:cs="宋体"/>
                <w:color w:val="auto"/>
                <w:szCs w:val="21"/>
                <w:highlight w:val="none"/>
              </w:rPr>
            </w:pPr>
          </w:p>
        </w:tc>
        <w:tc>
          <w:tcPr>
            <w:tcW w:w="739" w:type="pct"/>
            <w:vAlign w:val="center"/>
          </w:tcPr>
          <w:p w14:paraId="5A5BD009">
            <w:pPr>
              <w:keepNext/>
              <w:spacing w:line="360" w:lineRule="auto"/>
              <w:jc w:val="center"/>
              <w:rPr>
                <w:rFonts w:cs="宋体"/>
                <w:color w:val="auto"/>
                <w:szCs w:val="21"/>
                <w:highlight w:val="none"/>
              </w:rPr>
            </w:pPr>
          </w:p>
        </w:tc>
      </w:tr>
      <w:tr w14:paraId="3643B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7E193B1">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74988033">
            <w:pPr>
              <w:keepNext/>
              <w:spacing w:line="360" w:lineRule="auto"/>
              <w:jc w:val="center"/>
              <w:rPr>
                <w:rFonts w:cs="宋体"/>
                <w:color w:val="auto"/>
                <w:szCs w:val="21"/>
                <w:highlight w:val="none"/>
              </w:rPr>
            </w:pPr>
          </w:p>
        </w:tc>
        <w:tc>
          <w:tcPr>
            <w:tcW w:w="513" w:type="pct"/>
            <w:vAlign w:val="center"/>
          </w:tcPr>
          <w:p w14:paraId="49A94CD4">
            <w:pPr>
              <w:keepNext/>
              <w:spacing w:line="360" w:lineRule="auto"/>
              <w:jc w:val="center"/>
              <w:rPr>
                <w:rFonts w:cs="宋体"/>
                <w:color w:val="auto"/>
                <w:szCs w:val="21"/>
                <w:highlight w:val="none"/>
              </w:rPr>
            </w:pPr>
          </w:p>
        </w:tc>
        <w:tc>
          <w:tcPr>
            <w:tcW w:w="373" w:type="pct"/>
            <w:vAlign w:val="center"/>
          </w:tcPr>
          <w:p w14:paraId="3DE6C624">
            <w:pPr>
              <w:keepNext/>
              <w:spacing w:line="360" w:lineRule="auto"/>
              <w:jc w:val="center"/>
              <w:rPr>
                <w:rFonts w:cs="宋体"/>
                <w:color w:val="auto"/>
                <w:szCs w:val="21"/>
                <w:highlight w:val="none"/>
              </w:rPr>
            </w:pPr>
          </w:p>
        </w:tc>
        <w:tc>
          <w:tcPr>
            <w:tcW w:w="1889" w:type="pct"/>
            <w:vAlign w:val="center"/>
          </w:tcPr>
          <w:p w14:paraId="39607259">
            <w:pPr>
              <w:keepNext/>
              <w:spacing w:line="360" w:lineRule="auto"/>
              <w:jc w:val="center"/>
              <w:rPr>
                <w:rFonts w:cs="宋体"/>
                <w:color w:val="auto"/>
                <w:szCs w:val="21"/>
                <w:highlight w:val="none"/>
              </w:rPr>
            </w:pPr>
          </w:p>
        </w:tc>
        <w:tc>
          <w:tcPr>
            <w:tcW w:w="739" w:type="pct"/>
            <w:vAlign w:val="center"/>
          </w:tcPr>
          <w:p w14:paraId="34944FBF">
            <w:pPr>
              <w:keepNext/>
              <w:spacing w:line="360" w:lineRule="auto"/>
              <w:jc w:val="center"/>
              <w:rPr>
                <w:rFonts w:cs="宋体"/>
                <w:color w:val="auto"/>
                <w:szCs w:val="21"/>
                <w:highlight w:val="none"/>
              </w:rPr>
            </w:pPr>
          </w:p>
        </w:tc>
      </w:tr>
      <w:tr w14:paraId="5ABF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57226AD">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183B5CFB">
            <w:pPr>
              <w:keepNext/>
              <w:spacing w:line="360" w:lineRule="auto"/>
              <w:jc w:val="center"/>
              <w:rPr>
                <w:rFonts w:cs="宋体"/>
                <w:color w:val="auto"/>
                <w:szCs w:val="21"/>
                <w:highlight w:val="none"/>
              </w:rPr>
            </w:pPr>
          </w:p>
        </w:tc>
        <w:tc>
          <w:tcPr>
            <w:tcW w:w="513" w:type="pct"/>
            <w:vAlign w:val="center"/>
          </w:tcPr>
          <w:p w14:paraId="330B4C07">
            <w:pPr>
              <w:keepNext/>
              <w:spacing w:line="360" w:lineRule="auto"/>
              <w:jc w:val="center"/>
              <w:rPr>
                <w:rFonts w:cs="宋体"/>
                <w:color w:val="auto"/>
                <w:szCs w:val="21"/>
                <w:highlight w:val="none"/>
              </w:rPr>
            </w:pPr>
          </w:p>
        </w:tc>
        <w:tc>
          <w:tcPr>
            <w:tcW w:w="373" w:type="pct"/>
            <w:vAlign w:val="center"/>
          </w:tcPr>
          <w:p w14:paraId="7D35A5AA">
            <w:pPr>
              <w:keepNext/>
              <w:spacing w:line="360" w:lineRule="auto"/>
              <w:jc w:val="center"/>
              <w:rPr>
                <w:rFonts w:cs="宋体"/>
                <w:color w:val="auto"/>
                <w:szCs w:val="21"/>
                <w:highlight w:val="none"/>
              </w:rPr>
            </w:pPr>
          </w:p>
        </w:tc>
        <w:tc>
          <w:tcPr>
            <w:tcW w:w="1889" w:type="pct"/>
            <w:vAlign w:val="center"/>
          </w:tcPr>
          <w:p w14:paraId="3DFD2F6B">
            <w:pPr>
              <w:keepNext/>
              <w:spacing w:line="360" w:lineRule="auto"/>
              <w:jc w:val="center"/>
              <w:rPr>
                <w:rFonts w:cs="宋体"/>
                <w:color w:val="auto"/>
                <w:szCs w:val="21"/>
                <w:highlight w:val="none"/>
              </w:rPr>
            </w:pPr>
          </w:p>
        </w:tc>
        <w:tc>
          <w:tcPr>
            <w:tcW w:w="739" w:type="pct"/>
            <w:vAlign w:val="center"/>
          </w:tcPr>
          <w:p w14:paraId="3100F6D2">
            <w:pPr>
              <w:keepNext/>
              <w:spacing w:line="360" w:lineRule="auto"/>
              <w:jc w:val="center"/>
              <w:rPr>
                <w:rFonts w:cs="宋体"/>
                <w:color w:val="auto"/>
                <w:szCs w:val="21"/>
                <w:highlight w:val="none"/>
              </w:rPr>
            </w:pPr>
          </w:p>
        </w:tc>
      </w:tr>
      <w:tr w14:paraId="4916A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852CB3C">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0D127A58">
            <w:pPr>
              <w:keepNext/>
              <w:spacing w:line="360" w:lineRule="auto"/>
              <w:jc w:val="center"/>
              <w:rPr>
                <w:rFonts w:cs="宋体"/>
                <w:color w:val="auto"/>
                <w:szCs w:val="21"/>
                <w:highlight w:val="none"/>
              </w:rPr>
            </w:pPr>
          </w:p>
        </w:tc>
        <w:tc>
          <w:tcPr>
            <w:tcW w:w="513" w:type="pct"/>
            <w:vAlign w:val="center"/>
          </w:tcPr>
          <w:p w14:paraId="7B6D62D5">
            <w:pPr>
              <w:keepNext/>
              <w:spacing w:line="360" w:lineRule="auto"/>
              <w:jc w:val="center"/>
              <w:rPr>
                <w:rFonts w:cs="宋体"/>
                <w:color w:val="auto"/>
                <w:szCs w:val="21"/>
                <w:highlight w:val="none"/>
              </w:rPr>
            </w:pPr>
          </w:p>
        </w:tc>
        <w:tc>
          <w:tcPr>
            <w:tcW w:w="373" w:type="pct"/>
            <w:vAlign w:val="center"/>
          </w:tcPr>
          <w:p w14:paraId="03CFEAFF">
            <w:pPr>
              <w:keepNext/>
              <w:spacing w:line="360" w:lineRule="auto"/>
              <w:jc w:val="center"/>
              <w:rPr>
                <w:rFonts w:cs="宋体"/>
                <w:color w:val="auto"/>
                <w:szCs w:val="21"/>
                <w:highlight w:val="none"/>
              </w:rPr>
            </w:pPr>
          </w:p>
        </w:tc>
        <w:tc>
          <w:tcPr>
            <w:tcW w:w="1889" w:type="pct"/>
            <w:vAlign w:val="center"/>
          </w:tcPr>
          <w:p w14:paraId="581DC5EF">
            <w:pPr>
              <w:keepNext/>
              <w:spacing w:line="360" w:lineRule="auto"/>
              <w:jc w:val="center"/>
              <w:rPr>
                <w:rFonts w:cs="宋体"/>
                <w:color w:val="auto"/>
                <w:szCs w:val="21"/>
                <w:highlight w:val="none"/>
              </w:rPr>
            </w:pPr>
          </w:p>
        </w:tc>
        <w:tc>
          <w:tcPr>
            <w:tcW w:w="739" w:type="pct"/>
            <w:vAlign w:val="center"/>
          </w:tcPr>
          <w:p w14:paraId="085F7C8C">
            <w:pPr>
              <w:keepNext/>
              <w:spacing w:line="360" w:lineRule="auto"/>
              <w:jc w:val="center"/>
              <w:rPr>
                <w:rFonts w:cs="宋体"/>
                <w:color w:val="auto"/>
                <w:szCs w:val="21"/>
                <w:highlight w:val="none"/>
              </w:rPr>
            </w:pPr>
          </w:p>
        </w:tc>
      </w:tr>
      <w:tr w14:paraId="34634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43631E6">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02D6E9F">
            <w:pPr>
              <w:keepNext/>
              <w:spacing w:line="360" w:lineRule="auto"/>
              <w:jc w:val="center"/>
              <w:rPr>
                <w:rFonts w:cs="宋体"/>
                <w:color w:val="auto"/>
                <w:szCs w:val="21"/>
                <w:highlight w:val="none"/>
              </w:rPr>
            </w:pPr>
          </w:p>
        </w:tc>
        <w:tc>
          <w:tcPr>
            <w:tcW w:w="513" w:type="pct"/>
            <w:vAlign w:val="center"/>
          </w:tcPr>
          <w:p w14:paraId="45FE1674">
            <w:pPr>
              <w:keepNext/>
              <w:spacing w:line="360" w:lineRule="auto"/>
              <w:jc w:val="center"/>
              <w:rPr>
                <w:rFonts w:cs="宋体"/>
                <w:color w:val="auto"/>
                <w:szCs w:val="21"/>
                <w:highlight w:val="none"/>
              </w:rPr>
            </w:pPr>
          </w:p>
        </w:tc>
        <w:tc>
          <w:tcPr>
            <w:tcW w:w="373" w:type="pct"/>
            <w:vAlign w:val="center"/>
          </w:tcPr>
          <w:p w14:paraId="251E5E0E">
            <w:pPr>
              <w:keepNext/>
              <w:spacing w:line="360" w:lineRule="auto"/>
              <w:jc w:val="center"/>
              <w:rPr>
                <w:rFonts w:cs="宋体"/>
                <w:color w:val="auto"/>
                <w:szCs w:val="21"/>
                <w:highlight w:val="none"/>
              </w:rPr>
            </w:pPr>
          </w:p>
        </w:tc>
        <w:tc>
          <w:tcPr>
            <w:tcW w:w="1889" w:type="pct"/>
            <w:vAlign w:val="center"/>
          </w:tcPr>
          <w:p w14:paraId="35AFD87B">
            <w:pPr>
              <w:keepNext/>
              <w:spacing w:line="360" w:lineRule="auto"/>
              <w:jc w:val="center"/>
              <w:rPr>
                <w:rFonts w:cs="宋体"/>
                <w:color w:val="auto"/>
                <w:szCs w:val="21"/>
                <w:highlight w:val="none"/>
              </w:rPr>
            </w:pPr>
          </w:p>
        </w:tc>
        <w:tc>
          <w:tcPr>
            <w:tcW w:w="739" w:type="pct"/>
            <w:vAlign w:val="center"/>
          </w:tcPr>
          <w:p w14:paraId="458B64F5">
            <w:pPr>
              <w:keepNext/>
              <w:spacing w:line="360" w:lineRule="auto"/>
              <w:jc w:val="center"/>
              <w:rPr>
                <w:rFonts w:cs="宋体"/>
                <w:color w:val="auto"/>
                <w:szCs w:val="21"/>
                <w:highlight w:val="none"/>
              </w:rPr>
            </w:pPr>
          </w:p>
        </w:tc>
      </w:tr>
      <w:tr w14:paraId="33F53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31EFD1E">
            <w:pPr>
              <w:keepNext/>
              <w:spacing w:line="360" w:lineRule="auto"/>
              <w:jc w:val="center"/>
              <w:rPr>
                <w:rFonts w:cs="宋体"/>
                <w:color w:val="auto"/>
                <w:szCs w:val="21"/>
                <w:highlight w:val="none"/>
              </w:rPr>
            </w:pPr>
          </w:p>
        </w:tc>
        <w:tc>
          <w:tcPr>
            <w:tcW w:w="641" w:type="pct"/>
            <w:tcBorders>
              <w:bottom w:val="nil"/>
            </w:tcBorders>
            <w:vAlign w:val="center"/>
          </w:tcPr>
          <w:p w14:paraId="5E0EEA30">
            <w:pPr>
              <w:keepNext/>
              <w:spacing w:line="360" w:lineRule="auto"/>
              <w:jc w:val="center"/>
              <w:rPr>
                <w:rFonts w:cs="宋体"/>
                <w:color w:val="auto"/>
                <w:szCs w:val="21"/>
                <w:highlight w:val="none"/>
              </w:rPr>
            </w:pPr>
          </w:p>
        </w:tc>
        <w:tc>
          <w:tcPr>
            <w:tcW w:w="513" w:type="pct"/>
            <w:tcBorders>
              <w:bottom w:val="nil"/>
            </w:tcBorders>
            <w:vAlign w:val="center"/>
          </w:tcPr>
          <w:p w14:paraId="662E68E1">
            <w:pPr>
              <w:keepNext/>
              <w:spacing w:line="360" w:lineRule="auto"/>
              <w:jc w:val="center"/>
              <w:rPr>
                <w:rFonts w:cs="宋体"/>
                <w:color w:val="auto"/>
                <w:szCs w:val="21"/>
                <w:highlight w:val="none"/>
              </w:rPr>
            </w:pPr>
          </w:p>
        </w:tc>
        <w:tc>
          <w:tcPr>
            <w:tcW w:w="373" w:type="pct"/>
            <w:tcBorders>
              <w:bottom w:val="nil"/>
            </w:tcBorders>
            <w:vAlign w:val="center"/>
          </w:tcPr>
          <w:p w14:paraId="42762C53">
            <w:pPr>
              <w:keepNext/>
              <w:spacing w:line="360" w:lineRule="auto"/>
              <w:jc w:val="center"/>
              <w:rPr>
                <w:rFonts w:cs="宋体"/>
                <w:color w:val="auto"/>
                <w:szCs w:val="21"/>
                <w:highlight w:val="none"/>
              </w:rPr>
            </w:pPr>
          </w:p>
        </w:tc>
        <w:tc>
          <w:tcPr>
            <w:tcW w:w="1889" w:type="pct"/>
            <w:tcBorders>
              <w:bottom w:val="nil"/>
            </w:tcBorders>
            <w:vAlign w:val="center"/>
          </w:tcPr>
          <w:p w14:paraId="08947B53">
            <w:pPr>
              <w:keepNext/>
              <w:spacing w:line="360" w:lineRule="auto"/>
              <w:jc w:val="center"/>
              <w:rPr>
                <w:rFonts w:cs="宋体"/>
                <w:color w:val="auto"/>
                <w:szCs w:val="21"/>
                <w:highlight w:val="none"/>
              </w:rPr>
            </w:pPr>
          </w:p>
        </w:tc>
        <w:tc>
          <w:tcPr>
            <w:tcW w:w="739" w:type="pct"/>
            <w:tcBorders>
              <w:bottom w:val="nil"/>
            </w:tcBorders>
            <w:vAlign w:val="center"/>
          </w:tcPr>
          <w:p w14:paraId="69E7A108">
            <w:pPr>
              <w:keepNext/>
              <w:spacing w:line="360" w:lineRule="auto"/>
              <w:jc w:val="center"/>
              <w:rPr>
                <w:rFonts w:cs="宋体"/>
                <w:color w:val="auto"/>
                <w:szCs w:val="21"/>
                <w:highlight w:val="none"/>
              </w:rPr>
            </w:pPr>
          </w:p>
        </w:tc>
      </w:tr>
      <w:tr w14:paraId="1040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64C0161">
            <w:pPr>
              <w:keepNext/>
              <w:spacing w:line="360" w:lineRule="auto"/>
              <w:jc w:val="center"/>
              <w:rPr>
                <w:rFonts w:cs="宋体"/>
                <w:color w:val="auto"/>
                <w:szCs w:val="21"/>
                <w:highlight w:val="none"/>
              </w:rPr>
            </w:pPr>
          </w:p>
        </w:tc>
        <w:tc>
          <w:tcPr>
            <w:tcW w:w="641" w:type="pct"/>
            <w:vAlign w:val="center"/>
          </w:tcPr>
          <w:p w14:paraId="31515A8D">
            <w:pPr>
              <w:keepNext/>
              <w:spacing w:line="360" w:lineRule="auto"/>
              <w:jc w:val="center"/>
              <w:rPr>
                <w:rFonts w:cs="宋体"/>
                <w:color w:val="auto"/>
                <w:szCs w:val="21"/>
                <w:highlight w:val="none"/>
              </w:rPr>
            </w:pPr>
          </w:p>
        </w:tc>
        <w:tc>
          <w:tcPr>
            <w:tcW w:w="513" w:type="pct"/>
            <w:vAlign w:val="center"/>
          </w:tcPr>
          <w:p w14:paraId="3046A645">
            <w:pPr>
              <w:keepNext/>
              <w:spacing w:line="360" w:lineRule="auto"/>
              <w:jc w:val="center"/>
              <w:rPr>
                <w:rFonts w:cs="宋体"/>
                <w:color w:val="auto"/>
                <w:szCs w:val="21"/>
                <w:highlight w:val="none"/>
              </w:rPr>
            </w:pPr>
          </w:p>
        </w:tc>
        <w:tc>
          <w:tcPr>
            <w:tcW w:w="373" w:type="pct"/>
            <w:vAlign w:val="center"/>
          </w:tcPr>
          <w:p w14:paraId="741725B2">
            <w:pPr>
              <w:keepNext/>
              <w:spacing w:line="360" w:lineRule="auto"/>
              <w:jc w:val="center"/>
              <w:rPr>
                <w:rFonts w:cs="宋体"/>
                <w:color w:val="auto"/>
                <w:szCs w:val="21"/>
                <w:highlight w:val="none"/>
              </w:rPr>
            </w:pPr>
          </w:p>
        </w:tc>
        <w:tc>
          <w:tcPr>
            <w:tcW w:w="1889" w:type="pct"/>
            <w:vAlign w:val="center"/>
          </w:tcPr>
          <w:p w14:paraId="578CD5E7">
            <w:pPr>
              <w:keepNext/>
              <w:spacing w:line="360" w:lineRule="auto"/>
              <w:jc w:val="center"/>
              <w:rPr>
                <w:rFonts w:cs="宋体"/>
                <w:color w:val="auto"/>
                <w:szCs w:val="21"/>
                <w:highlight w:val="none"/>
              </w:rPr>
            </w:pPr>
          </w:p>
        </w:tc>
        <w:tc>
          <w:tcPr>
            <w:tcW w:w="739" w:type="pct"/>
            <w:vAlign w:val="center"/>
          </w:tcPr>
          <w:p w14:paraId="0B6383E8">
            <w:pPr>
              <w:keepNext/>
              <w:spacing w:line="360" w:lineRule="auto"/>
              <w:jc w:val="center"/>
              <w:rPr>
                <w:rFonts w:cs="宋体"/>
                <w:color w:val="auto"/>
                <w:szCs w:val="21"/>
                <w:highlight w:val="none"/>
              </w:rPr>
            </w:pPr>
          </w:p>
        </w:tc>
      </w:tr>
      <w:tr w14:paraId="0B211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BB38795">
            <w:pPr>
              <w:keepNext/>
              <w:spacing w:line="360" w:lineRule="auto"/>
              <w:jc w:val="center"/>
              <w:rPr>
                <w:rFonts w:cs="宋体"/>
                <w:color w:val="auto"/>
                <w:szCs w:val="21"/>
                <w:highlight w:val="none"/>
              </w:rPr>
            </w:pPr>
          </w:p>
        </w:tc>
        <w:tc>
          <w:tcPr>
            <w:tcW w:w="641" w:type="pct"/>
            <w:vAlign w:val="center"/>
          </w:tcPr>
          <w:p w14:paraId="598DF039">
            <w:pPr>
              <w:keepNext/>
              <w:spacing w:line="360" w:lineRule="auto"/>
              <w:jc w:val="center"/>
              <w:rPr>
                <w:rFonts w:cs="宋体"/>
                <w:color w:val="auto"/>
                <w:szCs w:val="21"/>
                <w:highlight w:val="none"/>
              </w:rPr>
            </w:pPr>
          </w:p>
        </w:tc>
        <w:tc>
          <w:tcPr>
            <w:tcW w:w="513" w:type="pct"/>
            <w:vAlign w:val="center"/>
          </w:tcPr>
          <w:p w14:paraId="0ECAA262">
            <w:pPr>
              <w:keepNext/>
              <w:spacing w:line="360" w:lineRule="auto"/>
              <w:jc w:val="center"/>
              <w:rPr>
                <w:rFonts w:cs="宋体"/>
                <w:color w:val="auto"/>
                <w:szCs w:val="21"/>
                <w:highlight w:val="none"/>
              </w:rPr>
            </w:pPr>
          </w:p>
        </w:tc>
        <w:tc>
          <w:tcPr>
            <w:tcW w:w="373" w:type="pct"/>
            <w:vAlign w:val="center"/>
          </w:tcPr>
          <w:p w14:paraId="200D1998">
            <w:pPr>
              <w:keepNext/>
              <w:spacing w:line="360" w:lineRule="auto"/>
              <w:jc w:val="center"/>
              <w:rPr>
                <w:rFonts w:cs="宋体"/>
                <w:color w:val="auto"/>
                <w:szCs w:val="21"/>
                <w:highlight w:val="none"/>
              </w:rPr>
            </w:pPr>
          </w:p>
        </w:tc>
        <w:tc>
          <w:tcPr>
            <w:tcW w:w="1889" w:type="pct"/>
            <w:vAlign w:val="center"/>
          </w:tcPr>
          <w:p w14:paraId="490AC313">
            <w:pPr>
              <w:keepNext/>
              <w:spacing w:line="360" w:lineRule="auto"/>
              <w:jc w:val="center"/>
              <w:rPr>
                <w:rFonts w:cs="宋体"/>
                <w:color w:val="auto"/>
                <w:szCs w:val="21"/>
                <w:highlight w:val="none"/>
              </w:rPr>
            </w:pPr>
          </w:p>
        </w:tc>
        <w:tc>
          <w:tcPr>
            <w:tcW w:w="739" w:type="pct"/>
            <w:vAlign w:val="center"/>
          </w:tcPr>
          <w:p w14:paraId="533ED897">
            <w:pPr>
              <w:keepNext/>
              <w:spacing w:line="360" w:lineRule="auto"/>
              <w:jc w:val="center"/>
              <w:rPr>
                <w:rFonts w:cs="宋体"/>
                <w:color w:val="auto"/>
                <w:szCs w:val="21"/>
                <w:highlight w:val="none"/>
              </w:rPr>
            </w:pPr>
          </w:p>
        </w:tc>
      </w:tr>
      <w:tr w14:paraId="7711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D25024E">
            <w:pPr>
              <w:keepNext/>
              <w:spacing w:line="360" w:lineRule="auto"/>
              <w:jc w:val="center"/>
              <w:rPr>
                <w:rFonts w:cs="宋体"/>
                <w:color w:val="auto"/>
                <w:szCs w:val="21"/>
                <w:highlight w:val="none"/>
              </w:rPr>
            </w:pPr>
          </w:p>
        </w:tc>
        <w:tc>
          <w:tcPr>
            <w:tcW w:w="641" w:type="pct"/>
            <w:vAlign w:val="center"/>
          </w:tcPr>
          <w:p w14:paraId="7049610C">
            <w:pPr>
              <w:keepNext/>
              <w:spacing w:line="360" w:lineRule="auto"/>
              <w:jc w:val="center"/>
              <w:rPr>
                <w:rFonts w:cs="宋体"/>
                <w:color w:val="auto"/>
                <w:szCs w:val="21"/>
                <w:highlight w:val="none"/>
              </w:rPr>
            </w:pPr>
          </w:p>
        </w:tc>
        <w:tc>
          <w:tcPr>
            <w:tcW w:w="513" w:type="pct"/>
            <w:vAlign w:val="center"/>
          </w:tcPr>
          <w:p w14:paraId="679D8971">
            <w:pPr>
              <w:keepNext/>
              <w:spacing w:line="360" w:lineRule="auto"/>
              <w:jc w:val="center"/>
              <w:rPr>
                <w:rFonts w:cs="宋体"/>
                <w:color w:val="auto"/>
                <w:szCs w:val="21"/>
                <w:highlight w:val="none"/>
              </w:rPr>
            </w:pPr>
          </w:p>
        </w:tc>
        <w:tc>
          <w:tcPr>
            <w:tcW w:w="373" w:type="pct"/>
            <w:vAlign w:val="center"/>
          </w:tcPr>
          <w:p w14:paraId="0582EE5E">
            <w:pPr>
              <w:keepNext/>
              <w:spacing w:line="360" w:lineRule="auto"/>
              <w:jc w:val="center"/>
              <w:rPr>
                <w:rFonts w:cs="宋体"/>
                <w:color w:val="auto"/>
                <w:szCs w:val="21"/>
                <w:highlight w:val="none"/>
              </w:rPr>
            </w:pPr>
          </w:p>
        </w:tc>
        <w:tc>
          <w:tcPr>
            <w:tcW w:w="1889" w:type="pct"/>
            <w:vAlign w:val="center"/>
          </w:tcPr>
          <w:p w14:paraId="40F4E839">
            <w:pPr>
              <w:keepNext/>
              <w:spacing w:line="360" w:lineRule="auto"/>
              <w:jc w:val="center"/>
              <w:rPr>
                <w:rFonts w:cs="宋体"/>
                <w:color w:val="auto"/>
                <w:szCs w:val="21"/>
                <w:highlight w:val="none"/>
              </w:rPr>
            </w:pPr>
          </w:p>
        </w:tc>
        <w:tc>
          <w:tcPr>
            <w:tcW w:w="739" w:type="pct"/>
            <w:vAlign w:val="center"/>
          </w:tcPr>
          <w:p w14:paraId="5B36EEA5">
            <w:pPr>
              <w:keepNext/>
              <w:spacing w:line="360" w:lineRule="auto"/>
              <w:jc w:val="center"/>
              <w:rPr>
                <w:rFonts w:cs="宋体"/>
                <w:color w:val="auto"/>
                <w:szCs w:val="21"/>
                <w:highlight w:val="none"/>
              </w:rPr>
            </w:pPr>
          </w:p>
        </w:tc>
      </w:tr>
      <w:tr w14:paraId="2C32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6D188CFD">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74E41795">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5BB9F4C8">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21F86BCF">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6AD0AA6F">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36657CC9">
            <w:pPr>
              <w:keepNext/>
              <w:spacing w:line="360" w:lineRule="auto"/>
              <w:jc w:val="center"/>
              <w:rPr>
                <w:rFonts w:cs="宋体"/>
                <w:color w:val="auto"/>
                <w:szCs w:val="21"/>
                <w:highlight w:val="none"/>
              </w:rPr>
            </w:pPr>
          </w:p>
        </w:tc>
      </w:tr>
    </w:tbl>
    <w:p w14:paraId="3373EC61">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20" w:name="_Toc128950243"/>
      <w:r>
        <w:rPr>
          <w:rFonts w:hint="eastAsia" w:ascii="Times New Roman" w:eastAsia="黑体"/>
          <w:color w:val="auto"/>
          <w:szCs w:val="24"/>
          <w:highlight w:val="none"/>
        </w:rPr>
        <w:t>附</w:t>
      </w:r>
      <w:bookmarkStart w:id="621" w:name="_Toc296944570"/>
      <w:bookmarkStart w:id="622" w:name="_Toc296503231"/>
      <w:bookmarkStart w:id="623" w:name="_Toc296891059"/>
      <w:bookmarkStart w:id="624" w:name="_Toc296347230"/>
      <w:bookmarkStart w:id="625" w:name="_Toc296346732"/>
      <w:bookmarkStart w:id="626" w:name="_Toc296891271"/>
      <w:r>
        <w:rPr>
          <w:rFonts w:hint="eastAsia" w:ascii="Times New Roman" w:eastAsia="黑体"/>
          <w:color w:val="auto"/>
          <w:szCs w:val="24"/>
          <w:highlight w:val="none"/>
        </w:rPr>
        <w:t>件</w:t>
      </w:r>
      <w:r>
        <w:rPr>
          <w:rFonts w:ascii="Times New Roman" w:eastAsia="黑体"/>
          <w:color w:val="auto"/>
          <w:szCs w:val="24"/>
          <w:highlight w:val="none"/>
        </w:rPr>
        <w:t>8</w:t>
      </w:r>
      <w:r>
        <w:rPr>
          <w:rFonts w:hint="eastAsia" w:ascii="Times New Roman" w:eastAsia="黑体"/>
          <w:color w:val="auto"/>
          <w:szCs w:val="24"/>
          <w:highlight w:val="none"/>
        </w:rPr>
        <w:t>：廉政协议</w:t>
      </w:r>
      <w:bookmarkEnd w:id="620"/>
    </w:p>
    <w:bookmarkEnd w:id="621"/>
    <w:bookmarkEnd w:id="622"/>
    <w:bookmarkEnd w:id="623"/>
    <w:bookmarkEnd w:id="624"/>
    <w:bookmarkEnd w:id="625"/>
    <w:bookmarkEnd w:id="626"/>
    <w:p w14:paraId="14F1F0BC">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1366FF8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lang w:val="en-US" w:eastAsia="zh-CN"/>
        </w:rPr>
        <w:t>滁州市重点工程建设管理处</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1B3C436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5EB2F4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12EC1E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lang w:val="en-US" w:eastAsia="zh-CN"/>
        </w:rPr>
        <w:t xml:space="preserve"> 2026年道路交通安全整治提升工程（一批次）</w:t>
      </w:r>
      <w:r>
        <w:rPr>
          <w:rFonts w:hint="eastAsia" w:cs="宋体"/>
          <w:color w:val="auto"/>
          <w:sz w:val="21"/>
          <w:szCs w:val="21"/>
          <w:highlight w:val="none"/>
        </w:rPr>
        <w:t>的合同要求，自觉履行合同约定的相关义务。</w:t>
      </w:r>
    </w:p>
    <w:p w14:paraId="523E626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D2839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520CB4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6A14BC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36664E19">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03D672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F168DA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7723B74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444176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69C7F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664CB4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07F0884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41736B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1C507E48">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4432638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3A7BC5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53D6E17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6AA6795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340E87A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054E29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09764B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1EA848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53FA988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B364D8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B0EF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1816C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52E7B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6E8BAC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6A61CE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4C7ECF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549DF3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33BB319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5EC537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DBE18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6272B3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4729E6F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4E4F957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0D3D5B3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62C7422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3B80AF7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6005C95">
      <w:pPr>
        <w:widowControl/>
        <w:spacing w:line="360" w:lineRule="auto"/>
        <w:ind w:firstLine="420" w:firstLineChars="200"/>
        <w:jc w:val="left"/>
        <w:rPr>
          <w:rFonts w:cs="宋体"/>
          <w:color w:val="auto"/>
          <w:sz w:val="21"/>
          <w:szCs w:val="21"/>
          <w:highlight w:val="none"/>
        </w:rPr>
      </w:pPr>
    </w:p>
    <w:p w14:paraId="64615C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5224F1B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7A10C84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A51FF2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744279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52A3CB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44FA8F94">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27" w:name="_Toc128950244"/>
      <w:r>
        <w:rPr>
          <w:rFonts w:hint="eastAsia" w:ascii="Times New Roman" w:eastAsia="黑体"/>
          <w:color w:val="auto"/>
          <w:szCs w:val="24"/>
          <w:highlight w:val="none"/>
        </w:rPr>
        <w:t>附件9：履约保证金</w:t>
      </w:r>
      <w:bookmarkEnd w:id="627"/>
    </w:p>
    <w:p w14:paraId="2F363983">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5A0F420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69CBCCA">
      <w:pPr>
        <w:spacing w:line="360" w:lineRule="auto"/>
        <w:rPr>
          <w:rFonts w:ascii="Times New Roman"/>
          <w:color w:val="auto"/>
          <w:szCs w:val="21"/>
          <w:highlight w:val="none"/>
        </w:rPr>
      </w:pPr>
    </w:p>
    <w:p w14:paraId="4748E68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45CAAD56">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23B011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68B761A0">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58B985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7F276B4C">
      <w:pPr>
        <w:spacing w:line="360" w:lineRule="auto"/>
        <w:ind w:firstLine="480"/>
        <w:rPr>
          <w:rFonts w:cs="宋体"/>
          <w:color w:val="auto"/>
          <w:sz w:val="21"/>
          <w:szCs w:val="21"/>
          <w:highlight w:val="none"/>
        </w:rPr>
      </w:pPr>
      <w:bookmarkStart w:id="628"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28"/>
    <w:p w14:paraId="627F35C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5FD0B14">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4F9C3712">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F03BAA5">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9F0DBA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3CEB33">
      <w:pPr>
        <w:spacing w:line="360" w:lineRule="auto"/>
        <w:ind w:firstLine="420" w:firstLineChars="200"/>
        <w:rPr>
          <w:rFonts w:cs="宋体"/>
          <w:color w:val="auto"/>
          <w:sz w:val="21"/>
          <w:szCs w:val="21"/>
          <w:highlight w:val="none"/>
        </w:rPr>
      </w:pPr>
      <w:bookmarkStart w:id="629" w:name="_Hlk40303486"/>
      <w:r>
        <w:rPr>
          <w:rFonts w:hint="eastAsia" w:cs="宋体"/>
          <w:color w:val="auto"/>
          <w:sz w:val="21"/>
          <w:szCs w:val="21"/>
          <w:highlight w:val="none"/>
        </w:rPr>
        <w:t>受益人发出的书面付款通知应由其法定代表人（负责人）或授权代理人签字并加盖公章。</w:t>
      </w:r>
      <w:bookmarkEnd w:id="629"/>
    </w:p>
    <w:p w14:paraId="0ED0A00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45E1DC00">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59DAB969">
      <w:pPr>
        <w:spacing w:line="360" w:lineRule="auto"/>
        <w:ind w:firstLine="420" w:firstLineChars="200"/>
        <w:rPr>
          <w:rFonts w:cs="宋体"/>
          <w:color w:val="auto"/>
          <w:sz w:val="21"/>
          <w:szCs w:val="21"/>
          <w:highlight w:val="none"/>
        </w:rPr>
      </w:pPr>
      <w:bookmarkStart w:id="630" w:name="_Hlk40303383"/>
      <w:bookmarkStart w:id="631" w:name="_Hlk40354981"/>
      <w:r>
        <w:rPr>
          <w:rFonts w:hint="eastAsia" w:cs="宋体"/>
          <w:color w:val="auto"/>
          <w:sz w:val="21"/>
          <w:szCs w:val="21"/>
          <w:highlight w:val="none"/>
        </w:rPr>
        <w:t xml:space="preserve">七、本保函项下的义务和责任均在保函有效期到期后自动消灭。 </w:t>
      </w:r>
    </w:p>
    <w:p w14:paraId="074AB58C">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30"/>
      <w:r>
        <w:rPr>
          <w:rFonts w:hint="eastAsia" w:cs="宋体"/>
          <w:color w:val="auto"/>
          <w:sz w:val="21"/>
          <w:szCs w:val="21"/>
          <w:highlight w:val="none"/>
        </w:rPr>
        <w:t xml:space="preserve">由受益人所在地人民法院管辖。 </w:t>
      </w:r>
    </w:p>
    <w:bookmarkEnd w:id="631"/>
    <w:p w14:paraId="4921EE98">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EBAE895">
      <w:pPr>
        <w:spacing w:line="360" w:lineRule="auto"/>
        <w:ind w:firstLine="420" w:firstLineChars="200"/>
        <w:rPr>
          <w:rFonts w:cs="宋体"/>
          <w:color w:val="auto"/>
          <w:sz w:val="21"/>
          <w:szCs w:val="21"/>
          <w:highlight w:val="none"/>
        </w:rPr>
      </w:pPr>
    </w:p>
    <w:p w14:paraId="1F9B452B">
      <w:pPr>
        <w:spacing w:line="360" w:lineRule="auto"/>
        <w:ind w:firstLine="420" w:firstLineChars="200"/>
        <w:rPr>
          <w:rFonts w:cs="宋体"/>
          <w:color w:val="auto"/>
          <w:sz w:val="21"/>
          <w:szCs w:val="21"/>
          <w:highlight w:val="none"/>
        </w:rPr>
      </w:pPr>
    </w:p>
    <w:p w14:paraId="157EFDAB">
      <w:pPr>
        <w:spacing w:line="360" w:lineRule="auto"/>
        <w:ind w:firstLine="420" w:firstLineChars="200"/>
        <w:rPr>
          <w:rFonts w:cs="宋体"/>
          <w:color w:val="auto"/>
          <w:sz w:val="21"/>
          <w:szCs w:val="21"/>
          <w:highlight w:val="none"/>
        </w:rPr>
      </w:pPr>
    </w:p>
    <w:p w14:paraId="63F1AF0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472B6B5C">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7F351623">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E28C76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78155D1A">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50D0B33">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51578F0">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043E0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32" w:name="_Toc128950245"/>
      <w:r>
        <w:rPr>
          <w:rFonts w:hint="eastAsia" w:ascii="Times New Roman" w:eastAsia="黑体"/>
          <w:color w:val="auto"/>
          <w:szCs w:val="24"/>
          <w:highlight w:val="none"/>
        </w:rPr>
        <w:t>附</w:t>
      </w:r>
      <w:bookmarkStart w:id="633" w:name="_Toc296891060"/>
      <w:bookmarkStart w:id="634" w:name="_Toc296346733"/>
      <w:bookmarkStart w:id="635" w:name="_Toc296944571"/>
      <w:bookmarkStart w:id="636" w:name="_Toc296891272"/>
      <w:bookmarkStart w:id="637" w:name="_Toc296347231"/>
      <w:bookmarkStart w:id="638" w:name="_Toc296503232"/>
      <w:bookmarkStart w:id="639" w:name="_Toc267261702"/>
      <w:r>
        <w:rPr>
          <w:rFonts w:hint="eastAsia" w:ascii="Times New Roman" w:eastAsia="黑体"/>
          <w:color w:val="auto"/>
          <w:szCs w:val="24"/>
          <w:highlight w:val="none"/>
        </w:rPr>
        <w:t>件10：预付款担保</w:t>
      </w:r>
      <w:bookmarkEnd w:id="632"/>
    </w:p>
    <w:bookmarkEnd w:id="633"/>
    <w:bookmarkEnd w:id="634"/>
    <w:bookmarkEnd w:id="635"/>
    <w:bookmarkEnd w:id="636"/>
    <w:bookmarkEnd w:id="637"/>
    <w:bookmarkEnd w:id="638"/>
    <w:bookmarkEnd w:id="639"/>
    <w:p w14:paraId="704E0FD2">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5107531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1DA3EF1">
      <w:pPr>
        <w:spacing w:line="360" w:lineRule="auto"/>
        <w:rPr>
          <w:rFonts w:ascii="Times New Roman"/>
          <w:color w:val="auto"/>
          <w:szCs w:val="21"/>
          <w:highlight w:val="none"/>
        </w:rPr>
      </w:pPr>
    </w:p>
    <w:p w14:paraId="48E24AB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ED11425">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73E946A">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07FBCBC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ED32A4A">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359C0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483545FF">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41CE4A6">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72502D26">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8FFBD47">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5C91FC5">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3F9C26">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DB1061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6530BC">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7FE8B34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081BDB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626CCA6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B1F8799">
      <w:pPr>
        <w:spacing w:line="360" w:lineRule="auto"/>
        <w:ind w:firstLine="420" w:firstLineChars="200"/>
        <w:rPr>
          <w:rFonts w:cs="宋体"/>
          <w:color w:val="auto"/>
          <w:sz w:val="21"/>
          <w:szCs w:val="21"/>
          <w:highlight w:val="none"/>
        </w:rPr>
      </w:pPr>
    </w:p>
    <w:p w14:paraId="70034F81">
      <w:pPr>
        <w:spacing w:line="360" w:lineRule="auto"/>
        <w:ind w:firstLine="420" w:firstLineChars="200"/>
        <w:rPr>
          <w:rFonts w:cs="宋体"/>
          <w:color w:val="auto"/>
          <w:sz w:val="21"/>
          <w:szCs w:val="21"/>
          <w:highlight w:val="none"/>
        </w:rPr>
      </w:pPr>
    </w:p>
    <w:p w14:paraId="1E739C22">
      <w:pPr>
        <w:spacing w:line="360" w:lineRule="auto"/>
        <w:ind w:firstLine="420" w:firstLineChars="200"/>
        <w:rPr>
          <w:rFonts w:cs="宋体"/>
          <w:color w:val="auto"/>
          <w:sz w:val="21"/>
          <w:szCs w:val="21"/>
          <w:highlight w:val="none"/>
        </w:rPr>
      </w:pPr>
    </w:p>
    <w:p w14:paraId="5D2507C6">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C15DCE9">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92AFB80">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87E5B8">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22D4CB6">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1DEF854">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5202475B">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051F3605">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40" w:name="_Toc128950246"/>
      <w:r>
        <w:rPr>
          <w:rFonts w:hint="eastAsia" w:ascii="Times New Roman" w:eastAsia="黑体"/>
          <w:color w:val="auto"/>
          <w:szCs w:val="24"/>
          <w:highlight w:val="none"/>
        </w:rPr>
        <w:t>附</w:t>
      </w:r>
      <w:bookmarkStart w:id="641" w:name="_Toc296503233"/>
      <w:bookmarkStart w:id="642" w:name="_Toc296347232"/>
      <w:bookmarkStart w:id="643" w:name="_Toc296346734"/>
      <w:bookmarkStart w:id="644" w:name="_Toc296944572"/>
      <w:bookmarkStart w:id="645" w:name="_Toc296891061"/>
      <w:bookmarkStart w:id="646" w:name="_Toc296891273"/>
      <w:r>
        <w:rPr>
          <w:rFonts w:hint="eastAsia" w:ascii="Times New Roman" w:eastAsia="黑体"/>
          <w:color w:val="auto"/>
          <w:szCs w:val="24"/>
          <w:highlight w:val="none"/>
        </w:rPr>
        <w:t>件</w:t>
      </w:r>
      <w:r>
        <w:rPr>
          <w:rFonts w:ascii="Times New Roman" w:eastAsia="黑体"/>
          <w:color w:val="auto"/>
          <w:szCs w:val="24"/>
          <w:highlight w:val="none"/>
        </w:rPr>
        <w:t>1</w:t>
      </w:r>
      <w:r>
        <w:rPr>
          <w:rFonts w:hint="eastAsia" w:ascii="Times New Roman" w:eastAsia="黑体"/>
          <w:color w:val="auto"/>
          <w:szCs w:val="24"/>
          <w:highlight w:val="none"/>
        </w:rPr>
        <w:t>1：支付担保</w:t>
      </w:r>
      <w:bookmarkEnd w:id="640"/>
      <w:bookmarkEnd w:id="641"/>
      <w:bookmarkEnd w:id="642"/>
      <w:bookmarkEnd w:id="643"/>
      <w:bookmarkEnd w:id="644"/>
      <w:bookmarkEnd w:id="645"/>
      <w:bookmarkEnd w:id="646"/>
    </w:p>
    <w:p w14:paraId="74474E2F">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08A4CC86">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73C2E1CC">
      <w:pPr>
        <w:spacing w:line="360" w:lineRule="auto"/>
        <w:rPr>
          <w:rFonts w:ascii="Times New Roman"/>
          <w:color w:val="auto"/>
          <w:szCs w:val="21"/>
          <w:highlight w:val="none"/>
        </w:rPr>
      </w:pPr>
    </w:p>
    <w:p w14:paraId="7AE47C68">
      <w:pPr>
        <w:spacing w:line="360" w:lineRule="auto"/>
        <w:rPr>
          <w:rFonts w:cs="宋体"/>
          <w:color w:val="auto"/>
          <w:sz w:val="21"/>
          <w:szCs w:val="21"/>
          <w:highlight w:val="none"/>
        </w:rPr>
      </w:pPr>
      <w:bookmarkStart w:id="647" w:name="_Hlk40355074"/>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bookmarkEnd w:id="647"/>
    <w:p w14:paraId="42C38403">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10680DE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5E9B0187">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7605F3A9">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3D595E79">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14053616">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61B6D1D">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56D200CB">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0AFED0C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103432B8">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0AE2B71">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7ABB10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A5AF081">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15482CF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3EA7BA5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4C9B453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43AE75D8">
      <w:pPr>
        <w:spacing w:line="360" w:lineRule="auto"/>
        <w:ind w:firstLine="420" w:firstLineChars="200"/>
        <w:rPr>
          <w:rFonts w:cs="宋体"/>
          <w:color w:val="auto"/>
          <w:sz w:val="21"/>
          <w:szCs w:val="21"/>
          <w:highlight w:val="none"/>
        </w:rPr>
      </w:pPr>
    </w:p>
    <w:p w14:paraId="2BB74ADC">
      <w:pPr>
        <w:spacing w:line="360" w:lineRule="auto"/>
        <w:ind w:firstLine="420" w:firstLineChars="200"/>
        <w:rPr>
          <w:rFonts w:cs="宋体"/>
          <w:color w:val="auto"/>
          <w:sz w:val="21"/>
          <w:szCs w:val="21"/>
          <w:highlight w:val="none"/>
        </w:rPr>
      </w:pPr>
    </w:p>
    <w:p w14:paraId="14CDF7BF">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284FEA22">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E0C6A72">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10DDAEB">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2CC9FA64">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6755D91A">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6ECDAD18">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FBEB578">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48" w:name="_Toc128950247"/>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2：暂估价一览表</w:t>
      </w:r>
      <w:bookmarkEnd w:id="648"/>
    </w:p>
    <w:p w14:paraId="45FA0443">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12-1：材料暂估价表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62A6042">
        <w:tblPrEx>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557E715D">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2244E1A3">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2349C27C">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7C3BADBB">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442A4CF6">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4B66BC9D">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4CF2CE05">
            <w:pPr>
              <w:keepNext/>
              <w:spacing w:line="440" w:lineRule="exact"/>
              <w:jc w:val="center"/>
              <w:rPr>
                <w:rFonts w:cs="宋体"/>
                <w:color w:val="auto"/>
                <w:szCs w:val="21"/>
                <w:highlight w:val="none"/>
              </w:rPr>
            </w:pPr>
            <w:r>
              <w:rPr>
                <w:rFonts w:hint="eastAsia" w:cs="宋体"/>
                <w:color w:val="auto"/>
                <w:szCs w:val="21"/>
                <w:highlight w:val="none"/>
              </w:rPr>
              <w:t>备注</w:t>
            </w:r>
          </w:p>
        </w:tc>
      </w:tr>
      <w:tr w14:paraId="5FC8A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231FA03A">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317CA79D">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7285B71E">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F82839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0F40056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7E916A4F">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3F4D3672">
            <w:pPr>
              <w:keepNext/>
              <w:spacing w:line="440" w:lineRule="exact"/>
              <w:jc w:val="center"/>
              <w:rPr>
                <w:rFonts w:cs="宋体"/>
                <w:color w:val="auto"/>
                <w:szCs w:val="21"/>
                <w:highlight w:val="none"/>
              </w:rPr>
            </w:pPr>
          </w:p>
        </w:tc>
      </w:tr>
      <w:tr w14:paraId="6CE0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2E49313">
            <w:pPr>
              <w:keepNext/>
              <w:spacing w:line="440" w:lineRule="exact"/>
              <w:jc w:val="center"/>
              <w:rPr>
                <w:rFonts w:cs="宋体"/>
                <w:color w:val="auto"/>
                <w:szCs w:val="21"/>
                <w:highlight w:val="none"/>
              </w:rPr>
            </w:pPr>
          </w:p>
        </w:tc>
        <w:tc>
          <w:tcPr>
            <w:tcW w:w="1094" w:type="pct"/>
            <w:tcBorders>
              <w:top w:val="nil"/>
            </w:tcBorders>
            <w:vAlign w:val="center"/>
          </w:tcPr>
          <w:p w14:paraId="18BD1879">
            <w:pPr>
              <w:keepNext/>
              <w:spacing w:line="440" w:lineRule="exact"/>
              <w:jc w:val="center"/>
              <w:rPr>
                <w:rFonts w:cs="宋体"/>
                <w:color w:val="auto"/>
                <w:szCs w:val="21"/>
                <w:highlight w:val="none"/>
              </w:rPr>
            </w:pPr>
          </w:p>
        </w:tc>
        <w:tc>
          <w:tcPr>
            <w:tcW w:w="468" w:type="pct"/>
            <w:tcBorders>
              <w:top w:val="nil"/>
            </w:tcBorders>
            <w:vAlign w:val="center"/>
          </w:tcPr>
          <w:p w14:paraId="1670921C">
            <w:pPr>
              <w:keepNext/>
              <w:spacing w:line="440" w:lineRule="exact"/>
              <w:jc w:val="center"/>
              <w:rPr>
                <w:rFonts w:cs="宋体"/>
                <w:color w:val="auto"/>
                <w:szCs w:val="21"/>
                <w:highlight w:val="none"/>
              </w:rPr>
            </w:pPr>
          </w:p>
        </w:tc>
        <w:tc>
          <w:tcPr>
            <w:tcW w:w="426" w:type="pct"/>
            <w:tcBorders>
              <w:top w:val="nil"/>
            </w:tcBorders>
            <w:vAlign w:val="center"/>
          </w:tcPr>
          <w:p w14:paraId="5990C587">
            <w:pPr>
              <w:keepNext/>
              <w:spacing w:line="440" w:lineRule="exact"/>
              <w:jc w:val="center"/>
              <w:rPr>
                <w:rFonts w:cs="宋体"/>
                <w:color w:val="auto"/>
                <w:szCs w:val="21"/>
                <w:highlight w:val="none"/>
              </w:rPr>
            </w:pPr>
          </w:p>
        </w:tc>
        <w:tc>
          <w:tcPr>
            <w:tcW w:w="745" w:type="pct"/>
            <w:tcBorders>
              <w:top w:val="nil"/>
            </w:tcBorders>
            <w:vAlign w:val="center"/>
          </w:tcPr>
          <w:p w14:paraId="4DE48E3D">
            <w:pPr>
              <w:keepNext/>
              <w:spacing w:line="440" w:lineRule="exact"/>
              <w:jc w:val="center"/>
              <w:rPr>
                <w:rFonts w:cs="宋体"/>
                <w:color w:val="auto"/>
                <w:szCs w:val="21"/>
                <w:highlight w:val="none"/>
              </w:rPr>
            </w:pPr>
          </w:p>
        </w:tc>
        <w:tc>
          <w:tcPr>
            <w:tcW w:w="781" w:type="pct"/>
            <w:tcBorders>
              <w:top w:val="nil"/>
            </w:tcBorders>
            <w:vAlign w:val="center"/>
          </w:tcPr>
          <w:p w14:paraId="1B129D15">
            <w:pPr>
              <w:keepNext/>
              <w:spacing w:line="440" w:lineRule="exact"/>
              <w:jc w:val="center"/>
              <w:rPr>
                <w:rFonts w:cs="宋体"/>
                <w:color w:val="auto"/>
                <w:szCs w:val="21"/>
                <w:highlight w:val="none"/>
              </w:rPr>
            </w:pPr>
          </w:p>
        </w:tc>
        <w:tc>
          <w:tcPr>
            <w:tcW w:w="938" w:type="pct"/>
            <w:tcBorders>
              <w:top w:val="nil"/>
            </w:tcBorders>
            <w:vAlign w:val="center"/>
          </w:tcPr>
          <w:p w14:paraId="39AFBFAC">
            <w:pPr>
              <w:keepNext/>
              <w:spacing w:line="440" w:lineRule="exact"/>
              <w:jc w:val="center"/>
              <w:rPr>
                <w:rFonts w:cs="宋体"/>
                <w:color w:val="auto"/>
                <w:szCs w:val="21"/>
                <w:highlight w:val="none"/>
              </w:rPr>
            </w:pPr>
          </w:p>
        </w:tc>
      </w:tr>
      <w:tr w14:paraId="46649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2BBD16BE">
            <w:pPr>
              <w:keepNext/>
              <w:spacing w:line="440" w:lineRule="exact"/>
              <w:jc w:val="center"/>
              <w:rPr>
                <w:rFonts w:cs="宋体"/>
                <w:color w:val="auto"/>
                <w:szCs w:val="21"/>
                <w:highlight w:val="none"/>
              </w:rPr>
            </w:pPr>
          </w:p>
        </w:tc>
        <w:tc>
          <w:tcPr>
            <w:tcW w:w="1094" w:type="pct"/>
            <w:vAlign w:val="center"/>
          </w:tcPr>
          <w:p w14:paraId="55A1BEB2">
            <w:pPr>
              <w:keepNext/>
              <w:spacing w:line="440" w:lineRule="exact"/>
              <w:jc w:val="center"/>
              <w:rPr>
                <w:rFonts w:cs="宋体"/>
                <w:color w:val="auto"/>
                <w:szCs w:val="21"/>
                <w:highlight w:val="none"/>
              </w:rPr>
            </w:pPr>
          </w:p>
        </w:tc>
        <w:tc>
          <w:tcPr>
            <w:tcW w:w="468" w:type="pct"/>
            <w:vAlign w:val="center"/>
          </w:tcPr>
          <w:p w14:paraId="5DFE33BB">
            <w:pPr>
              <w:keepNext/>
              <w:spacing w:line="440" w:lineRule="exact"/>
              <w:jc w:val="center"/>
              <w:rPr>
                <w:rFonts w:cs="宋体"/>
                <w:color w:val="auto"/>
                <w:szCs w:val="21"/>
                <w:highlight w:val="none"/>
              </w:rPr>
            </w:pPr>
          </w:p>
        </w:tc>
        <w:tc>
          <w:tcPr>
            <w:tcW w:w="426" w:type="pct"/>
            <w:vAlign w:val="center"/>
          </w:tcPr>
          <w:p w14:paraId="02DA4928">
            <w:pPr>
              <w:keepNext/>
              <w:spacing w:line="440" w:lineRule="exact"/>
              <w:jc w:val="center"/>
              <w:rPr>
                <w:rFonts w:cs="宋体"/>
                <w:color w:val="auto"/>
                <w:szCs w:val="21"/>
                <w:highlight w:val="none"/>
              </w:rPr>
            </w:pPr>
          </w:p>
        </w:tc>
        <w:tc>
          <w:tcPr>
            <w:tcW w:w="745" w:type="pct"/>
            <w:vAlign w:val="center"/>
          </w:tcPr>
          <w:p w14:paraId="5E1441D4">
            <w:pPr>
              <w:keepNext/>
              <w:spacing w:line="440" w:lineRule="exact"/>
              <w:jc w:val="center"/>
              <w:rPr>
                <w:rFonts w:cs="宋体"/>
                <w:color w:val="auto"/>
                <w:szCs w:val="21"/>
                <w:highlight w:val="none"/>
              </w:rPr>
            </w:pPr>
          </w:p>
        </w:tc>
        <w:tc>
          <w:tcPr>
            <w:tcW w:w="781" w:type="pct"/>
            <w:vAlign w:val="center"/>
          </w:tcPr>
          <w:p w14:paraId="2047ACDD">
            <w:pPr>
              <w:keepNext/>
              <w:spacing w:line="440" w:lineRule="exact"/>
              <w:jc w:val="center"/>
              <w:rPr>
                <w:rFonts w:cs="宋体"/>
                <w:color w:val="auto"/>
                <w:szCs w:val="21"/>
                <w:highlight w:val="none"/>
              </w:rPr>
            </w:pPr>
          </w:p>
        </w:tc>
        <w:tc>
          <w:tcPr>
            <w:tcW w:w="938" w:type="pct"/>
            <w:vAlign w:val="center"/>
          </w:tcPr>
          <w:p w14:paraId="60F8FFD9">
            <w:pPr>
              <w:keepNext/>
              <w:spacing w:line="440" w:lineRule="exact"/>
              <w:jc w:val="center"/>
              <w:rPr>
                <w:rFonts w:cs="宋体"/>
                <w:color w:val="auto"/>
                <w:szCs w:val="21"/>
                <w:highlight w:val="none"/>
              </w:rPr>
            </w:pPr>
          </w:p>
        </w:tc>
      </w:tr>
      <w:tr w14:paraId="77238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F82D1F0">
            <w:pPr>
              <w:keepNext/>
              <w:spacing w:line="440" w:lineRule="exact"/>
              <w:jc w:val="center"/>
              <w:rPr>
                <w:rFonts w:cs="宋体"/>
                <w:color w:val="auto"/>
                <w:szCs w:val="21"/>
                <w:highlight w:val="none"/>
              </w:rPr>
            </w:pPr>
          </w:p>
        </w:tc>
        <w:tc>
          <w:tcPr>
            <w:tcW w:w="1094" w:type="pct"/>
            <w:vAlign w:val="center"/>
          </w:tcPr>
          <w:p w14:paraId="63D27D10">
            <w:pPr>
              <w:keepNext/>
              <w:spacing w:line="440" w:lineRule="exact"/>
              <w:jc w:val="center"/>
              <w:rPr>
                <w:rFonts w:cs="宋体"/>
                <w:color w:val="auto"/>
                <w:szCs w:val="21"/>
                <w:highlight w:val="none"/>
              </w:rPr>
            </w:pPr>
          </w:p>
        </w:tc>
        <w:tc>
          <w:tcPr>
            <w:tcW w:w="468" w:type="pct"/>
            <w:vAlign w:val="center"/>
          </w:tcPr>
          <w:p w14:paraId="7403F44E">
            <w:pPr>
              <w:keepNext/>
              <w:spacing w:line="440" w:lineRule="exact"/>
              <w:jc w:val="center"/>
              <w:rPr>
                <w:rFonts w:cs="宋体"/>
                <w:color w:val="auto"/>
                <w:szCs w:val="21"/>
                <w:highlight w:val="none"/>
              </w:rPr>
            </w:pPr>
          </w:p>
        </w:tc>
        <w:tc>
          <w:tcPr>
            <w:tcW w:w="426" w:type="pct"/>
            <w:vAlign w:val="center"/>
          </w:tcPr>
          <w:p w14:paraId="4283CE6E">
            <w:pPr>
              <w:keepNext/>
              <w:spacing w:line="440" w:lineRule="exact"/>
              <w:jc w:val="center"/>
              <w:rPr>
                <w:rFonts w:cs="宋体"/>
                <w:color w:val="auto"/>
                <w:szCs w:val="21"/>
                <w:highlight w:val="none"/>
              </w:rPr>
            </w:pPr>
          </w:p>
        </w:tc>
        <w:tc>
          <w:tcPr>
            <w:tcW w:w="745" w:type="pct"/>
            <w:vAlign w:val="center"/>
          </w:tcPr>
          <w:p w14:paraId="7AAAA01D">
            <w:pPr>
              <w:keepNext/>
              <w:spacing w:line="440" w:lineRule="exact"/>
              <w:jc w:val="center"/>
              <w:rPr>
                <w:rFonts w:cs="宋体"/>
                <w:color w:val="auto"/>
                <w:szCs w:val="21"/>
                <w:highlight w:val="none"/>
              </w:rPr>
            </w:pPr>
          </w:p>
        </w:tc>
        <w:tc>
          <w:tcPr>
            <w:tcW w:w="781" w:type="pct"/>
            <w:vAlign w:val="center"/>
          </w:tcPr>
          <w:p w14:paraId="5D51479E">
            <w:pPr>
              <w:keepNext/>
              <w:spacing w:line="440" w:lineRule="exact"/>
              <w:jc w:val="center"/>
              <w:rPr>
                <w:rFonts w:cs="宋体"/>
                <w:color w:val="auto"/>
                <w:szCs w:val="21"/>
                <w:highlight w:val="none"/>
              </w:rPr>
            </w:pPr>
          </w:p>
        </w:tc>
        <w:tc>
          <w:tcPr>
            <w:tcW w:w="938" w:type="pct"/>
            <w:vAlign w:val="center"/>
          </w:tcPr>
          <w:p w14:paraId="50090645">
            <w:pPr>
              <w:keepNext/>
              <w:spacing w:line="440" w:lineRule="exact"/>
              <w:jc w:val="center"/>
              <w:rPr>
                <w:rFonts w:cs="宋体"/>
                <w:color w:val="auto"/>
                <w:szCs w:val="21"/>
                <w:highlight w:val="none"/>
              </w:rPr>
            </w:pPr>
          </w:p>
        </w:tc>
      </w:tr>
      <w:tr w14:paraId="436EA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7B7AEC33">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19C14961">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3488D71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6895FB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11C90E5C">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5CCD3C1">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535EB796">
            <w:pPr>
              <w:keepNext/>
              <w:spacing w:line="440" w:lineRule="exact"/>
              <w:jc w:val="center"/>
              <w:rPr>
                <w:rFonts w:cs="宋体"/>
                <w:color w:val="auto"/>
                <w:szCs w:val="21"/>
                <w:highlight w:val="none"/>
              </w:rPr>
            </w:pPr>
          </w:p>
        </w:tc>
      </w:tr>
    </w:tbl>
    <w:p w14:paraId="5B10964B">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12-2：工程设备暂估价表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3A509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16F019C6">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346F9C51">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569FAB79">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3C2FEE4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05191942">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191EB68">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29609C7F">
            <w:pPr>
              <w:keepNext/>
              <w:spacing w:line="440" w:lineRule="exact"/>
              <w:jc w:val="center"/>
              <w:rPr>
                <w:rFonts w:cs="宋体"/>
                <w:color w:val="auto"/>
                <w:szCs w:val="21"/>
                <w:highlight w:val="none"/>
              </w:rPr>
            </w:pPr>
            <w:r>
              <w:rPr>
                <w:rFonts w:hint="eastAsia" w:cs="宋体"/>
                <w:color w:val="auto"/>
                <w:szCs w:val="21"/>
                <w:highlight w:val="none"/>
              </w:rPr>
              <w:t>备注</w:t>
            </w:r>
          </w:p>
        </w:tc>
      </w:tr>
      <w:tr w14:paraId="11D20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7CC3FD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38776D8">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0CD5FF3F">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3350F56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607DB2E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5CDC4CF2">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1E657198">
            <w:pPr>
              <w:keepNext/>
              <w:spacing w:line="440" w:lineRule="exact"/>
              <w:jc w:val="center"/>
              <w:rPr>
                <w:rFonts w:cs="宋体"/>
                <w:color w:val="auto"/>
                <w:szCs w:val="21"/>
                <w:highlight w:val="none"/>
              </w:rPr>
            </w:pPr>
          </w:p>
        </w:tc>
      </w:tr>
      <w:tr w14:paraId="2AF7B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6C989B8E">
            <w:pPr>
              <w:keepNext/>
              <w:spacing w:line="440" w:lineRule="exact"/>
              <w:jc w:val="center"/>
              <w:rPr>
                <w:rFonts w:cs="宋体"/>
                <w:color w:val="auto"/>
                <w:szCs w:val="21"/>
                <w:highlight w:val="none"/>
              </w:rPr>
            </w:pPr>
          </w:p>
        </w:tc>
        <w:tc>
          <w:tcPr>
            <w:tcW w:w="1094" w:type="pct"/>
            <w:tcBorders>
              <w:top w:val="nil"/>
            </w:tcBorders>
            <w:vAlign w:val="center"/>
          </w:tcPr>
          <w:p w14:paraId="1E5F2BDA">
            <w:pPr>
              <w:keepNext/>
              <w:spacing w:line="440" w:lineRule="exact"/>
              <w:jc w:val="center"/>
              <w:rPr>
                <w:rFonts w:cs="宋体"/>
                <w:color w:val="auto"/>
                <w:szCs w:val="21"/>
                <w:highlight w:val="none"/>
              </w:rPr>
            </w:pPr>
          </w:p>
        </w:tc>
        <w:tc>
          <w:tcPr>
            <w:tcW w:w="468" w:type="pct"/>
            <w:tcBorders>
              <w:top w:val="nil"/>
            </w:tcBorders>
            <w:vAlign w:val="center"/>
          </w:tcPr>
          <w:p w14:paraId="39A3847A">
            <w:pPr>
              <w:keepNext/>
              <w:spacing w:line="440" w:lineRule="exact"/>
              <w:jc w:val="center"/>
              <w:rPr>
                <w:rFonts w:cs="宋体"/>
                <w:color w:val="auto"/>
                <w:szCs w:val="21"/>
                <w:highlight w:val="none"/>
              </w:rPr>
            </w:pPr>
          </w:p>
        </w:tc>
        <w:tc>
          <w:tcPr>
            <w:tcW w:w="426" w:type="pct"/>
            <w:tcBorders>
              <w:top w:val="nil"/>
            </w:tcBorders>
            <w:vAlign w:val="center"/>
          </w:tcPr>
          <w:p w14:paraId="6638E132">
            <w:pPr>
              <w:keepNext/>
              <w:spacing w:line="440" w:lineRule="exact"/>
              <w:jc w:val="center"/>
              <w:rPr>
                <w:rFonts w:cs="宋体"/>
                <w:color w:val="auto"/>
                <w:szCs w:val="21"/>
                <w:highlight w:val="none"/>
              </w:rPr>
            </w:pPr>
          </w:p>
        </w:tc>
        <w:tc>
          <w:tcPr>
            <w:tcW w:w="745" w:type="pct"/>
            <w:tcBorders>
              <w:top w:val="nil"/>
            </w:tcBorders>
            <w:vAlign w:val="center"/>
          </w:tcPr>
          <w:p w14:paraId="09008ECC">
            <w:pPr>
              <w:keepNext/>
              <w:spacing w:line="440" w:lineRule="exact"/>
              <w:jc w:val="center"/>
              <w:rPr>
                <w:rFonts w:cs="宋体"/>
                <w:color w:val="auto"/>
                <w:szCs w:val="21"/>
                <w:highlight w:val="none"/>
              </w:rPr>
            </w:pPr>
          </w:p>
        </w:tc>
        <w:tc>
          <w:tcPr>
            <w:tcW w:w="781" w:type="pct"/>
            <w:tcBorders>
              <w:top w:val="nil"/>
            </w:tcBorders>
            <w:vAlign w:val="center"/>
          </w:tcPr>
          <w:p w14:paraId="3AA9E1E8">
            <w:pPr>
              <w:keepNext/>
              <w:spacing w:line="440" w:lineRule="exact"/>
              <w:jc w:val="center"/>
              <w:rPr>
                <w:rFonts w:cs="宋体"/>
                <w:color w:val="auto"/>
                <w:szCs w:val="21"/>
                <w:highlight w:val="none"/>
              </w:rPr>
            </w:pPr>
          </w:p>
        </w:tc>
        <w:tc>
          <w:tcPr>
            <w:tcW w:w="938" w:type="pct"/>
            <w:tcBorders>
              <w:top w:val="nil"/>
            </w:tcBorders>
            <w:vAlign w:val="center"/>
          </w:tcPr>
          <w:p w14:paraId="56311791">
            <w:pPr>
              <w:keepNext/>
              <w:spacing w:line="440" w:lineRule="exact"/>
              <w:jc w:val="center"/>
              <w:rPr>
                <w:rFonts w:cs="宋体"/>
                <w:color w:val="auto"/>
                <w:szCs w:val="21"/>
                <w:highlight w:val="none"/>
              </w:rPr>
            </w:pPr>
          </w:p>
        </w:tc>
      </w:tr>
      <w:tr w14:paraId="1E40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7EE54D6">
            <w:pPr>
              <w:keepNext/>
              <w:spacing w:line="440" w:lineRule="exact"/>
              <w:jc w:val="center"/>
              <w:rPr>
                <w:rFonts w:cs="宋体"/>
                <w:color w:val="auto"/>
                <w:szCs w:val="21"/>
                <w:highlight w:val="none"/>
              </w:rPr>
            </w:pPr>
          </w:p>
        </w:tc>
        <w:tc>
          <w:tcPr>
            <w:tcW w:w="1094" w:type="pct"/>
            <w:vAlign w:val="center"/>
          </w:tcPr>
          <w:p w14:paraId="51BDE60A">
            <w:pPr>
              <w:keepNext/>
              <w:spacing w:line="440" w:lineRule="exact"/>
              <w:jc w:val="center"/>
              <w:rPr>
                <w:rFonts w:cs="宋体"/>
                <w:color w:val="auto"/>
                <w:szCs w:val="21"/>
                <w:highlight w:val="none"/>
              </w:rPr>
            </w:pPr>
          </w:p>
        </w:tc>
        <w:tc>
          <w:tcPr>
            <w:tcW w:w="468" w:type="pct"/>
            <w:vAlign w:val="center"/>
          </w:tcPr>
          <w:p w14:paraId="2C954AA6">
            <w:pPr>
              <w:keepNext/>
              <w:spacing w:line="440" w:lineRule="exact"/>
              <w:jc w:val="center"/>
              <w:rPr>
                <w:rFonts w:cs="宋体"/>
                <w:color w:val="auto"/>
                <w:szCs w:val="21"/>
                <w:highlight w:val="none"/>
              </w:rPr>
            </w:pPr>
          </w:p>
        </w:tc>
        <w:tc>
          <w:tcPr>
            <w:tcW w:w="426" w:type="pct"/>
            <w:vAlign w:val="center"/>
          </w:tcPr>
          <w:p w14:paraId="63746952">
            <w:pPr>
              <w:keepNext/>
              <w:spacing w:line="440" w:lineRule="exact"/>
              <w:jc w:val="center"/>
              <w:rPr>
                <w:rFonts w:cs="宋体"/>
                <w:color w:val="auto"/>
                <w:szCs w:val="21"/>
                <w:highlight w:val="none"/>
              </w:rPr>
            </w:pPr>
          </w:p>
        </w:tc>
        <w:tc>
          <w:tcPr>
            <w:tcW w:w="745" w:type="pct"/>
            <w:vAlign w:val="center"/>
          </w:tcPr>
          <w:p w14:paraId="645335F5">
            <w:pPr>
              <w:keepNext/>
              <w:spacing w:line="440" w:lineRule="exact"/>
              <w:jc w:val="center"/>
              <w:rPr>
                <w:rFonts w:cs="宋体"/>
                <w:color w:val="auto"/>
                <w:szCs w:val="21"/>
                <w:highlight w:val="none"/>
              </w:rPr>
            </w:pPr>
          </w:p>
        </w:tc>
        <w:tc>
          <w:tcPr>
            <w:tcW w:w="781" w:type="pct"/>
            <w:vAlign w:val="center"/>
          </w:tcPr>
          <w:p w14:paraId="109D4B72">
            <w:pPr>
              <w:keepNext/>
              <w:spacing w:line="440" w:lineRule="exact"/>
              <w:jc w:val="center"/>
              <w:rPr>
                <w:rFonts w:cs="宋体"/>
                <w:color w:val="auto"/>
                <w:szCs w:val="21"/>
                <w:highlight w:val="none"/>
              </w:rPr>
            </w:pPr>
          </w:p>
        </w:tc>
        <w:tc>
          <w:tcPr>
            <w:tcW w:w="938" w:type="pct"/>
            <w:vAlign w:val="center"/>
          </w:tcPr>
          <w:p w14:paraId="796D50CE">
            <w:pPr>
              <w:keepNext/>
              <w:spacing w:line="440" w:lineRule="exact"/>
              <w:jc w:val="center"/>
              <w:rPr>
                <w:rFonts w:cs="宋体"/>
                <w:color w:val="auto"/>
                <w:szCs w:val="21"/>
                <w:highlight w:val="none"/>
              </w:rPr>
            </w:pPr>
          </w:p>
        </w:tc>
      </w:tr>
      <w:tr w14:paraId="39A1C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AA5E002">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08C1276E">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0B35E46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C1D7CEE">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295003BF">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130E725A">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117B1F61">
            <w:pPr>
              <w:keepNext/>
              <w:spacing w:line="440" w:lineRule="exact"/>
              <w:jc w:val="center"/>
              <w:rPr>
                <w:rFonts w:cs="宋体"/>
                <w:color w:val="auto"/>
                <w:szCs w:val="21"/>
                <w:highlight w:val="none"/>
              </w:rPr>
            </w:pPr>
          </w:p>
        </w:tc>
      </w:tr>
    </w:tbl>
    <w:p w14:paraId="0415E6DC">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12-3：专业工程暂估价表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B395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45A132EF">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7D82C600">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7A6CBB91">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1C6453A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2525DDDA">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CEE16A9">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34379226">
            <w:pPr>
              <w:keepNext/>
              <w:spacing w:line="440" w:lineRule="exact"/>
              <w:jc w:val="center"/>
              <w:rPr>
                <w:rFonts w:cs="宋体"/>
                <w:color w:val="auto"/>
                <w:szCs w:val="21"/>
                <w:highlight w:val="none"/>
              </w:rPr>
            </w:pPr>
            <w:r>
              <w:rPr>
                <w:rFonts w:hint="eastAsia" w:cs="宋体"/>
                <w:color w:val="auto"/>
                <w:szCs w:val="21"/>
                <w:highlight w:val="none"/>
              </w:rPr>
              <w:t>备注</w:t>
            </w:r>
          </w:p>
        </w:tc>
      </w:tr>
      <w:tr w14:paraId="36111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6F8BB34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169EE924">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559EADC1">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E14B389">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3330B3BA">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973A063">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00903A0">
            <w:pPr>
              <w:keepNext/>
              <w:spacing w:line="440" w:lineRule="exact"/>
              <w:jc w:val="center"/>
              <w:rPr>
                <w:rFonts w:cs="宋体"/>
                <w:color w:val="auto"/>
                <w:szCs w:val="21"/>
                <w:highlight w:val="none"/>
              </w:rPr>
            </w:pPr>
          </w:p>
        </w:tc>
      </w:tr>
      <w:tr w14:paraId="1135B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7AD21FF">
            <w:pPr>
              <w:keepNext/>
              <w:spacing w:line="440" w:lineRule="exact"/>
              <w:jc w:val="center"/>
              <w:rPr>
                <w:rFonts w:cs="宋体"/>
                <w:color w:val="auto"/>
                <w:szCs w:val="21"/>
                <w:highlight w:val="none"/>
              </w:rPr>
            </w:pPr>
          </w:p>
        </w:tc>
        <w:tc>
          <w:tcPr>
            <w:tcW w:w="1094" w:type="pct"/>
            <w:tcBorders>
              <w:top w:val="nil"/>
            </w:tcBorders>
            <w:vAlign w:val="center"/>
          </w:tcPr>
          <w:p w14:paraId="3EFFB536">
            <w:pPr>
              <w:keepNext/>
              <w:spacing w:line="440" w:lineRule="exact"/>
              <w:jc w:val="center"/>
              <w:rPr>
                <w:rFonts w:cs="宋体"/>
                <w:color w:val="auto"/>
                <w:szCs w:val="21"/>
                <w:highlight w:val="none"/>
              </w:rPr>
            </w:pPr>
          </w:p>
        </w:tc>
        <w:tc>
          <w:tcPr>
            <w:tcW w:w="468" w:type="pct"/>
            <w:tcBorders>
              <w:top w:val="nil"/>
            </w:tcBorders>
            <w:vAlign w:val="center"/>
          </w:tcPr>
          <w:p w14:paraId="6ABFA5F4">
            <w:pPr>
              <w:keepNext/>
              <w:spacing w:line="440" w:lineRule="exact"/>
              <w:jc w:val="center"/>
              <w:rPr>
                <w:rFonts w:cs="宋体"/>
                <w:color w:val="auto"/>
                <w:szCs w:val="21"/>
                <w:highlight w:val="none"/>
              </w:rPr>
            </w:pPr>
          </w:p>
        </w:tc>
        <w:tc>
          <w:tcPr>
            <w:tcW w:w="426" w:type="pct"/>
            <w:tcBorders>
              <w:top w:val="nil"/>
            </w:tcBorders>
            <w:vAlign w:val="center"/>
          </w:tcPr>
          <w:p w14:paraId="00428110">
            <w:pPr>
              <w:keepNext/>
              <w:spacing w:line="440" w:lineRule="exact"/>
              <w:jc w:val="center"/>
              <w:rPr>
                <w:rFonts w:cs="宋体"/>
                <w:color w:val="auto"/>
                <w:szCs w:val="21"/>
                <w:highlight w:val="none"/>
              </w:rPr>
            </w:pPr>
          </w:p>
        </w:tc>
        <w:tc>
          <w:tcPr>
            <w:tcW w:w="745" w:type="pct"/>
            <w:tcBorders>
              <w:top w:val="nil"/>
            </w:tcBorders>
            <w:vAlign w:val="center"/>
          </w:tcPr>
          <w:p w14:paraId="2BD91C9C">
            <w:pPr>
              <w:keepNext/>
              <w:spacing w:line="440" w:lineRule="exact"/>
              <w:jc w:val="center"/>
              <w:rPr>
                <w:rFonts w:cs="宋体"/>
                <w:color w:val="auto"/>
                <w:szCs w:val="21"/>
                <w:highlight w:val="none"/>
              </w:rPr>
            </w:pPr>
          </w:p>
        </w:tc>
        <w:tc>
          <w:tcPr>
            <w:tcW w:w="781" w:type="pct"/>
            <w:tcBorders>
              <w:top w:val="nil"/>
            </w:tcBorders>
            <w:vAlign w:val="center"/>
          </w:tcPr>
          <w:p w14:paraId="0EAAF22D">
            <w:pPr>
              <w:keepNext/>
              <w:spacing w:line="440" w:lineRule="exact"/>
              <w:jc w:val="center"/>
              <w:rPr>
                <w:rFonts w:cs="宋体"/>
                <w:color w:val="auto"/>
                <w:szCs w:val="21"/>
                <w:highlight w:val="none"/>
              </w:rPr>
            </w:pPr>
          </w:p>
        </w:tc>
        <w:tc>
          <w:tcPr>
            <w:tcW w:w="938" w:type="pct"/>
            <w:tcBorders>
              <w:top w:val="nil"/>
            </w:tcBorders>
            <w:vAlign w:val="center"/>
          </w:tcPr>
          <w:p w14:paraId="1CCC70BC">
            <w:pPr>
              <w:keepNext/>
              <w:spacing w:line="440" w:lineRule="exact"/>
              <w:jc w:val="center"/>
              <w:rPr>
                <w:rFonts w:cs="宋体"/>
                <w:color w:val="auto"/>
                <w:szCs w:val="21"/>
                <w:highlight w:val="none"/>
              </w:rPr>
            </w:pPr>
          </w:p>
        </w:tc>
      </w:tr>
      <w:tr w14:paraId="55F3D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1AE547E">
            <w:pPr>
              <w:keepNext/>
              <w:spacing w:line="440" w:lineRule="exact"/>
              <w:jc w:val="center"/>
              <w:rPr>
                <w:rFonts w:cs="宋体"/>
                <w:color w:val="auto"/>
                <w:szCs w:val="21"/>
                <w:highlight w:val="none"/>
              </w:rPr>
            </w:pPr>
          </w:p>
        </w:tc>
        <w:tc>
          <w:tcPr>
            <w:tcW w:w="1094" w:type="pct"/>
            <w:vAlign w:val="center"/>
          </w:tcPr>
          <w:p w14:paraId="29AB2999">
            <w:pPr>
              <w:keepNext/>
              <w:spacing w:line="440" w:lineRule="exact"/>
              <w:jc w:val="center"/>
              <w:rPr>
                <w:rFonts w:cs="宋体"/>
                <w:color w:val="auto"/>
                <w:szCs w:val="21"/>
                <w:highlight w:val="none"/>
              </w:rPr>
            </w:pPr>
          </w:p>
        </w:tc>
        <w:tc>
          <w:tcPr>
            <w:tcW w:w="468" w:type="pct"/>
            <w:vAlign w:val="center"/>
          </w:tcPr>
          <w:p w14:paraId="4F1F84F4">
            <w:pPr>
              <w:keepNext/>
              <w:spacing w:line="440" w:lineRule="exact"/>
              <w:jc w:val="center"/>
              <w:rPr>
                <w:rFonts w:cs="宋体"/>
                <w:color w:val="auto"/>
                <w:szCs w:val="21"/>
                <w:highlight w:val="none"/>
              </w:rPr>
            </w:pPr>
          </w:p>
        </w:tc>
        <w:tc>
          <w:tcPr>
            <w:tcW w:w="426" w:type="pct"/>
            <w:vAlign w:val="center"/>
          </w:tcPr>
          <w:p w14:paraId="620A55C0">
            <w:pPr>
              <w:keepNext/>
              <w:spacing w:line="440" w:lineRule="exact"/>
              <w:jc w:val="center"/>
              <w:rPr>
                <w:rFonts w:cs="宋体"/>
                <w:color w:val="auto"/>
                <w:szCs w:val="21"/>
                <w:highlight w:val="none"/>
              </w:rPr>
            </w:pPr>
          </w:p>
        </w:tc>
        <w:tc>
          <w:tcPr>
            <w:tcW w:w="745" w:type="pct"/>
            <w:vAlign w:val="center"/>
          </w:tcPr>
          <w:p w14:paraId="647FD0D9">
            <w:pPr>
              <w:keepNext/>
              <w:spacing w:line="440" w:lineRule="exact"/>
              <w:jc w:val="center"/>
              <w:rPr>
                <w:rFonts w:cs="宋体"/>
                <w:color w:val="auto"/>
                <w:szCs w:val="21"/>
                <w:highlight w:val="none"/>
              </w:rPr>
            </w:pPr>
          </w:p>
        </w:tc>
        <w:tc>
          <w:tcPr>
            <w:tcW w:w="781" w:type="pct"/>
            <w:vAlign w:val="center"/>
          </w:tcPr>
          <w:p w14:paraId="601CBF85">
            <w:pPr>
              <w:keepNext/>
              <w:spacing w:line="440" w:lineRule="exact"/>
              <w:jc w:val="center"/>
              <w:rPr>
                <w:rFonts w:cs="宋体"/>
                <w:color w:val="auto"/>
                <w:szCs w:val="21"/>
                <w:highlight w:val="none"/>
              </w:rPr>
            </w:pPr>
          </w:p>
        </w:tc>
        <w:tc>
          <w:tcPr>
            <w:tcW w:w="938" w:type="pct"/>
            <w:vAlign w:val="center"/>
          </w:tcPr>
          <w:p w14:paraId="2F6FFD52">
            <w:pPr>
              <w:keepNext/>
              <w:spacing w:line="440" w:lineRule="exact"/>
              <w:jc w:val="center"/>
              <w:rPr>
                <w:rFonts w:cs="宋体"/>
                <w:color w:val="auto"/>
                <w:szCs w:val="21"/>
                <w:highlight w:val="none"/>
              </w:rPr>
            </w:pPr>
          </w:p>
        </w:tc>
      </w:tr>
      <w:tr w14:paraId="6C418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02D81134">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7562919A">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6F46E411">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161A7B4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50405C40">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00F58B5C">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32016D8A">
            <w:pPr>
              <w:keepNext/>
              <w:spacing w:line="440" w:lineRule="exact"/>
              <w:jc w:val="center"/>
              <w:rPr>
                <w:rFonts w:cs="宋体"/>
                <w:color w:val="auto"/>
                <w:szCs w:val="21"/>
                <w:highlight w:val="none"/>
              </w:rPr>
            </w:pPr>
          </w:p>
        </w:tc>
      </w:tr>
    </w:tbl>
    <w:p w14:paraId="57E27BF7">
      <w:pPr>
        <w:rPr>
          <w:rFonts w:cs="宋体"/>
          <w:color w:val="auto"/>
          <w:szCs w:val="21"/>
          <w:highlight w:val="none"/>
        </w:rPr>
      </w:pPr>
    </w:p>
    <w:p w14:paraId="10798F5A">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49" w:name="_Toc128950248"/>
      <w:r>
        <w:rPr>
          <w:rFonts w:hint="eastAsia" w:ascii="Times New Roman" w:eastAsia="黑体"/>
          <w:color w:val="auto"/>
          <w:szCs w:val="24"/>
          <w:highlight w:val="none"/>
        </w:rPr>
        <w:t>附件13：安全生产合同</w:t>
      </w:r>
      <w:bookmarkEnd w:id="649"/>
    </w:p>
    <w:p w14:paraId="48073097">
      <w:pPr>
        <w:spacing w:before="156" w:beforeLines="50" w:after="156" w:afterLines="50" w:line="360" w:lineRule="auto"/>
        <w:jc w:val="center"/>
        <w:rPr>
          <w:rFonts w:cs="宋体"/>
          <w:b/>
          <w:color w:val="auto"/>
          <w:sz w:val="32"/>
          <w:szCs w:val="32"/>
          <w:highlight w:val="none"/>
        </w:rPr>
      </w:pPr>
      <w:bookmarkStart w:id="650" w:name="_Toc11475"/>
      <w:bookmarkStart w:id="651" w:name="_Toc23792"/>
      <w:r>
        <w:rPr>
          <w:rFonts w:hint="eastAsia" w:cs="宋体"/>
          <w:b/>
          <w:color w:val="auto"/>
          <w:sz w:val="32"/>
          <w:szCs w:val="32"/>
          <w:highlight w:val="none"/>
        </w:rPr>
        <w:t>安全生产合同</w:t>
      </w:r>
      <w:bookmarkEnd w:id="650"/>
      <w:bookmarkEnd w:id="651"/>
    </w:p>
    <w:p w14:paraId="54747FBE">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lang w:val="en-US" w:eastAsia="zh-CN"/>
        </w:rPr>
        <w:t xml:space="preserve"> 2026年道路交通安全整治提升工程（一批次）工程</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49A407BA">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379286BA">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7C858D2C">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443670DC">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4A0A0E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1112927D">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3F43EE03">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7142A3B4">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399985C">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C51F830">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36227972">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7D3A08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119B71">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A08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4A6042C">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7A0F0977">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0ED9EDB">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89008DC">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003CC033">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1310266B">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728F004">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45EC1BB4">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0693E976">
      <w:pPr>
        <w:spacing w:line="360" w:lineRule="auto"/>
        <w:rPr>
          <w:rFonts w:cs="宋体"/>
          <w:color w:val="auto"/>
          <w:sz w:val="21"/>
          <w:szCs w:val="21"/>
          <w:highlight w:val="none"/>
        </w:rPr>
      </w:pPr>
    </w:p>
    <w:p w14:paraId="07C1AFFA">
      <w:pPr>
        <w:spacing w:line="360" w:lineRule="auto"/>
        <w:rPr>
          <w:rFonts w:cs="宋体"/>
          <w:color w:val="auto"/>
          <w:sz w:val="21"/>
          <w:szCs w:val="21"/>
          <w:highlight w:val="none"/>
        </w:rPr>
      </w:pPr>
    </w:p>
    <w:p w14:paraId="3CAD722D">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21E0C466">
      <w:pPr>
        <w:spacing w:line="360" w:lineRule="auto"/>
        <w:rPr>
          <w:rFonts w:cs="宋体"/>
          <w:color w:val="auto"/>
          <w:sz w:val="21"/>
          <w:szCs w:val="21"/>
          <w:highlight w:val="none"/>
        </w:rPr>
      </w:pPr>
    </w:p>
    <w:p w14:paraId="29D3CCA3">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43A6F92">
      <w:pPr>
        <w:spacing w:line="360" w:lineRule="auto"/>
        <w:rPr>
          <w:rFonts w:cs="宋体"/>
          <w:color w:val="auto"/>
          <w:sz w:val="21"/>
          <w:szCs w:val="21"/>
          <w:highlight w:val="none"/>
        </w:rPr>
      </w:pPr>
    </w:p>
    <w:p w14:paraId="0BA97D6A">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CEE39DB">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52" w:name="_Toc128950249"/>
      <w:r>
        <w:rPr>
          <w:rFonts w:hint="eastAsia" w:ascii="Times New Roman" w:eastAsia="黑体"/>
          <w:color w:val="auto"/>
          <w:szCs w:val="24"/>
          <w:highlight w:val="none"/>
        </w:rPr>
        <w:t>附件14：项目经理质量终身责任制承诺</w:t>
      </w:r>
      <w:bookmarkEnd w:id="652"/>
    </w:p>
    <w:p w14:paraId="0839DB50">
      <w:pPr>
        <w:spacing w:before="156" w:beforeLines="50" w:after="156" w:afterLines="50" w:line="360" w:lineRule="auto"/>
        <w:jc w:val="center"/>
        <w:rPr>
          <w:rFonts w:cs="宋体"/>
          <w:b/>
          <w:color w:val="auto"/>
          <w:sz w:val="32"/>
          <w:szCs w:val="32"/>
          <w:highlight w:val="none"/>
        </w:rPr>
      </w:pPr>
      <w:bookmarkStart w:id="653" w:name="_Toc128950250"/>
      <w:bookmarkStart w:id="654" w:name="_Toc14540"/>
      <w:bookmarkStart w:id="655" w:name="_Toc19417"/>
      <w:r>
        <w:rPr>
          <w:rFonts w:hint="eastAsia" w:cs="宋体"/>
          <w:b/>
          <w:color w:val="auto"/>
          <w:sz w:val="32"/>
          <w:szCs w:val="32"/>
          <w:highlight w:val="none"/>
        </w:rPr>
        <w:t>项目经理质量终身责任制承诺</w:t>
      </w:r>
      <w:bookmarkEnd w:id="653"/>
      <w:bookmarkEnd w:id="654"/>
      <w:bookmarkEnd w:id="655"/>
    </w:p>
    <w:p w14:paraId="6D18411C">
      <w:pPr>
        <w:spacing w:line="360" w:lineRule="auto"/>
        <w:rPr>
          <w:rFonts w:hint="default" w:eastAsia="宋体" w:cs="宋体"/>
          <w:bCs/>
          <w:color w:val="auto"/>
          <w:sz w:val="21"/>
          <w:szCs w:val="21"/>
          <w:highlight w:val="none"/>
          <w:lang w:val="en-US" w:eastAsia="zh-CN"/>
        </w:rPr>
      </w:pPr>
      <w:r>
        <w:rPr>
          <w:rFonts w:hint="eastAsia" w:cs="宋体"/>
          <w:bCs/>
          <w:color w:val="auto"/>
          <w:sz w:val="21"/>
          <w:szCs w:val="21"/>
          <w:highlight w:val="none"/>
        </w:rPr>
        <w:t>致：</w:t>
      </w:r>
      <w:r>
        <w:rPr>
          <w:rFonts w:hint="eastAsia" w:cs="宋体"/>
          <w:bCs/>
          <w:color w:val="auto"/>
          <w:sz w:val="21"/>
          <w:szCs w:val="21"/>
          <w:highlight w:val="none"/>
          <w:u w:val="single"/>
          <w:lang w:val="en-US" w:eastAsia="zh-CN"/>
        </w:rPr>
        <w:t>滁州市重点工程建设管理处</w:t>
      </w:r>
    </w:p>
    <w:p w14:paraId="030651F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000DC66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19A29E5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469B5A0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1A1088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6A6E35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9AE45B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382DC5B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753CBB6E">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3ACA9F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6954BF42">
      <w:pPr>
        <w:spacing w:line="360" w:lineRule="auto"/>
        <w:ind w:left="342" w:leftChars="171" w:firstLine="630" w:firstLineChars="300"/>
        <w:rPr>
          <w:rFonts w:cs="宋体"/>
          <w:bCs/>
          <w:color w:val="auto"/>
          <w:sz w:val="21"/>
          <w:szCs w:val="21"/>
          <w:highlight w:val="none"/>
        </w:rPr>
      </w:pPr>
    </w:p>
    <w:p w14:paraId="1FBB4B4C">
      <w:pPr>
        <w:spacing w:line="360" w:lineRule="auto"/>
        <w:ind w:left="342" w:leftChars="171" w:firstLine="630" w:firstLineChars="300"/>
        <w:rPr>
          <w:rFonts w:cs="宋体"/>
          <w:bCs/>
          <w:color w:val="auto"/>
          <w:sz w:val="21"/>
          <w:szCs w:val="21"/>
          <w:highlight w:val="none"/>
        </w:rPr>
      </w:pPr>
    </w:p>
    <w:p w14:paraId="32EFA0B5">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2C7E9A7">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676ECC27">
      <w:pPr>
        <w:pStyle w:val="2"/>
        <w:rPr>
          <w:rFonts w:ascii="宋体" w:hAnsi="宋体" w:eastAsia="宋体" w:cs="宋体"/>
          <w:bCs/>
          <w:color w:val="auto"/>
          <w:sz w:val="21"/>
          <w:szCs w:val="21"/>
          <w:highlight w:val="none"/>
        </w:rPr>
      </w:pPr>
    </w:p>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56" w:name="_Toc22734"/>
      <w:r>
        <w:rPr>
          <w:rFonts w:hint="eastAsia" w:asciiTheme="minorEastAsia" w:hAnsiTheme="minorEastAsia" w:eastAsiaTheme="minorEastAsia"/>
          <w:b/>
          <w:color w:val="auto"/>
          <w:sz w:val="28"/>
          <w:highlight w:val="none"/>
        </w:rPr>
        <w:t>第六章  响应文件格式</w:t>
      </w:r>
      <w:bookmarkEnd w:id="656"/>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48E97191">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57" w:name="_Toc24911"/>
      <w:bookmarkStart w:id="658"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57"/>
      <w:bookmarkEnd w:id="658"/>
    </w:p>
    <w:p w14:paraId="334EC9B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659" w:name="_Toc461053086"/>
      <w:bookmarkStart w:id="660" w:name="_Toc461056631"/>
      <w:bookmarkStart w:id="661" w:name="_Toc21496"/>
      <w:bookmarkStart w:id="662" w:name="_Toc520983587"/>
      <w:bookmarkStart w:id="663" w:name="_Toc28280"/>
      <w:r>
        <w:rPr>
          <w:rFonts w:hint="eastAsia" w:asciiTheme="minorEastAsia" w:hAnsiTheme="minorEastAsia" w:eastAsiaTheme="minorEastAsia"/>
          <w:b/>
          <w:color w:val="auto"/>
          <w:sz w:val="24"/>
          <w:highlight w:val="none"/>
        </w:rPr>
        <w:t>一</w:t>
      </w:r>
      <w:bookmarkEnd w:id="659"/>
      <w:bookmarkEnd w:id="660"/>
      <w:r>
        <w:rPr>
          <w:rFonts w:hint="eastAsia" w:asciiTheme="minorEastAsia" w:hAnsiTheme="minorEastAsia" w:eastAsiaTheme="minorEastAsia"/>
          <w:b/>
          <w:color w:val="auto"/>
          <w:sz w:val="24"/>
          <w:highlight w:val="none"/>
        </w:rPr>
        <w:t>、报价表格式</w:t>
      </w:r>
      <w:bookmarkEnd w:id="661"/>
      <w:bookmarkEnd w:id="662"/>
      <w:bookmarkEnd w:id="663"/>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171E0A94">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ascii="宋体" w:hAnsi="宋体" w:eastAsia="宋体" w:cs="宋体"/>
                <w:b/>
                <w:color w:val="auto"/>
                <w:kern w:val="2"/>
                <w:sz w:val="24"/>
                <w:szCs w:val="24"/>
                <w:highlight w:val="none"/>
                <w:lang w:val="en-US" w:eastAsia="zh-CN"/>
              </w:rPr>
              <w:t>具备施工条件后</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lang w:val="en-US" w:eastAsia="zh-CN"/>
              </w:rPr>
              <w:t>个日历天内完成并验收合格。供应商自报的承诺工期为考核标准。因供应商原因造成的工期延误，每推迟一天，按合同价款（扣除暂估价和暂列金）万分之二处以违约金。</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664" w:name="_Toc26702"/>
      <w:bookmarkStart w:id="665" w:name="_Toc1874"/>
      <w:r>
        <w:rPr>
          <w:rFonts w:hint="eastAsia" w:cs="宋体" w:asciiTheme="minorEastAsia" w:hAnsiTheme="minorEastAsia" w:eastAsiaTheme="minorEastAsia"/>
          <w:b/>
          <w:color w:val="auto"/>
          <w:sz w:val="24"/>
          <w:szCs w:val="24"/>
          <w:highlight w:val="none"/>
        </w:rPr>
        <w:t>工程量清单报价书</w:t>
      </w:r>
      <w:bookmarkEnd w:id="664"/>
      <w:bookmarkEnd w:id="665"/>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jc w:val="left"/>
        <w:rPr>
          <w:b/>
          <w:bCs/>
          <w:color w:val="auto"/>
          <w:sz w:val="24"/>
          <w:szCs w:val="28"/>
          <w:highlight w:val="none"/>
        </w:rPr>
      </w:pPr>
      <w:r>
        <w:rPr>
          <w:b/>
          <w:bCs/>
          <w:color w:val="auto"/>
          <w:sz w:val="24"/>
          <w:szCs w:val="28"/>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666" w:name="_Toc461053087"/>
      <w:bookmarkStart w:id="667" w:name="_Toc461056632"/>
      <w:bookmarkStart w:id="668" w:name="_Toc22341"/>
      <w:bookmarkStart w:id="669" w:name="_Toc20879"/>
      <w:bookmarkStart w:id="670" w:name="_Toc520983588"/>
      <w:r>
        <w:rPr>
          <w:rFonts w:hint="eastAsia" w:asciiTheme="minorEastAsia" w:hAnsiTheme="minorEastAsia" w:eastAsiaTheme="minorEastAsia"/>
          <w:b/>
          <w:color w:val="auto"/>
          <w:sz w:val="24"/>
          <w:highlight w:val="none"/>
        </w:rPr>
        <w:t>二</w:t>
      </w:r>
      <w:bookmarkEnd w:id="666"/>
      <w:bookmarkEnd w:id="667"/>
      <w:r>
        <w:rPr>
          <w:rFonts w:hint="eastAsia" w:asciiTheme="minorEastAsia" w:hAnsiTheme="minorEastAsia" w:eastAsiaTheme="minorEastAsia"/>
          <w:b/>
          <w:color w:val="auto"/>
          <w:sz w:val="24"/>
          <w:highlight w:val="none"/>
        </w:rPr>
        <w:t>、最后承诺报价表</w:t>
      </w:r>
      <w:bookmarkEnd w:id="668"/>
      <w:bookmarkEnd w:id="669"/>
      <w:bookmarkEnd w:id="670"/>
    </w:p>
    <w:p w14:paraId="0EE7A619">
      <w:pPr>
        <w:spacing w:before="156" w:beforeLines="50" w:after="156" w:afterLines="50" w:line="360" w:lineRule="auto"/>
        <w:ind w:firstLine="236" w:firstLineChars="98"/>
        <w:jc w:val="center"/>
        <w:outlineLvl w:val="1"/>
        <w:rPr>
          <w:b/>
          <w:color w:val="auto"/>
          <w:sz w:val="24"/>
          <w:szCs w:val="28"/>
          <w:highlight w:val="none"/>
        </w:rPr>
      </w:pPr>
      <w:bookmarkStart w:id="671" w:name="_Toc8562"/>
      <w:bookmarkStart w:id="672"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71"/>
      <w:bookmarkEnd w:id="672"/>
    </w:p>
    <w:p w14:paraId="19A7588B">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ascii="宋体" w:hAnsi="宋体" w:eastAsia="宋体" w:cs="宋体"/>
                <w:b/>
                <w:color w:val="auto"/>
                <w:kern w:val="2"/>
                <w:sz w:val="24"/>
                <w:szCs w:val="24"/>
                <w:highlight w:val="none"/>
                <w:lang w:val="en-US" w:eastAsia="zh-CN"/>
              </w:rPr>
              <w:t>具备施工条件后</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lang w:val="en-US" w:eastAsia="zh-CN"/>
              </w:rPr>
              <w:t>个日历天内完成并验收合格。供应商自报的承诺工期为考核标准。因供应商原因造成的工期延误，每推迟一天，按合同价款（扣除暂估价和暂列金）万分之二处以违约金。</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5EFA4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964385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8BBD8D6">
      <w:pPr>
        <w:widowControl/>
        <w:jc w:val="left"/>
        <w:rPr>
          <w:bCs/>
          <w:color w:val="auto"/>
          <w:sz w:val="24"/>
          <w:highlight w:val="none"/>
        </w:rPr>
      </w:pPr>
    </w:p>
    <w:p w14:paraId="1E4501B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73" w:name="_Toc7943"/>
      <w:bookmarkStart w:id="674" w:name="_Toc22429"/>
      <w:bookmarkStart w:id="675"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73"/>
      <w:bookmarkEnd w:id="674"/>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676" w:name="_Toc8006"/>
      <w:bookmarkStart w:id="677" w:name="_Toc28160"/>
      <w:r>
        <w:rPr>
          <w:rFonts w:hint="eastAsia" w:asciiTheme="minorEastAsia" w:hAnsiTheme="minorEastAsia" w:eastAsiaTheme="minorEastAsia"/>
          <w:b/>
          <w:color w:val="auto"/>
          <w:sz w:val="24"/>
          <w:highlight w:val="none"/>
        </w:rPr>
        <w:t>四、磋商响应函</w:t>
      </w:r>
      <w:bookmarkEnd w:id="675"/>
      <w:bookmarkEnd w:id="676"/>
      <w:bookmarkEnd w:id="677"/>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3"/>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678" w:name="_Toc2947"/>
      <w:bookmarkStart w:id="679" w:name="_Toc20728"/>
      <w:r>
        <w:rPr>
          <w:rFonts w:hint="eastAsia" w:asciiTheme="minorEastAsia" w:hAnsiTheme="minorEastAsia" w:eastAsiaTheme="minorEastAsia"/>
          <w:b/>
          <w:color w:val="auto"/>
          <w:sz w:val="24"/>
          <w:highlight w:val="none"/>
        </w:rPr>
        <w:t>五、</w:t>
      </w:r>
      <w:bookmarkEnd w:id="678"/>
      <w:bookmarkStart w:id="680" w:name="_Toc8658"/>
      <w:r>
        <w:rPr>
          <w:rFonts w:hint="eastAsia" w:asciiTheme="minorEastAsia" w:hAnsiTheme="minorEastAsia" w:eastAsiaTheme="minorEastAsia"/>
          <w:b/>
          <w:color w:val="auto"/>
          <w:sz w:val="24"/>
          <w:highlight w:val="none"/>
          <w:lang w:val="en-US" w:eastAsia="zh-CN"/>
        </w:rPr>
        <w:t>供应商资格声明书</w:t>
      </w:r>
      <w:bookmarkEnd w:id="679"/>
      <w:r>
        <w:rPr>
          <w:rFonts w:hint="eastAsia" w:asciiTheme="minorEastAsia" w:hAnsiTheme="minorEastAsia" w:eastAsiaTheme="minorEastAsia"/>
          <w:b/>
          <w:color w:val="auto"/>
          <w:sz w:val="24"/>
          <w:highlight w:val="none"/>
          <w:lang w:val="en-US" w:eastAsia="zh-CN"/>
        </w:rPr>
        <w:t xml:space="preserve"> </w:t>
      </w:r>
    </w:p>
    <w:p w14:paraId="7B0B3723">
      <w:pPr>
        <w:pStyle w:val="30"/>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50220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215F1E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5E3E90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227B19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67773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6F02C71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767000FB">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422727E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FBA3A38">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A5E828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4666905">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CE4BDA">
      <w:pPr>
        <w:spacing w:line="360" w:lineRule="auto"/>
        <w:jc w:val="center"/>
        <w:outlineLvl w:val="9"/>
        <w:rPr>
          <w:rFonts w:hint="eastAsia"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80"/>
    </w:p>
    <w:p w14:paraId="7BFA906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681" w:name="_Toc909"/>
      <w:bookmarkStart w:id="682" w:name="_Toc25503"/>
      <w:bookmarkStart w:id="683" w:name="_Toc520983594"/>
      <w:bookmarkStart w:id="684" w:name="_Toc204594911"/>
      <w:bookmarkStart w:id="685" w:name="_Toc121626298"/>
      <w:bookmarkStart w:id="686" w:name="_Toc516969106"/>
      <w:r>
        <w:rPr>
          <w:rFonts w:hint="eastAsia" w:ascii="宋体" w:hAnsi="宋体" w:eastAsia="宋体" w:cs="宋体"/>
          <w:b/>
          <w:bCs w:val="0"/>
          <w:color w:val="auto"/>
          <w:kern w:val="0"/>
          <w:sz w:val="24"/>
          <w:szCs w:val="24"/>
          <w:highlight w:val="none"/>
          <w:lang w:val="en-US" w:eastAsia="zh-CN" w:bidi="ar"/>
        </w:rPr>
        <w:t>六、</w:t>
      </w:r>
      <w:r>
        <w:rPr>
          <w:rFonts w:hint="eastAsia" w:ascii="宋体" w:hAnsi="宋体" w:eastAsia="宋体" w:cs="宋体"/>
          <w:b/>
          <w:bCs w:val="0"/>
          <w:color w:val="auto"/>
          <w:kern w:val="2"/>
          <w:sz w:val="24"/>
          <w:szCs w:val="24"/>
          <w:highlight w:val="none"/>
          <w:lang w:val="en-US" w:eastAsia="zh-CN" w:bidi="ar"/>
        </w:rPr>
        <w:t>诚信响应承诺书</w:t>
      </w:r>
    </w:p>
    <w:p w14:paraId="12812C4A">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301AB7A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项目的响应，所提供的一切材料都是真实、有效、合法的；</w:t>
      </w:r>
    </w:p>
    <w:p w14:paraId="0DCDAED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F7057D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三、不出借、转让资质证书，不让他人挂靠投标，不以他人名义投标或者以其他方式弄虚作假，骗取成交；</w:t>
      </w:r>
    </w:p>
    <w:p w14:paraId="0AC5AFB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四、不与其他供应商相互串通响应报价，不排挤其他供应商的公平竞争、损害采购人的合法权益；</w:t>
      </w:r>
    </w:p>
    <w:p w14:paraId="6FBDD35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五、不与采购人、采购代理机构或其他供应商串通响应，损害国家利益、社会公共利益或者他人的合法权益；</w:t>
      </w:r>
    </w:p>
    <w:p w14:paraId="65A3CE2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71241E9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七、严格遵守会议现场纪律，服从监管人员管理；</w:t>
      </w:r>
    </w:p>
    <w:p w14:paraId="1B219BC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八、保证成交后不转包，若有分包征得采购人同意；</w:t>
      </w:r>
    </w:p>
    <w:p w14:paraId="02E42114">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九、保证成交之后，按照响应文件要求提供相关后续服务；</w:t>
      </w:r>
    </w:p>
    <w:p w14:paraId="05A7972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十、保证企业及所属相关人员在本次响应中无行贿等犯罪行为；</w:t>
      </w:r>
    </w:p>
    <w:p w14:paraId="72CF119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A5AE37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谈判或者中标（成交）资格、中标（成交）无效、记入不良行为记录等有关处理，愿意承担法律责任，给采购人造成损失的，依法承担赔偿责任。</w:t>
      </w:r>
    </w:p>
    <w:p w14:paraId="1EC26C3C">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D202A6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8D6FA2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基本账户：</w:t>
      </w:r>
    </w:p>
    <w:p w14:paraId="132D0DA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供应商（签章）：        </w:t>
      </w:r>
      <w:r>
        <w:rPr>
          <w:rFonts w:hint="eastAsia"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法定代表人（签章）：</w:t>
      </w:r>
    </w:p>
    <w:p w14:paraId="41B9014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1A81A32">
      <w:pPr>
        <w:keepNext w:val="0"/>
        <w:keepLines w:val="0"/>
        <w:widowControl w:val="0"/>
        <w:suppressLineNumbers w:val="0"/>
        <w:spacing w:before="0" w:beforeAutospacing="0" w:after="0" w:afterAutospacing="0" w:line="560" w:lineRule="exact"/>
        <w:ind w:left="0" w:right="0"/>
        <w:jc w:val="right"/>
        <w:rPr>
          <w:rFonts w:hint="eastAsia" w:ascii="仿宋_GB2312" w:hAnsi="@仿宋_GB2312" w:eastAsia="仿宋_GB2312" w:cs="仿宋_GB2312"/>
          <w:color w:val="auto"/>
          <w:kern w:val="2"/>
          <w:sz w:val="32"/>
          <w:szCs w:val="32"/>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月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5327837E">
      <w:pPr>
        <w:rPr>
          <w:rFonts w:hint="eastAsia"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br w:type="page"/>
      </w:r>
    </w:p>
    <w:p w14:paraId="7C50D398">
      <w:pPr>
        <w:widowControl/>
        <w:jc w:val="center"/>
        <w:outlineLvl w:val="1"/>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七</w:t>
      </w:r>
      <w:r>
        <w:rPr>
          <w:rFonts w:hint="eastAsia" w:asciiTheme="minorEastAsia" w:hAnsiTheme="minorEastAsia" w:eastAsiaTheme="minorEastAsia"/>
          <w:b/>
          <w:color w:val="auto"/>
          <w:sz w:val="24"/>
          <w:highlight w:val="none"/>
          <w:u w:val="none"/>
        </w:rPr>
        <w:t>、授权书</w:t>
      </w:r>
      <w:bookmarkEnd w:id="681"/>
      <w:bookmarkEnd w:id="682"/>
      <w:bookmarkEnd w:id="683"/>
      <w:bookmarkEnd w:id="684"/>
      <w:bookmarkEnd w:id="685"/>
      <w:bookmarkEnd w:id="686"/>
    </w:p>
    <w:p w14:paraId="10E3BC2A">
      <w:pPr>
        <w:spacing w:line="360" w:lineRule="auto"/>
        <w:jc w:val="center"/>
        <w:rPr>
          <w:rFonts w:asciiTheme="minorEastAsia" w:hAnsiTheme="minorEastAsia" w:eastAsiaTheme="minorEastAsia"/>
          <w:b/>
          <w:color w:val="auto"/>
          <w:sz w:val="24"/>
          <w:highlight w:val="none"/>
        </w:rPr>
      </w:pPr>
    </w:p>
    <w:p w14:paraId="18B209B0">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8"/>
        <w:snapToGrid w:val="0"/>
        <w:spacing w:line="360" w:lineRule="auto"/>
        <w:ind w:firstLine="480" w:firstLineChars="200"/>
        <w:jc w:val="left"/>
        <w:rPr>
          <w:rFonts w:hAnsi="宋体" w:eastAsia="宋体"/>
          <w:color w:val="auto"/>
          <w:sz w:val="24"/>
          <w:highlight w:val="none"/>
        </w:rPr>
      </w:pPr>
    </w:p>
    <w:p w14:paraId="4B586E3B">
      <w:pPr>
        <w:pStyle w:val="28"/>
        <w:snapToGrid w:val="0"/>
        <w:spacing w:line="360" w:lineRule="auto"/>
        <w:ind w:firstLine="480" w:firstLineChars="200"/>
        <w:jc w:val="left"/>
        <w:rPr>
          <w:rFonts w:hAnsi="宋体" w:eastAsia="宋体"/>
          <w:color w:val="auto"/>
          <w:sz w:val="24"/>
          <w:highlight w:val="none"/>
        </w:rPr>
      </w:pPr>
    </w:p>
    <w:p w14:paraId="7ED81DEA">
      <w:pPr>
        <w:pStyle w:val="28"/>
        <w:snapToGrid w:val="0"/>
        <w:spacing w:line="360" w:lineRule="auto"/>
        <w:ind w:firstLine="480" w:firstLineChars="200"/>
        <w:jc w:val="left"/>
        <w:rPr>
          <w:rFonts w:hAnsi="宋体" w:eastAsia="宋体"/>
          <w:color w:val="auto"/>
          <w:sz w:val="24"/>
          <w:highlight w:val="none"/>
        </w:rPr>
      </w:pPr>
    </w:p>
    <w:p w14:paraId="38559ABF">
      <w:pPr>
        <w:pStyle w:val="28"/>
        <w:snapToGrid w:val="0"/>
        <w:spacing w:line="360" w:lineRule="auto"/>
        <w:ind w:firstLine="480" w:firstLineChars="200"/>
        <w:jc w:val="left"/>
        <w:rPr>
          <w:rFonts w:hAnsi="宋体" w:eastAsia="宋体"/>
          <w:color w:val="auto"/>
          <w:sz w:val="24"/>
          <w:highlight w:val="none"/>
        </w:rPr>
      </w:pPr>
    </w:p>
    <w:p w14:paraId="141D8383">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8"/>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48710A5">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jc w:val="left"/>
        <w:rPr>
          <w:color w:val="auto"/>
          <w:sz w:val="24"/>
          <w:highlight w:val="none"/>
        </w:rPr>
      </w:pPr>
      <w:r>
        <w:rPr>
          <w:color w:val="auto"/>
          <w:sz w:val="24"/>
          <w:highlight w:val="none"/>
        </w:rPr>
        <w:br w:type="page"/>
      </w:r>
    </w:p>
    <w:p w14:paraId="0F90EB7A">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87" w:name="_Toc32351"/>
      <w:bookmarkStart w:id="688" w:name="_Toc1222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、法定代表人身份证明书</w:t>
      </w:r>
      <w:bookmarkEnd w:id="687"/>
      <w:bookmarkEnd w:id="688"/>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64BBAB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689" w:name="_Toc4373"/>
      <w:bookmarkStart w:id="690" w:name="_Toc20099"/>
      <w:r>
        <w:rPr>
          <w:rFonts w:hint="eastAsia" w:cs="@仿宋_GB2312" w:asciiTheme="minorEastAsia" w:hAnsiTheme="minorEastAsia" w:eastAsiaTheme="minorEastAsia"/>
          <w:b/>
          <w:bCs/>
          <w:color w:val="auto"/>
          <w:kern w:val="2"/>
          <w:sz w:val="24"/>
          <w:szCs w:val="24"/>
          <w:highlight w:val="none"/>
          <w:lang w:val="en-US" w:eastAsia="zh-CN"/>
        </w:rPr>
        <w:t>九</w:t>
      </w:r>
      <w:r>
        <w:rPr>
          <w:rFonts w:hint="eastAsia" w:cs="@仿宋_GB2312" w:asciiTheme="minorEastAsia" w:hAnsiTheme="minorEastAsia" w:eastAsiaTheme="minorEastAsia"/>
          <w:b/>
          <w:bCs/>
          <w:color w:val="auto"/>
          <w:kern w:val="2"/>
          <w:sz w:val="24"/>
          <w:szCs w:val="24"/>
          <w:highlight w:val="none"/>
        </w:rPr>
        <w:t>、项目经理承诺书</w:t>
      </w:r>
      <w:bookmarkEnd w:id="689"/>
      <w:bookmarkEnd w:id="690"/>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007E0475">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91" w:name="_Toc438648628"/>
      <w:r>
        <w:rPr>
          <w:rFonts w:hint="eastAsia" w:ascii="@仿宋_GB2312" w:eastAsia="@仿宋_GB2312" w:cs="宋体"/>
          <w:b/>
          <w:color w:val="auto"/>
          <w:kern w:val="2"/>
          <w:sz w:val="24"/>
          <w:szCs w:val="24"/>
          <w:highlight w:val="none"/>
        </w:rPr>
        <w:br w:type="page"/>
      </w:r>
      <w:bookmarkEnd w:id="691"/>
    </w:p>
    <w:p w14:paraId="7FD1FDD3">
      <w:pPr>
        <w:spacing w:line="360" w:lineRule="auto"/>
        <w:jc w:val="center"/>
        <w:outlineLvl w:val="1"/>
        <w:rPr>
          <w:rFonts w:asciiTheme="minorEastAsia" w:hAnsiTheme="minorEastAsia" w:eastAsiaTheme="minorEastAsia"/>
          <w:color w:val="auto"/>
          <w:sz w:val="24"/>
          <w:highlight w:val="none"/>
        </w:rPr>
      </w:pPr>
      <w:bookmarkStart w:id="692" w:name="_Toc3604"/>
      <w:bookmarkStart w:id="693" w:name="_Toc31386"/>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、联合协议</w:t>
      </w:r>
      <w:bookmarkEnd w:id="692"/>
      <w:bookmarkEnd w:id="693"/>
    </w:p>
    <w:p w14:paraId="6F19CF5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50F787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D6DF1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14:paraId="274B22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2C20EF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4D8EC0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284CB0A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D0EB1D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BC67F42">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3BA928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674B773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2145D63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3F47FF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DA13F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00911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68EEF8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08FBA19">
      <w:pPr>
        <w:spacing w:line="360" w:lineRule="auto"/>
        <w:ind w:right="480" w:firstLine="4680" w:firstLineChars="1950"/>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545A20D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3E4189E">
      <w:pPr>
        <w:spacing w:line="360" w:lineRule="auto"/>
        <w:jc w:val="center"/>
        <w:outlineLvl w:val="1"/>
        <w:rPr>
          <w:rFonts w:asciiTheme="minorEastAsia" w:hAnsiTheme="minorEastAsia" w:eastAsiaTheme="minorEastAsia"/>
          <w:b/>
          <w:color w:val="auto"/>
          <w:sz w:val="24"/>
          <w:highlight w:val="none"/>
        </w:rPr>
      </w:pPr>
      <w:bookmarkStart w:id="694" w:name="_Toc28359"/>
      <w:bookmarkStart w:id="695" w:name="_Toc31589"/>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、中小企业声明函</w:t>
      </w:r>
      <w:bookmarkEnd w:id="694"/>
      <w:bookmarkEnd w:id="695"/>
    </w:p>
    <w:p w14:paraId="440B816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36652A2E">
      <w:pPr>
        <w:spacing w:line="360" w:lineRule="auto"/>
        <w:ind w:firstLine="435"/>
        <w:rPr>
          <w:rFonts w:cs="@仿宋_GB2312" w:asciiTheme="minorEastAsia" w:hAnsiTheme="minorEastAsia" w:eastAsiaTheme="minorEastAsia"/>
          <w:color w:val="auto"/>
          <w:kern w:val="2"/>
          <w:sz w:val="24"/>
          <w:szCs w:val="24"/>
          <w:highlight w:val="none"/>
        </w:rPr>
      </w:pPr>
      <w:r>
        <w:rPr>
          <w:rFonts w:hint="eastAsia" w:cs="@仿宋_GB2312"/>
          <w:color w:val="auto"/>
          <w:kern w:val="2"/>
          <w:sz w:val="24"/>
          <w:szCs w:val="24"/>
          <w:highlight w:val="none"/>
          <w:lang w:val="zh-CN"/>
        </w:rPr>
        <w:t xml:space="preserve">本企业对上述声明内容的真实性负责。如有虚假，将依法承担相应责任。 </w:t>
      </w: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696" w:name="_Toc17813"/>
      <w:bookmarkStart w:id="697" w:name="_Toc17154"/>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、残疾人福利性单位声明函</w:t>
      </w:r>
      <w:bookmarkEnd w:id="696"/>
      <w:bookmarkEnd w:id="697"/>
    </w:p>
    <w:p w14:paraId="2640A09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698" w:name="_Toc17768"/>
      <w:bookmarkStart w:id="699" w:name="_Toc26894"/>
      <w:bookmarkStart w:id="700"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、诚信履约承诺函</w:t>
      </w:r>
      <w:bookmarkEnd w:id="698"/>
      <w:bookmarkEnd w:id="699"/>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00"/>
    <w:p w14:paraId="01C2ACEF">
      <w:pPr>
        <w:spacing w:line="360" w:lineRule="auto"/>
        <w:jc w:val="center"/>
        <w:outlineLvl w:val="1"/>
        <w:rPr>
          <w:rFonts w:asciiTheme="minorEastAsia" w:hAnsiTheme="minorEastAsia" w:eastAsiaTheme="minorEastAsia"/>
          <w:b/>
          <w:color w:val="auto"/>
          <w:sz w:val="24"/>
          <w:highlight w:val="none"/>
        </w:rPr>
      </w:pPr>
      <w:bookmarkStart w:id="701" w:name="_Toc8176"/>
      <w:bookmarkStart w:id="702" w:name="_Toc2864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、其他相关证明材料</w:t>
      </w:r>
      <w:bookmarkEnd w:id="701"/>
      <w:bookmarkEnd w:id="702"/>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73A6808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highlight w:val="none"/>
        </w:rPr>
      </w:pPr>
      <w:bookmarkStart w:id="703" w:name="_Toc24879"/>
      <w:r>
        <w:rPr>
          <w:rFonts w:hint="eastAsia" w:ascii="宋体" w:hAnsi="宋体" w:eastAsia="宋体" w:cs="宋体"/>
          <w:b/>
          <w:bCs w:val="0"/>
          <w:color w:val="auto"/>
          <w:kern w:val="0"/>
          <w:sz w:val="28"/>
          <w:szCs w:val="28"/>
          <w:highlight w:val="none"/>
          <w:lang w:val="en-US" w:eastAsia="zh-CN" w:bidi="ar"/>
        </w:rPr>
        <w:t>附件</w:t>
      </w:r>
      <w:r>
        <w:rPr>
          <w:rFonts w:hint="default" w:ascii="Times New Roman" w:hAnsi="Times New Roman" w:eastAsia="宋体" w:cs="Times New Roman"/>
          <w:b/>
          <w:bCs w:val="0"/>
          <w:color w:val="auto"/>
          <w:kern w:val="0"/>
          <w:sz w:val="28"/>
          <w:szCs w:val="28"/>
          <w:highlight w:val="none"/>
          <w:lang w:val="en-US" w:eastAsia="zh-CN" w:bidi="ar"/>
        </w:rPr>
        <w:t>1</w:t>
      </w:r>
    </w:p>
    <w:p w14:paraId="640D487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关于联合惩戒失信行为加强信用查询管理的通知</w:t>
      </w:r>
    </w:p>
    <w:p w14:paraId="50B9C4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一、失信行为联合惩戒的范围和查询渠道</w:t>
      </w:r>
    </w:p>
    <w:p w14:paraId="5CDC287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347A04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（一）工程建设项目</w:t>
      </w:r>
    </w:p>
    <w:p w14:paraId="785BE19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1、“信用中国”网站（www.creditchina.gov.cn）查询投标人、法定代表人及其项目经理(建造师)以下失信行为：</w:t>
      </w:r>
    </w:p>
    <w:p w14:paraId="080E09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207F5F5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2E112E1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③被列入“拖欠农民工工资失信联合惩戒对象名单”的；</w:t>
      </w:r>
    </w:p>
    <w:p w14:paraId="1A55B46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④被列入 “严重失信主体名单”的；</w:t>
      </w:r>
    </w:p>
    <w:p w14:paraId="157D16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⑤在“信用中国”网站上披露的仍在公示期的严重失信行为(具体行为类别及判定依据见附件2)的。</w:t>
      </w:r>
    </w:p>
    <w:p w14:paraId="57EBD4A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66"/>
          <w:rFonts w:hint="eastAsia" w:ascii="宋体" w:hAnsi="宋体" w:eastAsia="宋体" w:cs="宋体"/>
          <w:color w:val="auto"/>
          <w:sz w:val="24"/>
          <w:szCs w:val="24"/>
          <w:highlight w:val="none"/>
          <w:u w:val="singl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查询投标人以下失信行为：</w:t>
      </w:r>
    </w:p>
    <w:p w14:paraId="27943D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0041DE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0AB5955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156DFB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68CE169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5B93E0C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45C5FB1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E623AEB">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0912482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t>
      </w:r>
      <w:r>
        <w:rPr>
          <w:rStyle w:val="279"/>
          <w:rFonts w:hint="eastAsia" w:ascii="宋体" w:hAnsi="宋体" w:eastAsia="宋体" w:cs="宋体"/>
          <w:color w:val="auto"/>
          <w:sz w:val="24"/>
          <w:szCs w:val="24"/>
          <w:highlight w:val="none"/>
          <w:u w:val="single"/>
          <w:lang w:val="en-US" w:eastAsia="zh-CN" w:bidi="ar"/>
        </w:rPr>
        <w:t>www.creditchina.gov.cn</w:t>
      </w:r>
      <w:r>
        <w:rPr>
          <w:rFonts w:hint="eastAsia" w:ascii="宋体" w:hAnsi="宋体" w:eastAsia="宋体" w:cs="宋体"/>
          <w:color w:val="auto"/>
          <w:kern w:val="0"/>
          <w:sz w:val="24"/>
          <w:szCs w:val="24"/>
          <w:highlight w:val="none"/>
          <w:lang w:val="en-US" w:eastAsia="zh-CN" w:bidi="ar"/>
        </w:rPr>
        <w:t>）查询供应商、法定代表人及其项目负责人以下失信行为：</w:t>
      </w:r>
    </w:p>
    <w:p w14:paraId="5156FC1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3196CAD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36E242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577BFB0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2A07C5E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宋体"/>
          <w:color w:val="auto"/>
          <w:sz w:val="24"/>
          <w:szCs w:val="24"/>
          <w:highlight w:val="none"/>
          <w:u w:val="none"/>
        </w:rPr>
        <w:t>www.gsxt.gov.cn）</w:t>
      </w:r>
      <w:r>
        <w:rPr>
          <w:rFonts w:hint="eastAsia" w:ascii="宋体" w:hAnsi="宋体" w:eastAsia="宋体" w:cs="宋体"/>
          <w:color w:val="auto"/>
          <w:kern w:val="0"/>
          <w:sz w:val="24"/>
          <w:szCs w:val="24"/>
          <w:highlight w:val="none"/>
          <w:lang w:val="en-US" w:eastAsia="zh-CN" w:bidi="ar"/>
        </w:rPr>
        <w:t>查询供应商以下失信行为：</w:t>
      </w:r>
    </w:p>
    <w:p w14:paraId="2A2884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75F2F61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宋体"/>
          <w:color w:val="auto"/>
          <w:sz w:val="24"/>
          <w:szCs w:val="24"/>
          <w:highlight w:val="none"/>
          <w:u w:val="none"/>
        </w:rPr>
        <w:t>www.ccgp.gov.cn</w:t>
      </w:r>
      <w:r>
        <w:rPr>
          <w:rFonts w:hint="eastAsia" w:ascii="宋体" w:hAnsi="宋体" w:eastAsia="宋体" w:cs="宋体"/>
          <w:color w:val="auto"/>
          <w:kern w:val="0"/>
          <w:sz w:val="24"/>
          <w:szCs w:val="24"/>
          <w:highlight w:val="none"/>
          <w:lang w:val="en-US" w:eastAsia="zh-CN" w:bidi="ar"/>
        </w:rPr>
        <w:t>）查询以下失信行为：</w:t>
      </w:r>
    </w:p>
    <w:p w14:paraId="5BB5634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3BB7898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55A15CC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2962BB91">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二、在开评标活动中的查询程序</w:t>
      </w:r>
    </w:p>
    <w:p w14:paraId="5B94D8E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CF8AC3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E74FDE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3、项目单位及其委托的代理机构应当做好信用查询结果截图和记录留存。</w:t>
      </w:r>
    </w:p>
    <w:p w14:paraId="311D0009">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三、相关要求</w:t>
      </w:r>
    </w:p>
    <w:p w14:paraId="5CBC33E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1229BF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9B1E5C3">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5F6EF2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2、“信用中国”查询的严重失信行为判定依据为各行业主管部门下发的联合惩戒文件中规定的行为（按附件2执行）。</w:t>
      </w:r>
    </w:p>
    <w:p w14:paraId="78DF927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7CB93D1C">
      <w:pPr>
        <w:pStyle w:val="50"/>
        <w:keepNext w:val="0"/>
        <w:keepLines w:val="0"/>
        <w:widowControl w:val="0"/>
        <w:suppressLineNumbers w:val="0"/>
        <w:spacing w:before="0" w:beforeAutospacing="1" w:after="120" w:afterAutospacing="0" w:line="360" w:lineRule="auto"/>
        <w:ind w:left="400" w:leftChars="200" w:right="0" w:firstLine="420" w:firstLineChars="200"/>
        <w:jc w:val="both"/>
        <w:rPr>
          <w:rFonts w:hint="eastAsia" w:ascii="宋体" w:hAnsi="Calibri" w:eastAsia="宋体" w:cs="Times New Roman"/>
          <w:color w:val="auto"/>
          <w:kern w:val="2"/>
          <w:sz w:val="21"/>
          <w:szCs w:val="21"/>
          <w:highlight w:val="none"/>
        </w:rPr>
      </w:pPr>
      <w:r>
        <w:rPr>
          <w:rFonts w:hint="eastAsia" w:ascii="宋体" w:hAnsi="Calibri" w:eastAsia="宋体" w:cs="Times New Roman"/>
          <w:color w:val="auto"/>
          <w:kern w:val="2"/>
          <w:sz w:val="21"/>
          <w:szCs w:val="21"/>
          <w:highlight w:val="none"/>
          <w:lang w:val="en-US" w:eastAsia="zh-CN" w:bidi="ar"/>
        </w:rPr>
        <w:t xml:space="preserve"> </w:t>
      </w:r>
    </w:p>
    <w:p w14:paraId="146D02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br w:type="page"/>
      </w:r>
      <w:r>
        <w:rPr>
          <w:rFonts w:hint="eastAsia" w:ascii="宋体" w:hAnsi="宋体" w:eastAsia="宋体" w:cs="宋体"/>
          <w:b/>
          <w:bCs w:val="0"/>
          <w:color w:val="auto"/>
          <w:kern w:val="0"/>
          <w:sz w:val="24"/>
          <w:szCs w:val="24"/>
          <w:highlight w:val="none"/>
          <w:lang w:val="en-US" w:eastAsia="zh-CN" w:bidi="ar"/>
        </w:rPr>
        <w:t>附件</w:t>
      </w:r>
      <w:r>
        <w:rPr>
          <w:rFonts w:hint="default" w:ascii="Times New Roman" w:hAnsi="Times New Roman" w:eastAsia="宋体" w:cs="Times New Roman"/>
          <w:b/>
          <w:bCs w:val="0"/>
          <w:color w:val="auto"/>
          <w:kern w:val="0"/>
          <w:sz w:val="24"/>
          <w:szCs w:val="24"/>
          <w:highlight w:val="none"/>
          <w:lang w:val="en-US" w:eastAsia="zh-CN" w:bidi="ar"/>
        </w:rPr>
        <w:t>2</w:t>
      </w:r>
    </w:p>
    <w:p w14:paraId="280CFCFF">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“信用中国”查询的严重失信行为类别及判定依据</w:t>
      </w:r>
    </w:p>
    <w:p w14:paraId="70A35D3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3E0D6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一、安全生产领域严重失信行为：</w:t>
      </w:r>
    </w:p>
    <w:p w14:paraId="27C1C03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（一）下列发生生产安全事故的生产经营单位及其有关人员应当列入严重失信主体名单：</w:t>
      </w:r>
    </w:p>
    <w:p w14:paraId="085F40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6ADC6E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2、12个月内累计发生2起以上较大生产安全事故的生产经营单位及其主要负责人；</w:t>
      </w:r>
    </w:p>
    <w:p w14:paraId="7442A9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BEBE7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4、瞒报、谎报生产安全事故的生产经营单位及其有关责任人员；</w:t>
      </w:r>
    </w:p>
    <w:p w14:paraId="04BD3CF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5、发生生产安全事故后，不立即组织抢救或者在事故调查处理期间擅离职守或者逃匿的生产经营单位主要负责人。</w:t>
      </w:r>
    </w:p>
    <w:p w14:paraId="43BF08E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5F2293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1、未依法取得安全生产相关许可或者许可被暂扣、吊销期间从事相关生产经营活动的生产经营单位及其主要负责人；</w:t>
      </w:r>
    </w:p>
    <w:p w14:paraId="01BF9FC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2、承担安全评价、认证、检测、检验职责的机构及其直接责任人员租借资质、挂靠、出具虚假报告或者证书的；</w:t>
      </w:r>
    </w:p>
    <w:p w14:paraId="7EAA834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3、在应急管理部门作出行政处罚后，有执行能力拒不执行或者逃避执行的生产经营单位及其主要负责人；</w:t>
      </w:r>
    </w:p>
    <w:p w14:paraId="6294D25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4、其他违反安全生产法律法规受到行政处罚，且性质恶劣、情节严重的。</w:t>
      </w:r>
    </w:p>
    <w:p w14:paraId="34A91D2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依据：《安全生产严重失信主体名单管理办法》（2023年8月8日应急管理部令第11号）</w:t>
      </w:r>
    </w:p>
    <w:p w14:paraId="3239FA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二、环境保护领域严重失信行为：</w:t>
      </w:r>
    </w:p>
    <w:p w14:paraId="39B7E8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（一）因为环境违法构成环境犯罪的；</w:t>
      </w:r>
    </w:p>
    <w:p w14:paraId="581693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（二）建设项目环境影响评价文件未按规定通过审批，擅自开工建设的；</w:t>
      </w:r>
    </w:p>
    <w:p w14:paraId="43ADAB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（三）建设项目环保设施未建成、环保措施未落实、未通过竣工环保验收或者验收不合格，主体工程正式投入生产或者使用的；</w:t>
      </w:r>
    </w:p>
    <w:p w14:paraId="389D92D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3FF44D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（五）主要污染物排放总量超过控制指标的；</w:t>
      </w:r>
    </w:p>
    <w:p w14:paraId="7E74B62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（六）私设暗管或者利用渗井、渗坑、裂隙、溶洞等排放、倾倒、处置水污染物，或者通过私设旁路排放大气污染物的；</w:t>
      </w:r>
    </w:p>
    <w:p w14:paraId="4FB045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（七）非法排放、倾倒、处置危险废物，或者向无经营许可证或者超出经营许可范围的单位或个人提供或者委托其收集、贮存、利用、处置危险废物的；</w:t>
      </w:r>
    </w:p>
    <w:p w14:paraId="61113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（八）环境违法行为造成集中式生活饮用水水源取水中断的；</w:t>
      </w:r>
    </w:p>
    <w:p w14:paraId="1EB249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（九）环境违法行为对生活饮用水水源保护区、自然保护区、国家重点生态功能区、风景名胜区、居住功能区、基本农田保护区等环境敏感区造成重大不利影响的；</w:t>
      </w:r>
    </w:p>
    <w:p w14:paraId="0BFCFB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（十）违法从事自然资源开发、交通基础设施建设，以及其他开发建设活动，造成严重生态破坏的；</w:t>
      </w:r>
    </w:p>
    <w:p w14:paraId="0883F13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（十一）发生较大及以上突发环境事件的；</w:t>
      </w:r>
    </w:p>
    <w:p w14:paraId="288B9A0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（十二）被环保部门挂牌督办，整改逾期未完成的；</w:t>
      </w:r>
    </w:p>
    <w:p w14:paraId="6E0AA4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（十三）以暴力、威胁等方式拒绝、阻挠环保部门工作人员现场检查的；</w:t>
      </w:r>
    </w:p>
    <w:p w14:paraId="793ECE4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（十四）违反重污染天气应急预案有关规定，对重污染天气响应不力的。</w:t>
      </w:r>
    </w:p>
    <w:p w14:paraId="667156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56789F0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w:t>
      </w:r>
      <w:r>
        <w:rPr>
          <w:rFonts w:hint="eastAsia" w:ascii="宋体" w:hAnsi="宋体" w:eastAsia="宋体" w:cs="宋体"/>
          <w:b/>
          <w:bCs/>
          <w:color w:val="auto"/>
          <w:kern w:val="0"/>
          <w:sz w:val="24"/>
          <w:szCs w:val="24"/>
          <w:highlight w:val="none"/>
          <w:lang w:val="en-US" w:eastAsia="zh-CN" w:bidi="ar"/>
        </w:rPr>
        <w:t>公共资源交易领域严重失信行为</w:t>
      </w:r>
    </w:p>
    <w:p w14:paraId="6A5F8A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7C18F56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6C8297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666102E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1B1D16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5619CAC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（六）投标人以他人名义投标或者以其他方式弄虚作假，骗取中标的；</w:t>
      </w:r>
    </w:p>
    <w:p w14:paraId="40EA2E4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（七）依法必须进行招标的项目，招标人违反法律规定，与投标人就投标价格、投标方案等实质性内容进行谈判的；</w:t>
      </w:r>
    </w:p>
    <w:p w14:paraId="3C6BEA2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EFD86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650C4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70A5AB0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335B38A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（十二）中标人不按照与招标人订立的合同履行义务，情节严重的； </w:t>
      </w:r>
    </w:p>
    <w:p w14:paraId="2E28FDC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7891F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AC6C60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（十五）采购人对应当实行集中采购的政府采购项目，不委托集中采购机构实行集中采购的； </w:t>
      </w:r>
    </w:p>
    <w:p w14:paraId="2367F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（十六）采购人、采购代理机构违反法律规定隐匿、销毁应当保存的采购文件或者伪造、变造采购文件的； </w:t>
      </w:r>
    </w:p>
    <w:p w14:paraId="5FD85B0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30E4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（十八）疫苗生产企业向县级疾病预防控制机构以外的单位或者个人销售第二类疫苗的； </w:t>
      </w:r>
    </w:p>
    <w:p w14:paraId="4426A6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（十九）存在其他违反公共资源交易法律法规行为的。</w:t>
      </w:r>
    </w:p>
    <w:p w14:paraId="1DEE097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依据：《关于对公共资源交易领域严重失信主体开展联合惩戒的备忘录》（发改法规〔2018〕457号）</w:t>
      </w:r>
    </w:p>
    <w:p w14:paraId="1E899A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社会保险领域严重失信行为</w:t>
      </w:r>
    </w:p>
    <w:p w14:paraId="5C2FD7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（一）用人单位未按相关规定参加社会保险且拒不整改的； </w:t>
      </w:r>
    </w:p>
    <w:p w14:paraId="67E458E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（二）用人单位未如实申报社会保险缴费基数且拒不整改的； </w:t>
      </w:r>
    </w:p>
    <w:p w14:paraId="5910A5F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（三）应缴纳社会保险费却拒不缴纳的； </w:t>
      </w:r>
    </w:p>
    <w:p w14:paraId="0B0DC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（四）隐匿、转移、侵占、挪用社会保险费款、基金或者违规投资运营的；</w:t>
      </w:r>
    </w:p>
    <w:p w14:paraId="025DD8F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（五）以欺诈、伪造证明材料或者其他手段参加、申报社会保险和骗取社会保险基金支出或社会保险待遇的； </w:t>
      </w:r>
    </w:p>
    <w:p w14:paraId="2E714C2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（六）非法获取、出售或变相交易社会保险个人权益数据的； </w:t>
      </w:r>
    </w:p>
    <w:p w14:paraId="44D3794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（七）社会保险服务机构违反服务协议或相关规定的； </w:t>
      </w:r>
    </w:p>
    <w:p w14:paraId="2377077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65CE1D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（九）其他违反法律法规规定的。</w:t>
      </w:r>
    </w:p>
    <w:p w14:paraId="56743D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依据：《关于对社会保险领域严重失信企业及其有关人员实施联合惩戒的合作备忘录》（发改财金〔2018〕1704号）</w:t>
      </w:r>
    </w:p>
    <w:p w14:paraId="74119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五、建筑市场领域</w:t>
      </w:r>
      <w:r>
        <w:rPr>
          <w:rFonts w:hint="eastAsia" w:ascii="宋体" w:hAnsi="宋体" w:eastAsia="宋体" w:cs="宋体"/>
          <w:b/>
          <w:bCs/>
          <w:color w:val="auto"/>
          <w:kern w:val="0"/>
          <w:sz w:val="24"/>
          <w:szCs w:val="24"/>
          <w:highlight w:val="none"/>
          <w:lang w:val="en-US" w:eastAsia="zh-CN" w:bidi="ar"/>
        </w:rPr>
        <w:t>严重失信行为</w:t>
      </w:r>
    </w:p>
    <w:p w14:paraId="5ED88C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（一）利用虚假材料、以欺骗手段取得企业资质的；</w:t>
      </w:r>
    </w:p>
    <w:p w14:paraId="7B148F8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（二）发生转包、出借资质，受到行政处罚的；</w:t>
      </w:r>
    </w:p>
    <w:p w14:paraId="600EFF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90B7D1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（四）经法院判决或仲裁机构裁决，认定为拖欠工程款,且拒不履行生效法律文书确定的义务的。</w:t>
      </w:r>
    </w:p>
    <w:p w14:paraId="67A3008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1F61AF5">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依据：《建筑市场信用管理暂行办法》（建市〔2017〕241号）</w:t>
      </w:r>
    </w:p>
    <w:p w14:paraId="3C7282D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六、政府采购严重失信行为</w:t>
      </w:r>
    </w:p>
    <w:p w14:paraId="46AE347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（一）三万元以上罚款；</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（二）在一至三年内禁止参加政府采购活动（处罚期限届满的除外）；</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（三）在一至三年内禁止代理政府采购业务（处罚期限届满的除外）；</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（四）撤销政府采购代理机构资格（仅针对《政府采购法》第78条修改前作出的处罚决定）。</w:t>
      </w:r>
    </w:p>
    <w:p w14:paraId="1E1D272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依据：《关于报送政府采购严重违法失信行为信息记录的通知》（财办库〔2014〕526号）</w:t>
      </w:r>
    </w:p>
    <w:p w14:paraId="0FEF42F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未列出的其他类别严重失信行为，由招标人（代理机构）根据各类别行业主管部门下发的联合惩戒文件进行判断。</w:t>
      </w:r>
    </w:p>
    <w:p w14:paraId="51D3D4CC">
      <w:pPr>
        <w:jc w:val="left"/>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br w:type="page"/>
      </w:r>
    </w:p>
    <w:p w14:paraId="2972461A">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03"/>
    </w:p>
    <w:p w14:paraId="654860BF">
      <w:pPr>
        <w:spacing w:line="360" w:lineRule="auto"/>
        <w:jc w:val="center"/>
        <w:outlineLvl w:val="1"/>
        <w:rPr>
          <w:rFonts w:ascii="仿宋" w:hAnsi="仿宋" w:eastAsia="仿宋" w:cs="仿宋"/>
          <w:b/>
          <w:bCs/>
          <w:color w:val="auto"/>
          <w:sz w:val="32"/>
          <w:szCs w:val="44"/>
          <w:highlight w:val="none"/>
        </w:rPr>
      </w:pPr>
      <w:bookmarkStart w:id="704" w:name="_Toc26448"/>
      <w:bookmarkStart w:id="705" w:name="_Toc2290"/>
      <w:r>
        <w:rPr>
          <w:rFonts w:hint="eastAsia" w:ascii="仿宋" w:hAnsi="仿宋" w:eastAsia="仿宋" w:cs="仿宋"/>
          <w:b/>
          <w:bCs/>
          <w:color w:val="auto"/>
          <w:sz w:val="32"/>
          <w:szCs w:val="44"/>
          <w:highlight w:val="none"/>
        </w:rPr>
        <w:t>询问函范本</w:t>
      </w:r>
      <w:bookmarkEnd w:id="704"/>
      <w:bookmarkEnd w:id="705"/>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6" w:name="_Toc32070"/>
      <w:bookmarkStart w:id="707" w:name="_Toc14234"/>
      <w:r>
        <w:rPr>
          <w:rFonts w:hint="eastAsia" w:cs="仿宋" w:asciiTheme="minorEastAsia" w:hAnsiTheme="minorEastAsia" w:eastAsiaTheme="minorEastAsia"/>
          <w:color w:val="auto"/>
          <w:sz w:val="24"/>
          <w:szCs w:val="24"/>
          <w:highlight w:val="none"/>
        </w:rPr>
        <w:t>一、(事项一)</w:t>
      </w:r>
      <w:bookmarkEnd w:id="706"/>
      <w:bookmarkEnd w:id="707"/>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8" w:name="_Toc6489"/>
      <w:bookmarkStart w:id="709" w:name="_Toc16507"/>
      <w:r>
        <w:rPr>
          <w:rFonts w:hint="eastAsia" w:cs="仿宋" w:asciiTheme="minorEastAsia" w:hAnsiTheme="minorEastAsia" w:eastAsiaTheme="minorEastAsia"/>
          <w:color w:val="auto"/>
          <w:sz w:val="24"/>
          <w:szCs w:val="24"/>
          <w:highlight w:val="none"/>
        </w:rPr>
        <w:t>二、(事项二)</w:t>
      </w:r>
      <w:bookmarkEnd w:id="708"/>
      <w:bookmarkEnd w:id="709"/>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710" w:name="_Toc26224"/>
      <w:bookmarkStart w:id="711" w:name="_Toc4923"/>
      <w:r>
        <w:rPr>
          <w:rFonts w:hint="eastAsia" w:ascii="仿宋" w:hAnsi="仿宋" w:eastAsia="仿宋" w:cs="仿宋"/>
          <w:b/>
          <w:bCs/>
          <w:color w:val="auto"/>
          <w:sz w:val="32"/>
          <w:szCs w:val="44"/>
          <w:highlight w:val="none"/>
        </w:rPr>
        <w:t>质疑函范本</w:t>
      </w:r>
      <w:bookmarkEnd w:id="710"/>
      <w:bookmarkEnd w:id="711"/>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12" w:name="_Toc3847"/>
      <w:bookmarkStart w:id="713" w:name="_Toc10663"/>
      <w:r>
        <w:rPr>
          <w:rFonts w:hint="eastAsia" w:cs="仿宋" w:asciiTheme="minorEastAsia" w:hAnsiTheme="minorEastAsia" w:eastAsiaTheme="minorEastAsia"/>
          <w:b/>
          <w:bCs/>
          <w:color w:val="auto"/>
          <w:sz w:val="24"/>
          <w:szCs w:val="24"/>
          <w:highlight w:val="none"/>
        </w:rPr>
        <w:t>一、质疑供应商基本信息</w:t>
      </w:r>
      <w:bookmarkEnd w:id="712"/>
      <w:bookmarkEnd w:id="713"/>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4" w:name="_Toc19182"/>
      <w:bookmarkStart w:id="715" w:name="_Toc30012"/>
      <w:r>
        <w:rPr>
          <w:rFonts w:hint="eastAsia" w:cs="仿宋" w:asciiTheme="minorEastAsia" w:hAnsiTheme="minorEastAsia" w:eastAsiaTheme="minorEastAsia"/>
          <w:b/>
          <w:bCs/>
          <w:color w:val="auto"/>
          <w:sz w:val="24"/>
          <w:szCs w:val="24"/>
          <w:highlight w:val="none"/>
        </w:rPr>
        <w:t>二、质疑项目基本情况</w:t>
      </w:r>
      <w:bookmarkEnd w:id="714"/>
      <w:bookmarkEnd w:id="715"/>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6" w:name="_Toc21700"/>
      <w:bookmarkStart w:id="717" w:name="_Toc9989"/>
      <w:r>
        <w:rPr>
          <w:rFonts w:hint="eastAsia" w:cs="仿宋" w:asciiTheme="minorEastAsia" w:hAnsiTheme="minorEastAsia" w:eastAsiaTheme="minorEastAsia"/>
          <w:b/>
          <w:bCs/>
          <w:color w:val="auto"/>
          <w:sz w:val="24"/>
          <w:szCs w:val="24"/>
          <w:highlight w:val="none"/>
        </w:rPr>
        <w:t>三、质疑事项具体内容</w:t>
      </w:r>
      <w:bookmarkEnd w:id="716"/>
      <w:bookmarkEnd w:id="717"/>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8" w:name="_Toc19016"/>
      <w:bookmarkStart w:id="719" w:name="_Toc10625"/>
      <w:r>
        <w:rPr>
          <w:rFonts w:hint="eastAsia" w:cs="仿宋" w:asciiTheme="minorEastAsia" w:hAnsiTheme="minorEastAsia" w:eastAsiaTheme="minorEastAsia"/>
          <w:b/>
          <w:bCs/>
          <w:color w:val="auto"/>
          <w:sz w:val="24"/>
          <w:szCs w:val="24"/>
          <w:highlight w:val="none"/>
        </w:rPr>
        <w:t>四、与质疑事项相关的质疑请求</w:t>
      </w:r>
      <w:bookmarkEnd w:id="718"/>
      <w:bookmarkEnd w:id="719"/>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720" w:name="_Toc25274"/>
      <w:bookmarkStart w:id="721" w:name="_Toc17684"/>
      <w:r>
        <w:rPr>
          <w:rFonts w:hint="eastAsia" w:asciiTheme="minorEastAsia" w:hAnsiTheme="minorEastAsia" w:eastAsiaTheme="minorEastAsia"/>
          <w:b/>
          <w:color w:val="auto"/>
          <w:sz w:val="28"/>
          <w:szCs w:val="32"/>
          <w:highlight w:val="none"/>
        </w:rPr>
        <w:t>质疑函制作说明：</w:t>
      </w:r>
      <w:bookmarkEnd w:id="720"/>
      <w:bookmarkEnd w:id="721"/>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842E0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9AE0">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967C951">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5966EA09">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5C67">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7F7E5238"/>
    <w:multiLevelType w:val="multilevel"/>
    <w:tmpl w:val="7F7E5238"/>
    <w:lvl w:ilvl="0" w:tentative="0">
      <w:start w:val="1"/>
      <w:numFmt w:val="none"/>
      <w:pStyle w:val="17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0"/>
      <w:lvlText w:val="           "/>
      <w:lvlJc w:val="left"/>
      <w:pPr>
        <w:tabs>
          <w:tab w:val="left" w:pos="1440"/>
        </w:tabs>
        <w:ind w:left="1152" w:hanging="1152"/>
      </w:pPr>
      <w:rPr>
        <w:rFonts w:hint="eastAsia"/>
      </w:rPr>
    </w:lvl>
    <w:lvl w:ilvl="6" w:tentative="0">
      <w:start w:val="1"/>
      <w:numFmt w:val="decimal"/>
      <w:pStyle w:val="182"/>
      <w:lvlText w:val="%1.%2.%3.%4.%5.%6.%7"/>
      <w:lvlJc w:val="left"/>
      <w:pPr>
        <w:tabs>
          <w:tab w:val="left" w:pos="2520"/>
        </w:tabs>
        <w:ind w:left="1296" w:hanging="1296"/>
      </w:pPr>
      <w:rPr>
        <w:rFonts w:hint="eastAsia"/>
      </w:rPr>
    </w:lvl>
    <w:lvl w:ilvl="7" w:tentative="0">
      <w:start w:val="1"/>
      <w:numFmt w:val="decimal"/>
      <w:pStyle w:val="184"/>
      <w:lvlText w:val="%1.%2.%3.%4.%5.%6.%7.%8"/>
      <w:lvlJc w:val="left"/>
      <w:pPr>
        <w:tabs>
          <w:tab w:val="left" w:pos="1440"/>
        </w:tabs>
        <w:ind w:left="1440" w:hanging="1440"/>
      </w:pPr>
      <w:rPr>
        <w:rFonts w:hint="eastAsia"/>
      </w:rPr>
    </w:lvl>
    <w:lvl w:ilvl="8" w:tentative="0">
      <w:start w:val="1"/>
      <w:numFmt w:val="decimal"/>
      <w:pStyle w:val="186"/>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534F"/>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2DC7"/>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60D5ED0"/>
    <w:rsid w:val="06EE74DB"/>
    <w:rsid w:val="072015CC"/>
    <w:rsid w:val="08617CF0"/>
    <w:rsid w:val="093E5132"/>
    <w:rsid w:val="099C3247"/>
    <w:rsid w:val="0B34273F"/>
    <w:rsid w:val="0B541D11"/>
    <w:rsid w:val="0B5759D8"/>
    <w:rsid w:val="0B584B6B"/>
    <w:rsid w:val="0B9A6428"/>
    <w:rsid w:val="0BC76A6E"/>
    <w:rsid w:val="0BD069A1"/>
    <w:rsid w:val="0C0B76AE"/>
    <w:rsid w:val="0C695EBF"/>
    <w:rsid w:val="0C764D16"/>
    <w:rsid w:val="0D3E7892"/>
    <w:rsid w:val="0DB72352"/>
    <w:rsid w:val="0DFC12FE"/>
    <w:rsid w:val="0DFF1A91"/>
    <w:rsid w:val="0E30091C"/>
    <w:rsid w:val="0EB116DF"/>
    <w:rsid w:val="0EB9796D"/>
    <w:rsid w:val="0ED93BBF"/>
    <w:rsid w:val="0FC76BB7"/>
    <w:rsid w:val="0FCD35C4"/>
    <w:rsid w:val="10F935A7"/>
    <w:rsid w:val="11843FEF"/>
    <w:rsid w:val="12E83133"/>
    <w:rsid w:val="13607801"/>
    <w:rsid w:val="1375778E"/>
    <w:rsid w:val="148A70D2"/>
    <w:rsid w:val="14E43199"/>
    <w:rsid w:val="16F15C51"/>
    <w:rsid w:val="17146EEB"/>
    <w:rsid w:val="18A85F98"/>
    <w:rsid w:val="1B291D20"/>
    <w:rsid w:val="1C813EBA"/>
    <w:rsid w:val="1D015171"/>
    <w:rsid w:val="1D077978"/>
    <w:rsid w:val="1D191BE5"/>
    <w:rsid w:val="1D3B78BE"/>
    <w:rsid w:val="1DEC70E9"/>
    <w:rsid w:val="1E0B00F8"/>
    <w:rsid w:val="1E112FC8"/>
    <w:rsid w:val="1E38521A"/>
    <w:rsid w:val="1F2E6A6D"/>
    <w:rsid w:val="21326E5F"/>
    <w:rsid w:val="21A12912"/>
    <w:rsid w:val="237C1D35"/>
    <w:rsid w:val="241D3932"/>
    <w:rsid w:val="247E2DFD"/>
    <w:rsid w:val="265B0373"/>
    <w:rsid w:val="274D5052"/>
    <w:rsid w:val="27E85AF1"/>
    <w:rsid w:val="27EF70E0"/>
    <w:rsid w:val="27F46626"/>
    <w:rsid w:val="288E11CC"/>
    <w:rsid w:val="28A96E2F"/>
    <w:rsid w:val="2A1534D2"/>
    <w:rsid w:val="2B5044AE"/>
    <w:rsid w:val="2B89414F"/>
    <w:rsid w:val="2D1633EB"/>
    <w:rsid w:val="2D611D48"/>
    <w:rsid w:val="2E992065"/>
    <w:rsid w:val="2EB60132"/>
    <w:rsid w:val="2F850E2A"/>
    <w:rsid w:val="2F8779B7"/>
    <w:rsid w:val="31966FB2"/>
    <w:rsid w:val="3215051D"/>
    <w:rsid w:val="336238FF"/>
    <w:rsid w:val="34152599"/>
    <w:rsid w:val="3544508A"/>
    <w:rsid w:val="36AD04C3"/>
    <w:rsid w:val="36E71BB0"/>
    <w:rsid w:val="37C3471C"/>
    <w:rsid w:val="385414FE"/>
    <w:rsid w:val="38CD4FE1"/>
    <w:rsid w:val="3B5006E0"/>
    <w:rsid w:val="3C2546B9"/>
    <w:rsid w:val="3C9227B9"/>
    <w:rsid w:val="3D5A75EF"/>
    <w:rsid w:val="3DF4149C"/>
    <w:rsid w:val="3E1715D2"/>
    <w:rsid w:val="408D59ED"/>
    <w:rsid w:val="40B54BA9"/>
    <w:rsid w:val="42781F97"/>
    <w:rsid w:val="427A658A"/>
    <w:rsid w:val="43406525"/>
    <w:rsid w:val="44BA18D5"/>
    <w:rsid w:val="44CC5046"/>
    <w:rsid w:val="44F243AD"/>
    <w:rsid w:val="44FB52F9"/>
    <w:rsid w:val="45B649C6"/>
    <w:rsid w:val="46D629D1"/>
    <w:rsid w:val="477631C6"/>
    <w:rsid w:val="47C27D6C"/>
    <w:rsid w:val="47D51AB0"/>
    <w:rsid w:val="4838270D"/>
    <w:rsid w:val="48EC3373"/>
    <w:rsid w:val="48F007C1"/>
    <w:rsid w:val="493B64BB"/>
    <w:rsid w:val="495E0E6D"/>
    <w:rsid w:val="49AB2363"/>
    <w:rsid w:val="49CD7090"/>
    <w:rsid w:val="49D55251"/>
    <w:rsid w:val="4B190A6D"/>
    <w:rsid w:val="4BE87A98"/>
    <w:rsid w:val="4C1743E7"/>
    <w:rsid w:val="4C2E43AC"/>
    <w:rsid w:val="4E616C92"/>
    <w:rsid w:val="4E6F2E5D"/>
    <w:rsid w:val="4F9B25B3"/>
    <w:rsid w:val="502B1AD6"/>
    <w:rsid w:val="508A5A0C"/>
    <w:rsid w:val="50B13DEA"/>
    <w:rsid w:val="5407371F"/>
    <w:rsid w:val="55076EDB"/>
    <w:rsid w:val="557F62EE"/>
    <w:rsid w:val="565019E7"/>
    <w:rsid w:val="56861129"/>
    <w:rsid w:val="569861B6"/>
    <w:rsid w:val="56B6493F"/>
    <w:rsid w:val="56D26221"/>
    <w:rsid w:val="5809250B"/>
    <w:rsid w:val="586B510B"/>
    <w:rsid w:val="58946959"/>
    <w:rsid w:val="589E1721"/>
    <w:rsid w:val="58A83101"/>
    <w:rsid w:val="5A5113C2"/>
    <w:rsid w:val="5AB96486"/>
    <w:rsid w:val="5C8F7148"/>
    <w:rsid w:val="5CCE3A22"/>
    <w:rsid w:val="5D5B355A"/>
    <w:rsid w:val="5D8C4430"/>
    <w:rsid w:val="5E8A49EE"/>
    <w:rsid w:val="5F6103C2"/>
    <w:rsid w:val="5FB060F1"/>
    <w:rsid w:val="5FCD130C"/>
    <w:rsid w:val="5FD07FE9"/>
    <w:rsid w:val="60613CC2"/>
    <w:rsid w:val="60A774B1"/>
    <w:rsid w:val="61737CE0"/>
    <w:rsid w:val="617A62BB"/>
    <w:rsid w:val="61FF434A"/>
    <w:rsid w:val="62450E0A"/>
    <w:rsid w:val="6270505E"/>
    <w:rsid w:val="62A2790D"/>
    <w:rsid w:val="62EB49FC"/>
    <w:rsid w:val="632B05B6"/>
    <w:rsid w:val="63B57AA1"/>
    <w:rsid w:val="63D905AD"/>
    <w:rsid w:val="645F3309"/>
    <w:rsid w:val="647A03AB"/>
    <w:rsid w:val="652674EA"/>
    <w:rsid w:val="6539612E"/>
    <w:rsid w:val="65B46500"/>
    <w:rsid w:val="66E2747D"/>
    <w:rsid w:val="66F7550A"/>
    <w:rsid w:val="673047EC"/>
    <w:rsid w:val="6833421D"/>
    <w:rsid w:val="683B31A6"/>
    <w:rsid w:val="6A4B69A3"/>
    <w:rsid w:val="6A9874AE"/>
    <w:rsid w:val="6AAD1A41"/>
    <w:rsid w:val="6B9C347D"/>
    <w:rsid w:val="6BAC18E9"/>
    <w:rsid w:val="6D2F1B21"/>
    <w:rsid w:val="6E5F172B"/>
    <w:rsid w:val="6F5D0B2F"/>
    <w:rsid w:val="6F6117F5"/>
    <w:rsid w:val="6F84274A"/>
    <w:rsid w:val="6FBE314B"/>
    <w:rsid w:val="6FDC216E"/>
    <w:rsid w:val="70217AAF"/>
    <w:rsid w:val="70A0444C"/>
    <w:rsid w:val="71E7396A"/>
    <w:rsid w:val="73335F46"/>
    <w:rsid w:val="73FF03CD"/>
    <w:rsid w:val="74FC2405"/>
    <w:rsid w:val="771F637B"/>
    <w:rsid w:val="777C5D46"/>
    <w:rsid w:val="78373BAC"/>
    <w:rsid w:val="78D4376C"/>
    <w:rsid w:val="79775D93"/>
    <w:rsid w:val="799037A5"/>
    <w:rsid w:val="799B26EC"/>
    <w:rsid w:val="79DA107C"/>
    <w:rsid w:val="79EA5761"/>
    <w:rsid w:val="7B853EC3"/>
    <w:rsid w:val="7CAE2B9E"/>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9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95"/>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0"/>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07"/>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8"/>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9"/>
    <w:autoRedefine/>
    <w:qFormat/>
    <w:uiPriority w:val="0"/>
    <w:pPr>
      <w:tabs>
        <w:tab w:val="left" w:pos="1800"/>
        <w:tab w:val="clear" w:pos="1440"/>
      </w:tabs>
      <w:ind w:left="1276" w:hanging="1276"/>
      <w:outlineLvl w:val="6"/>
    </w:pPr>
  </w:style>
  <w:style w:type="paragraph" w:styleId="10">
    <w:name w:val="heading 8"/>
    <w:basedOn w:val="1"/>
    <w:next w:val="1"/>
    <w:link w:val="110"/>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11"/>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01"/>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55"/>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92"/>
    <w:autoRedefine/>
    <w:qFormat/>
    <w:uiPriority w:val="0"/>
    <w:pPr>
      <w:jc w:val="left"/>
    </w:pPr>
    <w:rPr>
      <w:rFonts w:ascii="Arial" w:hAnsi="Arial" w:eastAsia="黑体" w:cs="Arial"/>
    </w:rPr>
  </w:style>
  <w:style w:type="paragraph" w:styleId="18">
    <w:name w:val="Salutation"/>
    <w:basedOn w:val="1"/>
    <w:next w:val="1"/>
    <w:link w:val="122"/>
    <w:autoRedefine/>
    <w:qFormat/>
    <w:uiPriority w:val="0"/>
    <w:rPr>
      <w:rFonts w:ascii="仿宋_GB2312" w:hAnsi="Times New Roman" w:eastAsia="仿宋_GB2312" w:cs="Times New Roman"/>
      <w:kern w:val="2"/>
      <w:sz w:val="28"/>
      <w:lang w:val="zh-CN"/>
    </w:rPr>
  </w:style>
  <w:style w:type="paragraph" w:styleId="19">
    <w:name w:val="Body Text 3"/>
    <w:basedOn w:val="1"/>
    <w:link w:val="14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next w:val="21"/>
    <w:link w:val="116"/>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pPr>
      <w:snapToGrid w:val="0"/>
    </w:pPr>
    <w:rPr>
      <w:rFonts w:ascii="Arial" w:hAnsi="Arial"/>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1"/>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8"/>
    <w:autoRedefine/>
    <w:qFormat/>
    <w:uiPriority w:val="0"/>
    <w:rPr>
      <w:rFonts w:ascii="Arial" w:hAnsi="Arial" w:cs="Arial"/>
      <w:b/>
      <w:sz w:val="28"/>
    </w:rPr>
  </w:style>
  <w:style w:type="paragraph" w:styleId="31">
    <w:name w:val="Body Text Indent 2"/>
    <w:basedOn w:val="1"/>
    <w:link w:val="13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5"/>
    <w:autoRedefine/>
    <w:unhideWhenUsed/>
    <w:qFormat/>
    <w:uiPriority w:val="0"/>
    <w:rPr>
      <w:sz w:val="18"/>
      <w:szCs w:val="18"/>
    </w:rPr>
  </w:style>
  <w:style w:type="paragraph" w:styleId="33">
    <w:name w:val="footer"/>
    <w:basedOn w:val="1"/>
    <w:link w:val="80"/>
    <w:autoRedefine/>
    <w:unhideWhenUsed/>
    <w:qFormat/>
    <w:uiPriority w:val="99"/>
    <w:pPr>
      <w:tabs>
        <w:tab w:val="center" w:pos="4153"/>
        <w:tab w:val="right" w:pos="8306"/>
      </w:tabs>
      <w:snapToGrid w:val="0"/>
      <w:jc w:val="left"/>
    </w:pPr>
    <w:rPr>
      <w:sz w:val="18"/>
      <w:szCs w:val="18"/>
    </w:rPr>
  </w:style>
  <w:style w:type="paragraph" w:styleId="34">
    <w:name w:val="header"/>
    <w:basedOn w:val="1"/>
    <w:link w:val="7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8"/>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40"/>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4"/>
    <w:next w:val="1"/>
    <w:link w:val="144"/>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7"/>
    <w:next w:val="17"/>
    <w:link w:val="103"/>
    <w:autoRedefine/>
    <w:unhideWhenUsed/>
    <w:qFormat/>
    <w:uiPriority w:val="0"/>
    <w:rPr>
      <w:rFonts w:ascii="宋体" w:hAnsi="宋体" w:eastAsia="宋体" w:cstheme="minorBidi"/>
      <w:b/>
      <w:bCs/>
    </w:rPr>
  </w:style>
  <w:style w:type="paragraph" w:styleId="53">
    <w:name w:val="Body Text First Indent"/>
    <w:basedOn w:val="2"/>
    <w:autoRedefine/>
    <w:semiHidden/>
    <w:unhideWhenUsed/>
    <w:qFormat/>
    <w:uiPriority w:val="99"/>
    <w:pPr>
      <w:ind w:firstLine="420" w:firstLineChars="100"/>
    </w:pPr>
  </w:style>
  <w:style w:type="paragraph" w:styleId="54">
    <w:name w:val="Body Text First Indent 2"/>
    <w:basedOn w:val="20"/>
    <w:next w:val="1"/>
    <w:qFormat/>
    <w:uiPriority w:val="0"/>
    <w:pPr>
      <w:spacing w:line="360" w:lineRule="auto"/>
      <w:ind w:firstLine="200"/>
    </w:pPr>
    <w:rPr>
      <w:sz w:val="21"/>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TML Definition"/>
    <w:basedOn w:val="57"/>
    <w:semiHidden/>
    <w:unhideWhenUsed/>
    <w:qFormat/>
    <w:uiPriority w:val="99"/>
  </w:style>
  <w:style w:type="character" w:styleId="63">
    <w:name w:val="HTML Typewriter"/>
    <w:basedOn w:val="57"/>
    <w:semiHidden/>
    <w:unhideWhenUsed/>
    <w:qFormat/>
    <w:uiPriority w:val="99"/>
    <w:rPr>
      <w:rFonts w:hint="default" w:ascii="monospace" w:hAnsi="monospace" w:eastAsia="monospace" w:cs="monospace"/>
      <w:sz w:val="20"/>
    </w:rPr>
  </w:style>
  <w:style w:type="character" w:styleId="64">
    <w:name w:val="HTML Acronym"/>
    <w:basedOn w:val="57"/>
    <w:semiHidden/>
    <w:unhideWhenUsed/>
    <w:qFormat/>
    <w:uiPriority w:val="99"/>
  </w:style>
  <w:style w:type="character" w:styleId="65">
    <w:name w:val="HTML Variable"/>
    <w:basedOn w:val="57"/>
    <w:semiHidden/>
    <w:unhideWhenUsed/>
    <w:qFormat/>
    <w:uiPriority w:val="99"/>
  </w:style>
  <w:style w:type="character" w:styleId="66">
    <w:name w:val="Hyperlink"/>
    <w:basedOn w:val="57"/>
    <w:autoRedefine/>
    <w:unhideWhenUsed/>
    <w:qFormat/>
    <w:uiPriority w:val="99"/>
    <w:rPr>
      <w:color w:val="0000FF" w:themeColor="hyperlink"/>
      <w:u w:val="single"/>
      <w14:textFill>
        <w14:solidFill>
          <w14:schemeClr w14:val="hlink"/>
        </w14:solidFill>
      </w14:textFill>
    </w:rPr>
  </w:style>
  <w:style w:type="character" w:styleId="67">
    <w:name w:val="HTML Code"/>
    <w:basedOn w:val="57"/>
    <w:semiHidden/>
    <w:unhideWhenUsed/>
    <w:qFormat/>
    <w:uiPriority w:val="99"/>
    <w:rPr>
      <w:rFonts w:hint="default" w:ascii="monospace" w:hAnsi="monospace" w:eastAsia="monospace" w:cs="monospace"/>
      <w:sz w:val="20"/>
    </w:rPr>
  </w:style>
  <w:style w:type="character" w:styleId="68">
    <w:name w:val="annotation reference"/>
    <w:basedOn w:val="57"/>
    <w:autoRedefine/>
    <w:unhideWhenUsed/>
    <w:qFormat/>
    <w:uiPriority w:val="0"/>
    <w:rPr>
      <w:sz w:val="21"/>
      <w:szCs w:val="21"/>
    </w:rPr>
  </w:style>
  <w:style w:type="character" w:styleId="69">
    <w:name w:val="HTML Cite"/>
    <w:basedOn w:val="57"/>
    <w:semiHidden/>
    <w:unhideWhenUsed/>
    <w:qFormat/>
    <w:uiPriority w:val="99"/>
  </w:style>
  <w:style w:type="character" w:styleId="70">
    <w:name w:val="footnote reference"/>
    <w:autoRedefine/>
    <w:unhideWhenUsed/>
    <w:qFormat/>
    <w:uiPriority w:val="0"/>
    <w:rPr>
      <w:vertAlign w:val="superscript"/>
    </w:rPr>
  </w:style>
  <w:style w:type="character" w:styleId="71">
    <w:name w:val="HTML Keyboard"/>
    <w:basedOn w:val="57"/>
    <w:semiHidden/>
    <w:unhideWhenUsed/>
    <w:qFormat/>
    <w:uiPriority w:val="99"/>
    <w:rPr>
      <w:rFonts w:ascii="monospace" w:hAnsi="monospace" w:eastAsia="monospace" w:cs="monospace"/>
      <w:sz w:val="20"/>
    </w:rPr>
  </w:style>
  <w:style w:type="character" w:styleId="72">
    <w:name w:val="HTML Sample"/>
    <w:autoRedefine/>
    <w:qFormat/>
    <w:uiPriority w:val="0"/>
    <w:rPr>
      <w:rFonts w:hint="default" w:ascii="monospace" w:hAnsi="monospace" w:eastAsia="monospace" w:cs="monospace"/>
      <w:sz w:val="21"/>
      <w:szCs w:val="21"/>
    </w:rPr>
  </w:style>
  <w:style w:type="paragraph" w:customStyle="1" w:styleId="73">
    <w:name w:val="样式 ！正文 + 首行缩进:  2 字符"/>
    <w:basedOn w:val="1"/>
    <w:qFormat/>
    <w:uiPriority w:val="0"/>
    <w:pPr>
      <w:ind w:firstLine="480" w:firstLineChars="200"/>
    </w:pPr>
    <w:rPr>
      <w:rFonts w:hint="eastAsia" w:ascii="Arial" w:hAnsi="Arial" w:cs="宋体"/>
    </w:rPr>
  </w:style>
  <w:style w:type="paragraph" w:customStyle="1" w:styleId="74">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75">
    <w:name w:val="批注框文本 Char"/>
    <w:basedOn w:val="57"/>
    <w:link w:val="32"/>
    <w:autoRedefine/>
    <w:qFormat/>
    <w:uiPriority w:val="0"/>
    <w:rPr>
      <w:rFonts w:ascii="@仿宋_GB2312" w:hAnsi="@仿宋_GB2312" w:eastAsia="@仿宋_GB2312" w:cs="@仿宋_GB2312"/>
      <w:sz w:val="18"/>
      <w:szCs w:val="18"/>
    </w:rPr>
  </w:style>
  <w:style w:type="paragraph" w:customStyle="1" w:styleId="76">
    <w:name w:val="正文（缩进）"/>
    <w:basedOn w:val="1"/>
    <w:autoRedefine/>
    <w:qFormat/>
    <w:uiPriority w:val="0"/>
    <w:pPr>
      <w:widowControl/>
      <w:spacing w:before="156" w:after="156"/>
      <w:ind w:firstLine="480" w:firstLineChars="200"/>
      <w:jc w:val="left"/>
    </w:pPr>
    <w:rPr>
      <w:sz w:val="24"/>
      <w:szCs w:val="24"/>
    </w:rPr>
  </w:style>
  <w:style w:type="paragraph" w:customStyle="1" w:styleId="77">
    <w:name w:val="xl31"/>
    <w:basedOn w:val="1"/>
    <w:autoRedefine/>
    <w:qFormat/>
    <w:uiPriority w:val="0"/>
    <w:pPr>
      <w:widowControl/>
      <w:spacing w:before="100" w:beforeAutospacing="1" w:after="100" w:afterAutospacing="1"/>
      <w:jc w:val="center"/>
    </w:pPr>
    <w:rPr>
      <w:b/>
      <w:bCs/>
      <w:sz w:val="28"/>
      <w:szCs w:val="28"/>
    </w:rPr>
  </w:style>
  <w:style w:type="paragraph" w:customStyle="1" w:styleId="78">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9">
    <w:name w:val="页眉 Char"/>
    <w:basedOn w:val="57"/>
    <w:link w:val="34"/>
    <w:autoRedefine/>
    <w:qFormat/>
    <w:uiPriority w:val="99"/>
    <w:rPr>
      <w:rFonts w:ascii="@仿宋_GB2312" w:hAnsi="@仿宋_GB2312" w:eastAsia="@仿宋_GB2312" w:cs="@仿宋_GB2312"/>
      <w:sz w:val="18"/>
      <w:szCs w:val="18"/>
    </w:rPr>
  </w:style>
  <w:style w:type="character" w:customStyle="1" w:styleId="80">
    <w:name w:val="页脚 Char"/>
    <w:basedOn w:val="57"/>
    <w:link w:val="33"/>
    <w:autoRedefine/>
    <w:qFormat/>
    <w:uiPriority w:val="99"/>
    <w:rPr>
      <w:rFonts w:ascii="@仿宋_GB2312" w:hAnsi="@仿宋_GB2312" w:eastAsia="@仿宋_GB2312" w:cs="@仿宋_GB2312"/>
      <w:sz w:val="18"/>
      <w:szCs w:val="18"/>
    </w:rPr>
  </w:style>
  <w:style w:type="character" w:customStyle="1" w:styleId="81">
    <w:name w:val="纯文本 Char"/>
    <w:link w:val="28"/>
    <w:autoRedefine/>
    <w:qFormat/>
    <w:uiPriority w:val="0"/>
    <w:rPr>
      <w:rFonts w:ascii="宋体" w:hAnsi="Courier New"/>
    </w:rPr>
  </w:style>
  <w:style w:type="character" w:customStyle="1" w:styleId="82">
    <w:name w:val="纯文本 字符1"/>
    <w:basedOn w:val="57"/>
    <w:autoRedefine/>
    <w:semiHidden/>
    <w:qFormat/>
    <w:uiPriority w:val="99"/>
    <w:rPr>
      <w:rFonts w:hAnsi="Courier New" w:cs="Courier New" w:asciiTheme="minorEastAsia"/>
      <w:szCs w:val="20"/>
    </w:rPr>
  </w:style>
  <w:style w:type="character" w:customStyle="1" w:styleId="83">
    <w:name w:val="未处理的提及1"/>
    <w:basedOn w:val="57"/>
    <w:autoRedefine/>
    <w:semiHidden/>
    <w:unhideWhenUsed/>
    <w:qFormat/>
    <w:uiPriority w:val="99"/>
    <w:rPr>
      <w:color w:val="605E5C"/>
      <w:shd w:val="clear" w:color="auto" w:fill="E1DFDD"/>
    </w:rPr>
  </w:style>
  <w:style w:type="paragraph" w:styleId="84">
    <w:name w:val="List Paragraph"/>
    <w:basedOn w:val="1"/>
    <w:autoRedefine/>
    <w:qFormat/>
    <w:uiPriority w:val="34"/>
    <w:pPr>
      <w:ind w:firstLine="420" w:firstLineChars="200"/>
    </w:pPr>
  </w:style>
  <w:style w:type="paragraph" w:customStyle="1" w:styleId="85">
    <w:name w:val="Char Char Char Char Char Char Char1 Char"/>
    <w:basedOn w:val="1"/>
    <w:autoRedefine/>
    <w:qFormat/>
    <w:uiPriority w:val="0"/>
    <w:rPr>
      <w:rFonts w:ascii="Arial" w:hAnsi="Arial" w:cs="Arial"/>
      <w:sz w:val="24"/>
    </w:rPr>
  </w:style>
  <w:style w:type="table" w:customStyle="1" w:styleId="86">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7">
    <w:name w:val="日期 字符"/>
    <w:basedOn w:val="57"/>
    <w:autoRedefine/>
    <w:semiHidden/>
    <w:qFormat/>
    <w:uiPriority w:val="99"/>
    <w:rPr>
      <w:rFonts w:ascii="@仿宋_GB2312" w:hAnsi="@仿宋_GB2312" w:eastAsia="@仿宋_GB2312" w:cs="@仿宋_GB2312"/>
      <w:szCs w:val="20"/>
    </w:rPr>
  </w:style>
  <w:style w:type="character" w:customStyle="1" w:styleId="88">
    <w:name w:val="日期 Char"/>
    <w:link w:val="30"/>
    <w:autoRedefine/>
    <w:qFormat/>
    <w:uiPriority w:val="0"/>
    <w:rPr>
      <w:rFonts w:ascii="Arial" w:hAnsi="Arial" w:eastAsia="宋体" w:cs="Arial"/>
      <w:b/>
      <w:sz w:val="28"/>
      <w:szCs w:val="20"/>
    </w:rPr>
  </w:style>
  <w:style w:type="character" w:customStyle="1" w:styleId="89">
    <w:name w:val="纯文本 Char1"/>
    <w:link w:val="90"/>
    <w:autoRedefine/>
    <w:qFormat/>
    <w:locked/>
    <w:uiPriority w:val="99"/>
    <w:rPr>
      <w:rFonts w:ascii="Arial" w:hAnsi="Arial" w:eastAsia="Arial"/>
      <w:kern w:val="2"/>
      <w:sz w:val="21"/>
      <w:lang w:val="en-US" w:eastAsia="zh-CN" w:bidi="ar-SA"/>
    </w:rPr>
  </w:style>
  <w:style w:type="paragraph" w:customStyle="1" w:styleId="90">
    <w:name w:val="纯文本1"/>
    <w:basedOn w:val="1"/>
    <w:link w:val="89"/>
    <w:autoRedefine/>
    <w:qFormat/>
    <w:uiPriority w:val="0"/>
    <w:rPr>
      <w:rFonts w:ascii="Arial" w:hAnsi="Arial" w:eastAsia="Arial"/>
    </w:rPr>
  </w:style>
  <w:style w:type="character" w:customStyle="1" w:styleId="91">
    <w:name w:val="批注文字 Char"/>
    <w:basedOn w:val="57"/>
    <w:autoRedefine/>
    <w:qFormat/>
    <w:uiPriority w:val="0"/>
    <w:rPr>
      <w:rFonts w:ascii="@仿宋_GB2312" w:hAnsi="@仿宋_GB2312" w:eastAsia="@仿宋_GB2312" w:cs="@仿宋_GB2312"/>
      <w:szCs w:val="20"/>
    </w:rPr>
  </w:style>
  <w:style w:type="character" w:customStyle="1" w:styleId="92">
    <w:name w:val="批注文字 Char1"/>
    <w:link w:val="17"/>
    <w:autoRedefine/>
    <w:qFormat/>
    <w:uiPriority w:val="99"/>
    <w:rPr>
      <w:rFonts w:ascii="Arial" w:hAnsi="Arial" w:eastAsia="黑体" w:cs="Arial"/>
      <w:szCs w:val="20"/>
    </w:rPr>
  </w:style>
  <w:style w:type="character" w:customStyle="1" w:styleId="93">
    <w:name w:val="标题 1 Char"/>
    <w:basedOn w:val="57"/>
    <w:link w:val="3"/>
    <w:autoRedefine/>
    <w:qFormat/>
    <w:uiPriority w:val="0"/>
    <w:rPr>
      <w:rFonts w:ascii="@仿宋_GB2312" w:hAnsi="@仿宋_GB2312" w:eastAsia="@仿宋_GB2312" w:cs="@仿宋_GB2312"/>
      <w:b/>
      <w:bCs/>
      <w:kern w:val="44"/>
      <w:sz w:val="44"/>
      <w:szCs w:val="44"/>
    </w:rPr>
  </w:style>
  <w:style w:type="paragraph" w:customStyle="1" w:styleId="9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5">
    <w:name w:val="标题 3 Char"/>
    <w:basedOn w:val="57"/>
    <w:link w:val="5"/>
    <w:autoRedefine/>
    <w:qFormat/>
    <w:uiPriority w:val="0"/>
    <w:rPr>
      <w:rFonts w:ascii="@仿宋_GB2312" w:hAnsi="@仿宋_GB2312" w:eastAsia="@仿宋_GB2312" w:cs="@仿宋_GB2312"/>
      <w:b/>
      <w:bCs/>
      <w:sz w:val="32"/>
      <w:szCs w:val="32"/>
    </w:rPr>
  </w:style>
  <w:style w:type="character" w:customStyle="1" w:styleId="96">
    <w:name w:val="fontstyle01"/>
    <w:basedOn w:val="57"/>
    <w:autoRedefine/>
    <w:qFormat/>
    <w:uiPriority w:val="0"/>
    <w:rPr>
      <w:rFonts w:hint="eastAsia" w:ascii="宋体" w:hAnsi="宋体" w:eastAsia="宋体"/>
      <w:color w:val="000000"/>
      <w:sz w:val="22"/>
      <w:szCs w:val="22"/>
    </w:rPr>
  </w:style>
  <w:style w:type="character" w:customStyle="1" w:styleId="97">
    <w:name w:val="fontstyle21"/>
    <w:basedOn w:val="57"/>
    <w:autoRedefine/>
    <w:qFormat/>
    <w:uiPriority w:val="0"/>
    <w:rPr>
      <w:rFonts w:hint="default" w:ascii="TimesNewRomanPSMT" w:hAnsi="TimesNewRomanPSMT"/>
      <w:color w:val="000000"/>
      <w:sz w:val="22"/>
      <w:szCs w:val="22"/>
    </w:rPr>
  </w:style>
  <w:style w:type="character" w:customStyle="1" w:styleId="9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9">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100">
    <w:name w:val="标题 4 Char"/>
    <w:link w:val="6"/>
    <w:autoRedefine/>
    <w:qFormat/>
    <w:uiPriority w:val="0"/>
    <w:rPr>
      <w:rFonts w:ascii="@仿宋_GB2312" w:hAnsi="@仿宋_GB2312" w:eastAsia="@仿宋_GB2312" w:cs="@仿宋_GB2312"/>
      <w:b/>
      <w:bCs/>
      <w:sz w:val="28"/>
      <w:szCs w:val="28"/>
    </w:rPr>
  </w:style>
  <w:style w:type="character" w:customStyle="1" w:styleId="101">
    <w:name w:val="正文文本 Char"/>
    <w:basedOn w:val="57"/>
    <w:link w:val="2"/>
    <w:autoRedefine/>
    <w:qFormat/>
    <w:uiPriority w:val="0"/>
    <w:rPr>
      <w:rFonts w:ascii="@微软简标宋" w:hAnsi="@微软简标宋" w:eastAsia="@微软简标宋" w:cs="@微软简标宋"/>
      <w:szCs w:val="24"/>
      <w:lang w:val="zh-CN" w:eastAsia="zh-CN"/>
    </w:rPr>
  </w:style>
  <w:style w:type="table" w:customStyle="1" w:styleId="102">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3">
    <w:name w:val="批注主题 Char"/>
    <w:basedOn w:val="92"/>
    <w:link w:val="52"/>
    <w:autoRedefine/>
    <w:qFormat/>
    <w:uiPriority w:val="0"/>
    <w:rPr>
      <w:rFonts w:ascii="Arial" w:hAnsi="Arial" w:eastAsia="黑体" w:cs="Arial"/>
      <w:b/>
      <w:bCs/>
      <w:szCs w:val="20"/>
    </w:rPr>
  </w:style>
  <w:style w:type="paragraph" w:customStyle="1" w:styleId="104">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5">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6">
    <w:name w:val="标题 2 Char"/>
    <w:basedOn w:val="57"/>
    <w:link w:val="4"/>
    <w:autoRedefine/>
    <w:qFormat/>
    <w:uiPriority w:val="0"/>
    <w:rPr>
      <w:rFonts w:ascii="Cambria" w:hAnsi="Cambria" w:cs="Times New Roman"/>
      <w:b/>
      <w:bCs/>
      <w:kern w:val="2"/>
      <w:sz w:val="32"/>
      <w:szCs w:val="32"/>
      <w:lang w:val="zh-CN" w:eastAsia="zh-CN"/>
    </w:rPr>
  </w:style>
  <w:style w:type="character" w:customStyle="1" w:styleId="107">
    <w:name w:val="标题 5 Char"/>
    <w:basedOn w:val="57"/>
    <w:link w:val="7"/>
    <w:autoRedefine/>
    <w:qFormat/>
    <w:uiPriority w:val="0"/>
    <w:rPr>
      <w:rFonts w:ascii="Calibri" w:hAnsi="Calibri" w:cs="Times New Roman"/>
      <w:b/>
      <w:bCs/>
      <w:kern w:val="2"/>
      <w:sz w:val="28"/>
      <w:szCs w:val="28"/>
      <w:lang w:val="zh-CN" w:eastAsia="zh-CN"/>
    </w:rPr>
  </w:style>
  <w:style w:type="character" w:customStyle="1" w:styleId="108">
    <w:name w:val="标题 6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7 Char"/>
    <w:basedOn w:val="57"/>
    <w:link w:val="9"/>
    <w:autoRedefine/>
    <w:qFormat/>
    <w:uiPriority w:val="0"/>
    <w:rPr>
      <w:rFonts w:ascii="Times New Roman" w:hAnsi="Times New Roman" w:cs="Times New Roman"/>
      <w:b/>
      <w:bCs/>
      <w:kern w:val="2"/>
      <w:sz w:val="30"/>
      <w:szCs w:val="18"/>
      <w:lang w:val="zh-CN" w:eastAsia="zh-CN"/>
    </w:rPr>
  </w:style>
  <w:style w:type="character" w:customStyle="1" w:styleId="110">
    <w:name w:val="标题 8 Char"/>
    <w:basedOn w:val="57"/>
    <w:link w:val="10"/>
    <w:autoRedefine/>
    <w:qFormat/>
    <w:uiPriority w:val="0"/>
    <w:rPr>
      <w:rFonts w:eastAsia="黑体" w:cs="Times New Roman"/>
      <w:kern w:val="2"/>
      <w:sz w:val="32"/>
      <w:szCs w:val="32"/>
      <w:lang w:val="zh-CN" w:eastAsia="zh-CN"/>
    </w:rPr>
  </w:style>
  <w:style w:type="character" w:customStyle="1" w:styleId="111">
    <w:name w:val="标题 9 Char"/>
    <w:basedOn w:val="57"/>
    <w:link w:val="11"/>
    <w:autoRedefine/>
    <w:qFormat/>
    <w:uiPriority w:val="0"/>
    <w:rPr>
      <w:rFonts w:ascii="Cambria" w:hAnsi="Cambria" w:cs="Times New Roman"/>
      <w:kern w:val="2"/>
      <w:sz w:val="21"/>
      <w:szCs w:val="21"/>
      <w:lang w:val="zh-CN" w:eastAsia="zh-CN"/>
    </w:rPr>
  </w:style>
  <w:style w:type="character" w:customStyle="1" w:styleId="112">
    <w:name w:val="纯文本 Char2"/>
    <w:autoRedefine/>
    <w:qFormat/>
    <w:uiPriority w:val="0"/>
    <w:rPr>
      <w:rFonts w:ascii="宋体" w:hAnsi="Courier New"/>
    </w:rPr>
  </w:style>
  <w:style w:type="table" w:customStyle="1" w:styleId="113">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5">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6">
    <w:name w:val="正文文本缩进 Char"/>
    <w:basedOn w:val="57"/>
    <w:link w:val="20"/>
    <w:autoRedefine/>
    <w:qFormat/>
    <w:uiPriority w:val="0"/>
    <w:rPr>
      <w:rFonts w:asciiTheme="minorHAnsi" w:hAnsiTheme="minorHAnsi"/>
      <w:kern w:val="2"/>
      <w:sz w:val="21"/>
      <w:szCs w:val="22"/>
    </w:rPr>
  </w:style>
  <w:style w:type="paragraph" w:customStyle="1" w:styleId="117">
    <w:name w:val="Char"/>
    <w:basedOn w:val="1"/>
    <w:autoRedefine/>
    <w:qFormat/>
    <w:uiPriority w:val="0"/>
    <w:rPr>
      <w:rFonts w:ascii="Tahoma" w:hAnsi="Tahoma" w:cs="Times New Roman"/>
      <w:sz w:val="24"/>
    </w:rPr>
  </w:style>
  <w:style w:type="character" w:customStyle="1" w:styleId="118">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9">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2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2">
    <w:name w:val="称呼 Char"/>
    <w:basedOn w:val="57"/>
    <w:link w:val="18"/>
    <w:autoRedefine/>
    <w:qFormat/>
    <w:uiPriority w:val="0"/>
    <w:rPr>
      <w:rFonts w:ascii="仿宋_GB2312" w:hAnsi="Times New Roman" w:eastAsia="仿宋_GB2312" w:cs="Times New Roman"/>
      <w:kern w:val="2"/>
      <w:sz w:val="28"/>
      <w:lang w:val="zh-CN" w:eastAsia="zh-CN"/>
    </w:rPr>
  </w:style>
  <w:style w:type="paragraph" w:customStyle="1" w:styleId="123">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9">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30">
    <w:name w:val="Char Char Char Char Char Char"/>
    <w:basedOn w:val="1"/>
    <w:autoRedefine/>
    <w:qFormat/>
    <w:uiPriority w:val="0"/>
    <w:rPr>
      <w:rFonts w:ascii="Tahoma" w:hAnsi="Tahoma" w:cs="Times New Roman"/>
      <w:kern w:val="2"/>
      <w:sz w:val="24"/>
    </w:rPr>
  </w:style>
  <w:style w:type="paragraph" w:customStyle="1" w:styleId="131">
    <w:name w:val="Blockquote"/>
    <w:basedOn w:val="1"/>
    <w:link w:val="132"/>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2">
    <w:name w:val="Blockquote Char"/>
    <w:link w:val="131"/>
    <w:autoRedefine/>
    <w:qFormat/>
    <w:uiPriority w:val="0"/>
    <w:rPr>
      <w:rFonts w:ascii="Times New Roman" w:hAnsi="Times New Roman" w:cs="Times New Roman"/>
      <w:sz w:val="24"/>
      <w:lang w:val="zh-CN" w:eastAsia="zh-CN"/>
    </w:rPr>
  </w:style>
  <w:style w:type="paragraph" w:customStyle="1" w:styleId="133">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34">
    <w:name w:val="tdrownotice1"/>
    <w:autoRedefine/>
    <w:qFormat/>
    <w:uiPriority w:val="0"/>
    <w:rPr>
      <w:sz w:val="22"/>
    </w:rPr>
  </w:style>
  <w:style w:type="paragraph" w:customStyle="1" w:styleId="13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6">
    <w:name w:val="正文文本缩进 3 Char"/>
    <w:basedOn w:val="57"/>
    <w:link w:val="44"/>
    <w:autoRedefine/>
    <w:qFormat/>
    <w:uiPriority w:val="0"/>
    <w:rPr>
      <w:rFonts w:hAnsi="MS Sans Serif" w:cs="Times New Roman"/>
      <w:bCs/>
      <w:color w:val="000000"/>
      <w:sz w:val="24"/>
      <w:lang w:val="zh-CN" w:eastAsia="zh-CN"/>
    </w:rPr>
  </w:style>
  <w:style w:type="character" w:customStyle="1" w:styleId="137">
    <w:name w:val="正文文本缩进 2 Char"/>
    <w:basedOn w:val="57"/>
    <w:link w:val="31"/>
    <w:autoRedefine/>
    <w:qFormat/>
    <w:uiPriority w:val="0"/>
    <w:rPr>
      <w:rFonts w:hAnsi="MS Sans Serif" w:cs="Times New Roman"/>
      <w:bCs/>
      <w:spacing w:val="12"/>
      <w:sz w:val="24"/>
      <w:lang w:val="zh-CN" w:eastAsia="zh-CN"/>
    </w:rPr>
  </w:style>
  <w:style w:type="paragraph" w:customStyle="1" w:styleId="138">
    <w:name w:val="目录"/>
    <w:basedOn w:val="1"/>
    <w:autoRedefine/>
    <w:qFormat/>
    <w:uiPriority w:val="0"/>
    <w:pPr>
      <w:widowControl/>
      <w:jc w:val="center"/>
    </w:pPr>
    <w:rPr>
      <w:rFonts w:hAnsi="Calibri" w:cs="Times New Roman"/>
      <w:b/>
      <w:sz w:val="36"/>
    </w:rPr>
  </w:style>
  <w:style w:type="paragraph" w:customStyle="1" w:styleId="139">
    <w:name w:val="目录文字"/>
    <w:basedOn w:val="1"/>
    <w:autoRedefine/>
    <w:qFormat/>
    <w:uiPriority w:val="0"/>
    <w:pPr>
      <w:widowControl/>
      <w:spacing w:line="480" w:lineRule="auto"/>
      <w:jc w:val="left"/>
    </w:pPr>
    <w:rPr>
      <w:rFonts w:cs="Times New Roman"/>
      <w:sz w:val="24"/>
    </w:rPr>
  </w:style>
  <w:style w:type="character" w:customStyle="1" w:styleId="140">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41">
    <w:name w:val="正文文本 3 Char"/>
    <w:basedOn w:val="57"/>
    <w:link w:val="19"/>
    <w:autoRedefine/>
    <w:qFormat/>
    <w:uiPriority w:val="0"/>
    <w:rPr>
      <w:rFonts w:ascii="仿宋_GB2312" w:eastAsia="仿宋_GB2312" w:cs="Times New Roman"/>
      <w:bCs/>
      <w:color w:val="000000"/>
      <w:kern w:val="2"/>
      <w:sz w:val="24"/>
      <w:szCs w:val="32"/>
      <w:lang w:val="zh-CN" w:eastAsia="zh-CN"/>
    </w:rPr>
  </w:style>
  <w:style w:type="paragraph" w:customStyle="1" w:styleId="14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4">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45">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7">
    <w:name w:val="简单回函地址"/>
    <w:basedOn w:val="1"/>
    <w:autoRedefine/>
    <w:qFormat/>
    <w:uiPriority w:val="0"/>
    <w:rPr>
      <w:rFonts w:ascii="Calibri" w:hAnsi="Calibri" w:cs="Times New Roman"/>
      <w:kern w:val="2"/>
      <w:sz w:val="21"/>
      <w:szCs w:val="22"/>
    </w:rPr>
  </w:style>
  <w:style w:type="paragraph" w:customStyle="1" w:styleId="14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50">
    <w:name w:val="t_tag"/>
    <w:basedOn w:val="57"/>
    <w:autoRedefine/>
    <w:qFormat/>
    <w:uiPriority w:val="0"/>
  </w:style>
  <w:style w:type="table" w:customStyle="1" w:styleId="151">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2">
    <w:name w:val="批注框文本 Char1"/>
    <w:basedOn w:val="57"/>
    <w:autoRedefine/>
    <w:qFormat/>
    <w:uiPriority w:val="0"/>
    <w:rPr>
      <w:rFonts w:ascii="Times New Roman" w:hAnsi="Times New Roman" w:eastAsia="宋体" w:cs="Times New Roman"/>
      <w:sz w:val="18"/>
      <w:szCs w:val="18"/>
    </w:rPr>
  </w:style>
  <w:style w:type="character" w:customStyle="1" w:styleId="153">
    <w:name w:val="批注主题 Char1"/>
    <w:basedOn w:val="92"/>
    <w:autoRedefine/>
    <w:qFormat/>
    <w:uiPriority w:val="0"/>
    <w:rPr>
      <w:rFonts w:ascii="@仿宋_GB2312" w:hAnsi="@仿宋_GB2312" w:eastAsia="@仿宋_GB2312" w:cs="@仿宋_GB2312"/>
      <w:b/>
      <w:bCs/>
      <w:szCs w:val="20"/>
    </w:rPr>
  </w:style>
  <w:style w:type="paragraph" w:customStyle="1" w:styleId="15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5">
    <w:name w:val="文档结构图 Char"/>
    <w:basedOn w:val="57"/>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56">
    <w:name w:val="标题 1 Char1"/>
    <w:autoRedefine/>
    <w:qFormat/>
    <w:uiPriority w:val="0"/>
    <w:rPr>
      <w:rFonts w:ascii="Calibri" w:hAnsi="Calibri" w:eastAsia="宋体"/>
      <w:b/>
      <w:kern w:val="44"/>
      <w:sz w:val="44"/>
      <w:szCs w:val="44"/>
    </w:rPr>
  </w:style>
  <w:style w:type="character" w:customStyle="1" w:styleId="157">
    <w:name w:val="标题 3 Char1"/>
    <w:autoRedefine/>
    <w:semiHidden/>
    <w:qFormat/>
    <w:uiPriority w:val="0"/>
    <w:rPr>
      <w:rFonts w:ascii="Calibri" w:hAnsi="Calibri" w:eastAsia="宋体"/>
      <w:b/>
      <w:kern w:val="2"/>
      <w:sz w:val="32"/>
    </w:rPr>
  </w:style>
  <w:style w:type="character" w:customStyle="1" w:styleId="158">
    <w:name w:val="标题 4 Char1"/>
    <w:autoRedefine/>
    <w:semiHidden/>
    <w:qFormat/>
    <w:uiPriority w:val="0"/>
    <w:rPr>
      <w:rFonts w:ascii="Cambria" w:hAnsi="Cambria" w:eastAsia="宋体"/>
      <w:b/>
      <w:kern w:val="2"/>
      <w:sz w:val="28"/>
      <w:szCs w:val="28"/>
    </w:rPr>
  </w:style>
  <w:style w:type="character" w:customStyle="1" w:styleId="159">
    <w:name w:val="标题 5 Char1"/>
    <w:autoRedefine/>
    <w:semiHidden/>
    <w:qFormat/>
    <w:uiPriority w:val="0"/>
    <w:rPr>
      <w:rFonts w:ascii="Calibri" w:hAnsi="Calibri" w:eastAsia="宋体"/>
      <w:b/>
      <w:kern w:val="2"/>
      <w:sz w:val="28"/>
      <w:szCs w:val="28"/>
    </w:rPr>
  </w:style>
  <w:style w:type="character" w:customStyle="1" w:styleId="160">
    <w:name w:val="标题 6 Char1"/>
    <w:autoRedefine/>
    <w:semiHidden/>
    <w:qFormat/>
    <w:uiPriority w:val="0"/>
    <w:rPr>
      <w:rFonts w:ascii="Cambria" w:hAnsi="Cambria" w:eastAsia="宋体"/>
      <w:b/>
      <w:kern w:val="2"/>
      <w:sz w:val="24"/>
      <w:szCs w:val="24"/>
    </w:rPr>
  </w:style>
  <w:style w:type="character" w:customStyle="1" w:styleId="161">
    <w:name w:val="标题 7 Char1"/>
    <w:autoRedefine/>
    <w:semiHidden/>
    <w:qFormat/>
    <w:uiPriority w:val="0"/>
    <w:rPr>
      <w:rFonts w:ascii="Calibri" w:hAnsi="Calibri" w:eastAsia="宋体"/>
      <w:b/>
      <w:kern w:val="2"/>
      <w:sz w:val="24"/>
      <w:szCs w:val="24"/>
    </w:rPr>
  </w:style>
  <w:style w:type="character" w:customStyle="1" w:styleId="162">
    <w:name w:val="标题 8 Char1"/>
    <w:autoRedefine/>
    <w:semiHidden/>
    <w:qFormat/>
    <w:uiPriority w:val="0"/>
    <w:rPr>
      <w:rFonts w:ascii="Cambria" w:hAnsi="Cambria" w:eastAsia="宋体"/>
      <w:kern w:val="2"/>
      <w:sz w:val="24"/>
      <w:szCs w:val="24"/>
    </w:rPr>
  </w:style>
  <w:style w:type="character" w:customStyle="1" w:styleId="163">
    <w:name w:val="标题 9 Char1"/>
    <w:autoRedefine/>
    <w:semiHidden/>
    <w:qFormat/>
    <w:uiPriority w:val="0"/>
    <w:rPr>
      <w:rFonts w:ascii="Cambria" w:hAnsi="Cambria" w:eastAsia="宋体"/>
      <w:kern w:val="2"/>
      <w:sz w:val="21"/>
      <w:szCs w:val="21"/>
    </w:rPr>
  </w:style>
  <w:style w:type="paragraph" w:customStyle="1" w:styleId="164">
    <w:name w:val="MsoNormal"/>
    <w:basedOn w:val="165"/>
    <w:autoRedefine/>
    <w:qFormat/>
    <w:uiPriority w:val="0"/>
    <w:rPr>
      <w:rFonts w:ascii="Calibri" w:hAnsi="Calibri" w:eastAsia="Calibri"/>
      <w:sz w:val="21"/>
    </w:rPr>
  </w:style>
  <w:style w:type="paragraph" w:customStyle="1" w:styleId="165">
    <w:name w:val="Normal_0"/>
    <w:autoRedefine/>
    <w:qFormat/>
    <w:uiPriority w:val="0"/>
    <w:rPr>
      <w:rFonts w:ascii="Times New Roman" w:hAnsi="Times New Roman" w:eastAsia="宋体" w:cs="Times New Roman"/>
      <w:sz w:val="24"/>
      <w:szCs w:val="24"/>
      <w:lang w:val="en-US" w:eastAsia="zh-CN" w:bidi="ar-SA"/>
    </w:rPr>
  </w:style>
  <w:style w:type="paragraph" w:customStyle="1" w:styleId="166">
    <w:name w:val="标题 2_0"/>
    <w:basedOn w:val="167"/>
    <w:next w:val="168"/>
    <w:link w:val="16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标题 2 Char_0"/>
    <w:link w:val="166"/>
    <w:autoRedefine/>
    <w:qFormat/>
    <w:uiPriority w:val="0"/>
    <w:rPr>
      <w:rFonts w:ascii="黑体" w:eastAsia="黑体" w:cs="Times New Roman"/>
      <w:b/>
      <w:smallCaps/>
      <w:snapToGrid w:val="0"/>
      <w:sz w:val="36"/>
      <w:szCs w:val="24"/>
      <w:lang w:val="zh-CN" w:eastAsia="zh-CN"/>
    </w:rPr>
  </w:style>
  <w:style w:type="paragraph" w:customStyle="1" w:styleId="170">
    <w:name w:val="纯文本_0"/>
    <w:basedOn w:val="168"/>
    <w:link w:val="171"/>
    <w:autoRedefine/>
    <w:qFormat/>
    <w:uiPriority w:val="99"/>
    <w:rPr>
      <w:rFonts w:ascii="宋体" w:hAnsi="Courier New"/>
      <w:szCs w:val="21"/>
    </w:rPr>
  </w:style>
  <w:style w:type="character" w:customStyle="1" w:styleId="171">
    <w:name w:val="Texte Char1"/>
    <w:link w:val="170"/>
    <w:autoRedefine/>
    <w:qFormat/>
    <w:uiPriority w:val="99"/>
    <w:rPr>
      <w:rFonts w:hAnsi="Courier New" w:cs="Times New Roman"/>
      <w:kern w:val="2"/>
      <w:sz w:val="21"/>
      <w:szCs w:val="21"/>
    </w:rPr>
  </w:style>
  <w:style w:type="paragraph" w:customStyle="1" w:styleId="172">
    <w:name w:val="纯文本_1"/>
    <w:basedOn w:val="173"/>
    <w:link w:val="174"/>
    <w:autoRedefine/>
    <w:qFormat/>
    <w:uiPriority w:val="0"/>
    <w:rPr>
      <w:rFonts w:ascii="宋体" w:hAnsi="Courier New"/>
      <w:szCs w:val="21"/>
      <w:lang w:val="zh-CN"/>
    </w:rPr>
  </w:style>
  <w:style w:type="paragraph" w:customStyle="1" w:styleId="17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纯文本 Char1_0"/>
    <w:link w:val="172"/>
    <w:autoRedefine/>
    <w:qFormat/>
    <w:uiPriority w:val="0"/>
    <w:rPr>
      <w:rFonts w:hAnsi="Courier New" w:cs="Times New Roman"/>
      <w:kern w:val="2"/>
      <w:sz w:val="21"/>
      <w:szCs w:val="21"/>
      <w:lang w:val="zh-CN" w:eastAsia="zh-CN"/>
    </w:rPr>
  </w:style>
  <w:style w:type="paragraph" w:customStyle="1" w:styleId="175">
    <w:name w:val="标题 3_0"/>
    <w:basedOn w:val="176"/>
    <w:next w:val="177"/>
    <w:link w:val="18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缩进_0"/>
    <w:basedOn w:val="176"/>
    <w:autoRedefine/>
    <w:unhideWhenUsed/>
    <w:qFormat/>
    <w:uiPriority w:val="0"/>
    <w:pPr>
      <w:ind w:firstLine="420" w:firstLineChars="200"/>
    </w:pPr>
    <w:rPr>
      <w:rFonts w:ascii="Calibri" w:hAnsi="Calibri"/>
      <w:bCs/>
      <w:szCs w:val="32"/>
    </w:rPr>
  </w:style>
  <w:style w:type="paragraph" w:customStyle="1" w:styleId="178">
    <w:name w:val="标题 1_0"/>
    <w:basedOn w:val="176"/>
    <w:next w:val="176"/>
    <w:link w:val="17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9">
    <w:name w:val="标题 1 Char_0"/>
    <w:link w:val="178"/>
    <w:autoRedefine/>
    <w:qFormat/>
    <w:uiPriority w:val="0"/>
    <w:rPr>
      <w:rFonts w:ascii="黑体" w:hAnsi="Times New Roman" w:eastAsia="黑体" w:cs="Times New Roman"/>
      <w:sz w:val="52"/>
      <w:lang w:val="zh-CN" w:eastAsia="zh-CN"/>
    </w:rPr>
  </w:style>
  <w:style w:type="paragraph" w:customStyle="1" w:styleId="180">
    <w:name w:val="标题 6_0"/>
    <w:basedOn w:val="176"/>
    <w:next w:val="176"/>
    <w:link w:val="18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1">
    <w:name w:val="标题 6 Char_0"/>
    <w:link w:val="180"/>
    <w:autoRedefine/>
    <w:qFormat/>
    <w:uiPriority w:val="0"/>
    <w:rPr>
      <w:rFonts w:ascii="Arial" w:hAnsi="Arial" w:eastAsia="黑体" w:cs="Times New Roman"/>
      <w:b/>
      <w:bCs/>
      <w:sz w:val="24"/>
      <w:szCs w:val="24"/>
      <w:lang w:val="zh-CN" w:eastAsia="zh-CN"/>
    </w:rPr>
  </w:style>
  <w:style w:type="paragraph" w:customStyle="1" w:styleId="182">
    <w:name w:val="标题 7_0"/>
    <w:basedOn w:val="176"/>
    <w:next w:val="176"/>
    <w:link w:val="18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3">
    <w:name w:val="标题 7 Char_0"/>
    <w:link w:val="182"/>
    <w:autoRedefine/>
    <w:qFormat/>
    <w:uiPriority w:val="0"/>
    <w:rPr>
      <w:rFonts w:ascii="Times New Roman" w:hAnsi="Times New Roman" w:cs="Times New Roman"/>
      <w:b/>
      <w:bCs/>
      <w:sz w:val="24"/>
      <w:szCs w:val="24"/>
      <w:lang w:val="zh-CN" w:eastAsia="zh-CN"/>
    </w:rPr>
  </w:style>
  <w:style w:type="paragraph" w:customStyle="1" w:styleId="184">
    <w:name w:val="标题 8_0"/>
    <w:basedOn w:val="176"/>
    <w:next w:val="176"/>
    <w:link w:val="18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5">
    <w:name w:val="标题 8 Char_0"/>
    <w:link w:val="184"/>
    <w:autoRedefine/>
    <w:qFormat/>
    <w:uiPriority w:val="0"/>
    <w:rPr>
      <w:rFonts w:ascii="Arial" w:hAnsi="Arial" w:eastAsia="黑体" w:cs="Times New Roman"/>
      <w:sz w:val="24"/>
      <w:szCs w:val="24"/>
      <w:lang w:val="zh-CN" w:eastAsia="zh-CN"/>
    </w:rPr>
  </w:style>
  <w:style w:type="paragraph" w:customStyle="1" w:styleId="186">
    <w:name w:val="标题 9_0"/>
    <w:basedOn w:val="176"/>
    <w:next w:val="176"/>
    <w:link w:val="18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7">
    <w:name w:val="标题 9 Char_0"/>
    <w:link w:val="186"/>
    <w:autoRedefine/>
    <w:qFormat/>
    <w:uiPriority w:val="0"/>
    <w:rPr>
      <w:rFonts w:ascii="Arial" w:hAnsi="Arial" w:eastAsia="黑体" w:cs="Times New Roman"/>
      <w:sz w:val="21"/>
      <w:szCs w:val="21"/>
      <w:lang w:val="zh-CN" w:eastAsia="zh-CN"/>
    </w:rPr>
  </w:style>
  <w:style w:type="character" w:customStyle="1" w:styleId="188">
    <w:name w:val="标题 3 Char_0"/>
    <w:link w:val="175"/>
    <w:autoRedefine/>
    <w:qFormat/>
    <w:uiPriority w:val="0"/>
    <w:rPr>
      <w:rFonts w:ascii="Times New Roman" w:hAnsi="Times New Roman" w:cs="Times New Roman"/>
      <w:b/>
      <w:sz w:val="32"/>
      <w:lang w:val="zh-CN" w:eastAsia="zh-CN"/>
    </w:rPr>
  </w:style>
  <w:style w:type="paragraph" w:customStyle="1" w:styleId="189">
    <w:name w:val="Blockquote_0"/>
    <w:basedOn w:val="176"/>
    <w:link w:val="19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90">
    <w:name w:val="Blockquote Char_0"/>
    <w:link w:val="189"/>
    <w:autoRedefine/>
    <w:qFormat/>
    <w:locked/>
    <w:uiPriority w:val="0"/>
    <w:rPr>
      <w:rFonts w:ascii="Times New Roman" w:hAnsi="Times New Roman" w:cs="Times New Roman"/>
      <w:sz w:val="24"/>
      <w:lang w:val="zh-CN" w:eastAsia="zh-CN"/>
    </w:rPr>
  </w:style>
  <w:style w:type="paragraph" w:customStyle="1" w:styleId="191">
    <w:name w:val="标题 4_0"/>
    <w:basedOn w:val="176"/>
    <w:next w:val="176"/>
    <w:link w:val="19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2">
    <w:name w:val="标题 4 Char_0"/>
    <w:link w:val="191"/>
    <w:autoRedefine/>
    <w:qFormat/>
    <w:uiPriority w:val="0"/>
    <w:rPr>
      <w:rFonts w:ascii="Arial" w:hAnsi="Arial" w:eastAsia="黑体" w:cs="Times New Roman"/>
      <w:sz w:val="28"/>
      <w:lang w:val="zh-CN" w:eastAsia="zh-CN"/>
    </w:rPr>
  </w:style>
  <w:style w:type="paragraph" w:customStyle="1" w:styleId="193">
    <w:name w:val="纯文本_2"/>
    <w:basedOn w:val="176"/>
    <w:link w:val="194"/>
    <w:autoRedefine/>
    <w:qFormat/>
    <w:uiPriority w:val="0"/>
    <w:rPr>
      <w:rFonts w:ascii="宋体" w:hAnsi="Courier New"/>
      <w:szCs w:val="21"/>
      <w:lang w:val="zh-CN"/>
    </w:rPr>
  </w:style>
  <w:style w:type="character" w:customStyle="1" w:styleId="194">
    <w:name w:val="纯文本 Char1_1"/>
    <w:link w:val="193"/>
    <w:autoRedefine/>
    <w:qFormat/>
    <w:uiPriority w:val="0"/>
    <w:rPr>
      <w:rFonts w:hAnsi="Courier New" w:cs="Times New Roman"/>
      <w:kern w:val="2"/>
      <w:sz w:val="21"/>
      <w:szCs w:val="21"/>
      <w:lang w:val="zh-CN" w:eastAsia="zh-CN"/>
    </w:rPr>
  </w:style>
  <w:style w:type="paragraph" w:customStyle="1" w:styleId="195">
    <w:name w:val="Blockquote_0_1"/>
    <w:basedOn w:val="196"/>
    <w:link w:val="19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Blockquote Char_0_1"/>
    <w:link w:val="195"/>
    <w:autoRedefine/>
    <w:qFormat/>
    <w:locked/>
    <w:uiPriority w:val="0"/>
    <w:rPr>
      <w:rFonts w:ascii="Times New Roman" w:hAnsi="Times New Roman" w:cs="Times New Roman"/>
      <w:sz w:val="24"/>
      <w:lang w:val="zh-CN" w:eastAsia="zh-CN"/>
    </w:rPr>
  </w:style>
  <w:style w:type="paragraph" w:customStyle="1" w:styleId="198">
    <w:name w:val="正文文本_0"/>
    <w:basedOn w:val="176"/>
    <w:link w:val="199"/>
    <w:autoRedefine/>
    <w:qFormat/>
    <w:uiPriority w:val="0"/>
    <w:pPr>
      <w:spacing w:after="120"/>
    </w:pPr>
    <w:rPr>
      <w:lang w:val="zh-CN"/>
    </w:rPr>
  </w:style>
  <w:style w:type="character" w:customStyle="1" w:styleId="199">
    <w:name w:val="正文文本 Char_0"/>
    <w:link w:val="198"/>
    <w:autoRedefine/>
    <w:qFormat/>
    <w:uiPriority w:val="0"/>
    <w:rPr>
      <w:rFonts w:ascii="Times New Roman" w:hAnsi="Times New Roman" w:cs="Times New Roman"/>
      <w:kern w:val="2"/>
      <w:sz w:val="21"/>
      <w:szCs w:val="24"/>
      <w:lang w:val="zh-CN" w:eastAsia="zh-CN"/>
    </w:rPr>
  </w:style>
  <w:style w:type="paragraph" w:customStyle="1" w:styleId="200">
    <w:name w:val="普通(网站)_0"/>
    <w:basedOn w:val="176"/>
    <w:autoRedefine/>
    <w:qFormat/>
    <w:uiPriority w:val="0"/>
    <w:pPr>
      <w:widowControl/>
      <w:spacing w:before="100" w:beforeAutospacing="1" w:after="100" w:afterAutospacing="1"/>
      <w:jc w:val="left"/>
    </w:pPr>
    <w:rPr>
      <w:rFonts w:ascii="宋体" w:hAnsi="宋体"/>
      <w:kern w:val="0"/>
      <w:sz w:val="24"/>
    </w:rPr>
  </w:style>
  <w:style w:type="paragraph" w:customStyle="1" w:styleId="20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脚注文本_0"/>
    <w:basedOn w:val="125"/>
    <w:link w:val="20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4">
    <w:name w:val="脚注文本 Char_0"/>
    <w:link w:val="203"/>
    <w:autoRedefine/>
    <w:qFormat/>
    <w:uiPriority w:val="0"/>
    <w:rPr>
      <w:rFonts w:ascii="Times New Roman" w:hAnsi="Times New Roman" w:cs="Times New Roman"/>
      <w:sz w:val="18"/>
      <w:lang w:val="zh-CN" w:eastAsia="zh-CN"/>
    </w:rPr>
  </w:style>
  <w:style w:type="paragraph" w:customStyle="1" w:styleId="20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7">
    <w:name w:val="Char Char Char Char Char"/>
    <w:basedOn w:val="1"/>
    <w:autoRedefine/>
    <w:qFormat/>
    <w:uiPriority w:val="0"/>
    <w:rPr>
      <w:rFonts w:ascii="Tahoma" w:hAnsi="Tahoma" w:cs="Times New Roman"/>
      <w:kern w:val="2"/>
      <w:sz w:val="24"/>
    </w:rPr>
  </w:style>
  <w:style w:type="paragraph" w:customStyle="1" w:styleId="22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9">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30">
    <w:name w:val="Char Char"/>
    <w:autoRedefine/>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4"/>
    <w:next w:val="25"/>
    <w:link w:val="231"/>
    <w:autoRedefine/>
    <w:qFormat/>
    <w:uiPriority w:val="0"/>
    <w:pPr>
      <w:spacing w:before="0" w:after="0" w:line="413" w:lineRule="auto"/>
    </w:pPr>
    <w:rPr>
      <w:rFonts w:ascii="Arial" w:hAnsi="Arial" w:cstheme="minorBidi"/>
      <w:kern w:val="0"/>
      <w:sz w:val="24"/>
      <w:lang w:val="en-US"/>
    </w:rPr>
  </w:style>
  <w:style w:type="character" w:customStyle="1" w:styleId="233">
    <w:name w:val="明显引用 Char"/>
    <w:link w:val="234"/>
    <w:autoRedefine/>
    <w:qFormat/>
    <w:uiPriority w:val="0"/>
    <w:rPr>
      <w:b/>
      <w:bCs/>
      <w:i/>
      <w:iCs/>
      <w:color w:val="4F81BD"/>
    </w:rPr>
  </w:style>
  <w:style w:type="paragraph" w:styleId="234">
    <w:name w:val="Intense Quote"/>
    <w:basedOn w:val="1"/>
    <w:next w:val="1"/>
    <w:link w:val="233"/>
    <w:autoRedefine/>
    <w:qFormat/>
    <w:uiPriority w:val="0"/>
    <w:pPr>
      <w:pBdr>
        <w:bottom w:val="single" w:color="4F81BD" w:themeColor="accent1" w:sz="4" w:space="4"/>
      </w:pBdr>
      <w:spacing w:before="200" w:after="280"/>
      <w:ind w:left="936" w:right="936"/>
    </w:pPr>
    <w:rPr>
      <w:b/>
      <w:bCs/>
      <w:i/>
      <w:iCs/>
      <w:color w:val="4F81BD"/>
    </w:rPr>
  </w:style>
  <w:style w:type="paragraph" w:customStyle="1" w:styleId="23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7"/>
    <w:autoRedefine/>
    <w:qFormat/>
    <w:uiPriority w:val="30"/>
    <w:rPr>
      <w:rFonts w:ascii="Times New Roman" w:hAnsi="Times New Roman" w:eastAsia="宋体" w:cs="Times New Roman"/>
      <w:i/>
      <w:iCs/>
      <w:color w:val="5B9BD5"/>
      <w:szCs w:val="24"/>
    </w:rPr>
  </w:style>
  <w:style w:type="character" w:customStyle="1" w:styleId="237">
    <w:name w:val="标题5 Char Char"/>
    <w:link w:val="238"/>
    <w:autoRedefine/>
    <w:qFormat/>
    <w:uiPriority w:val="0"/>
    <w:rPr>
      <w:rFonts w:ascii="Arial" w:hAnsi="Arial"/>
      <w:b/>
      <w:bCs/>
      <w:sz w:val="24"/>
      <w:szCs w:val="32"/>
    </w:rPr>
  </w:style>
  <w:style w:type="paragraph" w:customStyle="1" w:styleId="238">
    <w:name w:val="标题5"/>
    <w:basedOn w:val="5"/>
    <w:link w:val="237"/>
    <w:autoRedefine/>
    <w:qFormat/>
    <w:uiPriority w:val="0"/>
    <w:pPr>
      <w:spacing w:line="413" w:lineRule="auto"/>
      <w:jc w:val="left"/>
    </w:pPr>
    <w:rPr>
      <w:rFonts w:ascii="Arial" w:hAnsi="Arial"/>
      <w:sz w:val="24"/>
    </w:rPr>
  </w:style>
  <w:style w:type="character" w:customStyle="1" w:styleId="239">
    <w:name w:val="引用 Char"/>
    <w:link w:val="240"/>
    <w:autoRedefine/>
    <w:qFormat/>
    <w:uiPriority w:val="0"/>
    <w:rPr>
      <w:i/>
      <w:iCs/>
      <w:color w:val="000000"/>
    </w:rPr>
  </w:style>
  <w:style w:type="paragraph" w:styleId="240">
    <w:name w:val="Quote"/>
    <w:basedOn w:val="1"/>
    <w:next w:val="1"/>
    <w:link w:val="239"/>
    <w:autoRedefine/>
    <w:qFormat/>
    <w:uiPriority w:val="0"/>
    <w:rPr>
      <w:i/>
      <w:iCs/>
      <w:color w:val="000000"/>
    </w:rPr>
  </w:style>
  <w:style w:type="paragraph" w:customStyle="1" w:styleId="241">
    <w:name w:val="引用1"/>
    <w:basedOn w:val="1"/>
    <w:next w:val="1"/>
    <w:autoRedefine/>
    <w:qFormat/>
    <w:uiPriority w:val="0"/>
    <w:rPr>
      <w:rFonts w:ascii="Calibri" w:hAnsi="Calibri" w:cs="Times New Roman"/>
      <w:i/>
      <w:iCs/>
      <w:color w:val="000000"/>
      <w:kern w:val="2"/>
      <w:sz w:val="21"/>
      <w:szCs w:val="22"/>
    </w:rPr>
  </w:style>
  <w:style w:type="character" w:customStyle="1" w:styleId="242">
    <w:name w:val="引用 Char1"/>
    <w:basedOn w:val="57"/>
    <w:autoRedefine/>
    <w:qFormat/>
    <w:uiPriority w:val="29"/>
    <w:rPr>
      <w:rFonts w:ascii="Times New Roman" w:hAnsi="Times New Roman" w:eastAsia="宋体" w:cs="Times New Roman"/>
      <w:i/>
      <w:iCs/>
      <w:color w:val="404040"/>
      <w:szCs w:val="24"/>
    </w:rPr>
  </w:style>
  <w:style w:type="character" w:customStyle="1" w:styleId="243">
    <w:name w:val="ask-title2"/>
    <w:autoRedefine/>
    <w:qFormat/>
    <w:uiPriority w:val="0"/>
  </w:style>
  <w:style w:type="character" w:customStyle="1" w:styleId="244">
    <w:name w:val="正文文本 Char1"/>
    <w:autoRedefine/>
    <w:qFormat/>
    <w:uiPriority w:val="0"/>
    <w:rPr>
      <w:kern w:val="2"/>
      <w:sz w:val="21"/>
      <w:szCs w:val="22"/>
    </w:rPr>
  </w:style>
  <w:style w:type="character" w:customStyle="1" w:styleId="245">
    <w:name w:val="不明显强调1"/>
    <w:autoRedefine/>
    <w:qFormat/>
    <w:uiPriority w:val="0"/>
    <w:rPr>
      <w:i/>
      <w:iCs/>
      <w:color w:val="808080"/>
    </w:rPr>
  </w:style>
  <w:style w:type="character" w:customStyle="1" w:styleId="246">
    <w:name w:val="明显参考1"/>
    <w:autoRedefine/>
    <w:qFormat/>
    <w:uiPriority w:val="0"/>
    <w:rPr>
      <w:b/>
      <w:bCs/>
      <w:smallCaps/>
      <w:color w:val="C0504D"/>
      <w:spacing w:val="5"/>
      <w:u w:val="single"/>
    </w:rPr>
  </w:style>
  <w:style w:type="character" w:customStyle="1" w:styleId="247">
    <w:name w:val="书籍标题1"/>
    <w:autoRedefine/>
    <w:qFormat/>
    <w:uiPriority w:val="0"/>
    <w:rPr>
      <w:b/>
      <w:bCs/>
      <w:smallCaps/>
      <w:spacing w:val="5"/>
    </w:rPr>
  </w:style>
  <w:style w:type="character" w:customStyle="1" w:styleId="248">
    <w:name w:val="日期 Char1"/>
    <w:autoRedefine/>
    <w:qFormat/>
    <w:uiPriority w:val="0"/>
    <w:rPr>
      <w:kern w:val="2"/>
      <w:sz w:val="21"/>
      <w:szCs w:val="22"/>
    </w:rPr>
  </w:style>
  <w:style w:type="character" w:customStyle="1" w:styleId="249">
    <w:name w:val="明显强调1"/>
    <w:autoRedefine/>
    <w:qFormat/>
    <w:uiPriority w:val="0"/>
    <w:rPr>
      <w:b/>
      <w:bCs/>
      <w:i/>
      <w:iCs/>
      <w:color w:val="4F81BD"/>
    </w:rPr>
  </w:style>
  <w:style w:type="character" w:customStyle="1" w:styleId="250">
    <w:name w:val="textcontents"/>
    <w:autoRedefine/>
    <w:qFormat/>
    <w:uiPriority w:val="0"/>
    <w:rPr>
      <w:rFonts w:cs="Times New Roman"/>
    </w:rPr>
  </w:style>
  <w:style w:type="character" w:customStyle="1" w:styleId="251">
    <w:name w:val="不明显参考1"/>
    <w:autoRedefine/>
    <w:qFormat/>
    <w:uiPriority w:val="0"/>
    <w:rPr>
      <w:smallCaps/>
      <w:color w:val="C0504D"/>
      <w:u w:val="single"/>
    </w:rPr>
  </w:style>
  <w:style w:type="character" w:customStyle="1" w:styleId="252">
    <w:name w:val="批注文字 Char Char"/>
    <w:autoRedefine/>
    <w:qFormat/>
    <w:uiPriority w:val="0"/>
    <w:rPr>
      <w:rFonts w:ascii="宋体" w:hAnsi="Times New Roman" w:eastAsia="宋体" w:cs="Times New Roman"/>
      <w:sz w:val="28"/>
      <w:szCs w:val="20"/>
    </w:rPr>
  </w:style>
  <w:style w:type="character" w:customStyle="1" w:styleId="253">
    <w:name w:val="文档结构图 Char1"/>
    <w:autoRedefine/>
    <w:qFormat/>
    <w:uiPriority w:val="0"/>
    <w:rPr>
      <w:rFonts w:ascii="宋体"/>
      <w:kern w:val="2"/>
      <w:sz w:val="18"/>
      <w:szCs w:val="18"/>
    </w:rPr>
  </w:style>
  <w:style w:type="paragraph" w:customStyle="1" w:styleId="25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5">
    <w:name w:val="页脚 Char1"/>
    <w:autoRedefine/>
    <w:semiHidden/>
    <w:qFormat/>
    <w:uiPriority w:val="99"/>
    <w:rPr>
      <w:kern w:val="2"/>
      <w:sz w:val="18"/>
      <w:szCs w:val="18"/>
    </w:rPr>
  </w:style>
  <w:style w:type="character" w:customStyle="1" w:styleId="256">
    <w:name w:val="批注框文本 Char2"/>
    <w:autoRedefine/>
    <w:semiHidden/>
    <w:qFormat/>
    <w:uiPriority w:val="99"/>
    <w:rPr>
      <w:kern w:val="2"/>
      <w:sz w:val="18"/>
      <w:szCs w:val="18"/>
    </w:rPr>
  </w:style>
  <w:style w:type="character" w:customStyle="1" w:styleId="257">
    <w:name w:val="批注主题 Char2"/>
    <w:autoRedefine/>
    <w:semiHidden/>
    <w:qFormat/>
    <w:uiPriority w:val="99"/>
    <w:rPr>
      <w:b/>
      <w:bCs/>
      <w:kern w:val="2"/>
      <w:sz w:val="21"/>
      <w:szCs w:val="22"/>
    </w:rPr>
  </w:style>
  <w:style w:type="character" w:customStyle="1" w:styleId="258">
    <w:name w:val="文档结构图 Char2"/>
    <w:autoRedefine/>
    <w:semiHidden/>
    <w:qFormat/>
    <w:uiPriority w:val="99"/>
    <w:rPr>
      <w:rFonts w:ascii="宋体"/>
      <w:kern w:val="2"/>
      <w:sz w:val="18"/>
      <w:szCs w:val="18"/>
    </w:rPr>
  </w:style>
  <w:style w:type="character" w:customStyle="1" w:styleId="259">
    <w:name w:val="页眉 Char1"/>
    <w:autoRedefine/>
    <w:semiHidden/>
    <w:qFormat/>
    <w:uiPriority w:val="99"/>
    <w:rPr>
      <w:kern w:val="2"/>
      <w:sz w:val="18"/>
      <w:szCs w:val="18"/>
    </w:rPr>
  </w:style>
  <w:style w:type="character" w:customStyle="1" w:styleId="260">
    <w:name w:val="日期 Char2"/>
    <w:autoRedefine/>
    <w:semiHidden/>
    <w:qFormat/>
    <w:uiPriority w:val="99"/>
    <w:rPr>
      <w:kern w:val="2"/>
      <w:sz w:val="21"/>
      <w:szCs w:val="22"/>
    </w:rPr>
  </w:style>
  <w:style w:type="character" w:customStyle="1" w:styleId="261">
    <w:name w:val="正文文本 Char2"/>
    <w:autoRedefine/>
    <w:semiHidden/>
    <w:qFormat/>
    <w:uiPriority w:val="99"/>
    <w:rPr>
      <w:kern w:val="2"/>
      <w:sz w:val="21"/>
      <w:szCs w:val="22"/>
    </w:rPr>
  </w:style>
  <w:style w:type="character" w:customStyle="1" w:styleId="262">
    <w:name w:val="标题 Char1"/>
    <w:autoRedefine/>
    <w:qFormat/>
    <w:uiPriority w:val="10"/>
    <w:rPr>
      <w:rFonts w:ascii="Cambria" w:hAnsi="Cambria" w:cs="Times New Roman"/>
      <w:b/>
      <w:bCs/>
      <w:kern w:val="2"/>
      <w:sz w:val="32"/>
      <w:szCs w:val="32"/>
    </w:rPr>
  </w:style>
  <w:style w:type="character" w:customStyle="1" w:styleId="263">
    <w:name w:val="副标题 Char1"/>
    <w:autoRedefine/>
    <w:qFormat/>
    <w:uiPriority w:val="11"/>
    <w:rPr>
      <w:rFonts w:ascii="Cambria" w:hAnsi="Cambria" w:cs="Times New Roman"/>
      <w:b/>
      <w:bCs/>
      <w:kern w:val="28"/>
      <w:sz w:val="32"/>
      <w:szCs w:val="32"/>
    </w:rPr>
  </w:style>
  <w:style w:type="paragraph" w:customStyle="1" w:styleId="26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autoRedefine/>
    <w:qFormat/>
    <w:uiPriority w:val="0"/>
    <w:rPr>
      <w:rFonts w:ascii="楷体" w:eastAsia="楷体"/>
      <w:b/>
      <w:color w:val="0000FF"/>
    </w:rPr>
  </w:style>
  <w:style w:type="paragraph" w:customStyle="1" w:styleId="268">
    <w:name w:val="正文2"/>
    <w:link w:val="26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autoRedefine/>
    <w:qFormat/>
    <w:locked/>
    <w:uiPriority w:val="99"/>
    <w:rPr>
      <w:rFonts w:ascii="MingLiU" w:eastAsia="MingLiU" w:cs="MingLiU"/>
      <w:spacing w:val="20"/>
      <w:sz w:val="22"/>
      <w:shd w:val="clear" w:color="auto" w:fill="FFFFFF"/>
    </w:rPr>
  </w:style>
  <w:style w:type="paragraph" w:customStyle="1" w:styleId="271">
    <w:name w:val="正文文本 (2)1"/>
    <w:basedOn w:val="1"/>
    <w:link w:val="27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autoRedefine/>
    <w:qFormat/>
    <w:uiPriority w:val="99"/>
    <w:rPr>
      <w:rFonts w:ascii="MingLiU" w:eastAsia="MingLiU" w:cs="MingLiU"/>
      <w:spacing w:val="0"/>
      <w:sz w:val="22"/>
      <w:shd w:val="clear" w:color="auto" w:fill="FFFFFF"/>
    </w:rPr>
  </w:style>
  <w:style w:type="character" w:customStyle="1" w:styleId="273">
    <w:name w:val="访问过的超链接1"/>
    <w:basedOn w:val="57"/>
    <w:autoRedefine/>
    <w:semiHidden/>
    <w:unhideWhenUsed/>
    <w:qFormat/>
    <w:uiPriority w:val="99"/>
    <w:rPr>
      <w:color w:val="954F72"/>
      <w:u w:val="single"/>
    </w:rPr>
  </w:style>
  <w:style w:type="character" w:customStyle="1" w:styleId="274">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75">
    <w:name w:val="引用 Char2"/>
    <w:basedOn w:val="57"/>
    <w:autoRedefine/>
    <w:qFormat/>
    <w:uiPriority w:val="29"/>
    <w:rPr>
      <w:i/>
      <w:iCs/>
      <w:color w:val="000000" w:themeColor="text1"/>
      <w14:textFill>
        <w14:solidFill>
          <w14:schemeClr w14:val="tx1"/>
        </w14:solidFill>
      </w14:textFill>
    </w:rPr>
  </w:style>
  <w:style w:type="table" w:customStyle="1" w:styleId="276">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
    <w:name w:val="Table Normal"/>
    <w:autoRedefine/>
    <w:semiHidden/>
    <w:unhideWhenUsed/>
    <w:qFormat/>
    <w:uiPriority w:val="0"/>
    <w:tblPr>
      <w:tblCellMar>
        <w:top w:w="0" w:type="dxa"/>
        <w:left w:w="0" w:type="dxa"/>
        <w:bottom w:w="0" w:type="dxa"/>
        <w:right w:w="0" w:type="dxa"/>
      </w:tblCellMar>
    </w:tblPr>
  </w:style>
  <w:style w:type="paragraph" w:customStyle="1" w:styleId="278">
    <w:name w:val="Table Text"/>
    <w:basedOn w:val="1"/>
    <w:autoRedefine/>
    <w:semiHidden/>
    <w:qFormat/>
    <w:uiPriority w:val="0"/>
    <w:rPr>
      <w:rFonts w:ascii="Arial" w:hAnsi="Arial" w:eastAsia="Arial" w:cs="Arial"/>
      <w:sz w:val="21"/>
      <w:szCs w:val="21"/>
      <w:lang w:val="en-US" w:eastAsia="en-US" w:bidi="ar-SA"/>
    </w:rPr>
  </w:style>
  <w:style w:type="character" w:customStyle="1" w:styleId="279">
    <w:name w:val="16"/>
    <w:basedOn w:val="57"/>
    <w:qFormat/>
    <w:uiPriority w:val="0"/>
    <w:rPr>
      <w:rFonts w:hint="default" w:ascii="Times New Roman" w:hAnsi="Times New Roman" w:cs="Times New Roman"/>
      <w:color w:val="0000FF"/>
      <w:u w:val="single"/>
    </w:rPr>
  </w:style>
  <w:style w:type="paragraph" w:customStyle="1" w:styleId="280">
    <w:name w:val="正文文字 8"/>
    <w:basedOn w:val="1"/>
    <w:next w:val="1"/>
    <w:qFormat/>
    <w:uiPriority w:val="0"/>
    <w:pPr>
      <w:ind w:left="240"/>
    </w:pPr>
    <w:rPr>
      <w:sz w:val="16"/>
    </w:rPr>
  </w:style>
  <w:style w:type="character" w:customStyle="1" w:styleId="281">
    <w:name w:val="hover1"/>
    <w:basedOn w:val="57"/>
    <w:qFormat/>
    <w:uiPriority w:val="0"/>
    <w:rPr>
      <w:color w:val="2590EB"/>
    </w:rPr>
  </w:style>
  <w:style w:type="character" w:customStyle="1" w:styleId="282">
    <w:name w:val="hover2"/>
    <w:basedOn w:val="57"/>
    <w:qFormat/>
    <w:uiPriority w:val="0"/>
    <w:rPr>
      <w:color w:val="2590EB"/>
      <w:shd w:val="clear" w:fill="E9F4FD"/>
    </w:rPr>
  </w:style>
  <w:style w:type="character" w:customStyle="1" w:styleId="283">
    <w:name w:val="hover3"/>
    <w:basedOn w:val="57"/>
    <w:qFormat/>
    <w:uiPriority w:val="0"/>
  </w:style>
  <w:style w:type="character" w:customStyle="1" w:styleId="284">
    <w:name w:val="hover4"/>
    <w:basedOn w:val="57"/>
    <w:qFormat/>
    <w:uiPriority w:val="0"/>
    <w:rPr>
      <w:color w:val="2590EB"/>
    </w:rPr>
  </w:style>
  <w:style w:type="character" w:customStyle="1" w:styleId="285">
    <w:name w:val="hover"/>
    <w:basedOn w:val="57"/>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133</Pages>
  <Words>2640</Words>
  <Characters>3003</Characters>
  <Lines>451</Lines>
  <Paragraphs>127</Paragraphs>
  <TotalTime>15</TotalTime>
  <ScaleCrop>false</ScaleCrop>
  <LinksUpToDate>false</LinksUpToDate>
  <CharactersWithSpaces>3096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NTKO</cp:lastModifiedBy>
  <cp:lastPrinted>2026-02-13T02:29:00Z</cp:lastPrinted>
  <dcterms:modified xsi:type="dcterms:W3CDTF">2026-07-14T06:51:11Z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456A8E0987814F0689620C34DD97C5FE_12</vt:lpwstr>
  </property>
  <property fmtid="{D5CDD505-2E9C-101B-9397-08002B2CF9AE}" pid="4" name="KSOTemplateDocerSaveRecord">
    <vt:lpwstr>eyJoZGlkIjoiZTQ4OTM2MTIyODI3Njc5MTE5MDBiNjA4NzIzYTUzZmEiLCJ1c2VySWQiOiI3MDAwNjg2OTUifQ==</vt:lpwstr>
  </property>
</Properties>
</file>